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600" w:line="360" w:lineRule="auto"/>
        <w:jc w:val="center"/>
      </w:pPr>
      <w:r>
        <w:rPr>
          <w:b/>
          <w:bCs/>
          <w:color w:val="000000"/>
          <w:sz w:val="44"/>
          <w:szCs w:val="44"/>
          <w:rFonts w:ascii="SimSun" w:eastAsia="SimSun" w:hAnsi="SimSun" w:cs="SimSun"/>
        </w:rPr>
        <w:t xml:space="preserve">市税务局第一批合作房源改造为保障性租赁住房项目</w:t>
      </w:r>
    </w:p>
    <w:p>
      <w:pPr>
        <w:spacing w:after="2400"/>
        <w:jc w:val="center"/>
      </w:pPr>
      <w:r>
        <w:rPr>
          <w:b/>
          <w:bCs/>
          <w:color w:val="000000"/>
          <w:sz w:val="44"/>
          <w:szCs w:val="44"/>
          <w:rFonts w:ascii="SimSun" w:eastAsia="SimSun" w:hAnsi="SimSun" w:cs="SimSun"/>
        </w:rPr>
        <w:t xml:space="preserve">可 行 性 研 究 报 告</w:t>
      </w:r>
    </w:p>
    <w:p>
      <w:pPr>
        <w:spacing w:after="120"/>
        <w:jc w:val="center"/>
      </w:pPr>
      <w:r>
        <w:rPr>
          <w:color w:val="000000"/>
          <w:sz w:val="24"/>
          <w:szCs w:val="24"/>
          <w:rFonts w:ascii="SimSun" w:eastAsia="SimSun" w:hAnsi="SimSun" w:cs="SimSun"/>
        </w:rPr>
        <w:t xml:space="preserve">建设/委托单位：深圳市罗湖安居有限公司</w:t>
      </w:r>
    </w:p>
    <w:p>
      <w:pPr>
        <w:spacing w:after="120"/>
        <w:jc w:val="center"/>
      </w:pPr>
      <w:r>
        <w:rPr>
          <w:color w:val="000000"/>
          <w:sz w:val="24"/>
          <w:szCs w:val="24"/>
          <w:rFonts w:ascii="SimSun" w:eastAsia="SimSun" w:hAnsi="SimSun" w:cs="SimSun"/>
        </w:rPr>
        <w:t xml:space="preserve">报告领域：改造项目双场景可研逐小节生成逻辑</w:t>
      </w:r>
    </w:p>
    <w:p>
      <w:pPr>
        <w:spacing w:after="120"/>
        <w:jc w:val="center"/>
      </w:pPr>
      <w:r>
        <w:rPr>
          <w:color w:val="000000"/>
          <w:sz w:val="24"/>
          <w:szCs w:val="24"/>
          <w:rFonts w:ascii="SimSun" w:eastAsia="SimSun" w:hAnsi="SimSun" w:cs="SimSun"/>
        </w:rPr>
        <w:t xml:space="preserve">建设地点：罗湖区金湖路6号</w:t>
      </w:r>
    </w:p>
    <w:p>
      <w:pPr>
        <w:spacing w:after="120"/>
        <w:jc w:val="center"/>
      </w:pPr>
      <w:r>
        <w:rPr>
          <w:color w:val="000000"/>
          <w:sz w:val="24"/>
          <w:szCs w:val="24"/>
          <w:rFonts w:ascii="SimSun" w:eastAsia="SimSun" w:hAnsi="SimSun" w:cs="SimSun"/>
        </w:rPr>
        <w:t xml:space="preserve">投资规模：13892万元</w:t>
      </w:r>
    </w:p>
    <w:p>
      <w:pPr>
        <w:jc w:val="center"/>
      </w:pPr>
      <w:r>
        <w:rPr>
          <w:color w:val="000000"/>
          <w:sz w:val="24"/>
          <w:szCs w:val="24"/>
          <w:rFonts w:ascii="SimSun" w:eastAsia="SimSun" w:hAnsi="SimSun" w:cs="SimSun"/>
        </w:rPr>
        <w:t xml:space="preserve">2026/9/9</w:t>
      </w:r>
    </w:p>
    <w:p>
      <w:pPr>
        <w:spacing w:before="200"/>
        <w:jc w:val="center"/>
      </w:pPr>
      <w:r>
        <w:rPr>
          <w:color w:val="000000"/>
          <w:sz w:val="21"/>
          <w:szCs w:val="21"/>
          <w:rFonts w:ascii="SimSun" w:eastAsia="SimSun" w:hAnsi="SimSun" w:cs="SimSun"/>
        </w:rPr>
        <w:t xml:space="preserve">文档编号：FS-20260902-LBFM</w:t>
      </w:r>
    </w:p>
    <w:p>
      <w:pPr>
        <w:spacing w:before="120"/>
        <w:jc w:val="center"/>
      </w:pPr>
      <w:r>
        <w:rPr>
          <w:color w:val="000000"/>
          <w:sz w:val="20"/>
          <w:szCs w:val="20"/>
          <w:rFonts w:ascii="SimSun" w:eastAsia="SimSun" w:hAnsi="SimSun" w:cs="SimSun"/>
        </w:rPr>
        <w:t xml:space="preserve">关联报告版本 V7 · 工作稿修订 170 · 未签发工作稿</w:t>
      </w:r>
    </w:p>
    <w:p>
      <w:pPr>
        <w:pageBreakBefore/>
        <w:spacing w:after="400"/>
        <w:jc w:val="center"/>
      </w:pPr>
      <w:r>
        <w:rPr>
          <w:b/>
          <w:bCs/>
          <w:color w:val="000000"/>
          <w:sz w:val="44"/>
          <w:szCs w:val="44"/>
          <w:rFonts w:ascii="SimSun" w:eastAsia="SimSun" w:hAnsi="SimSun" w:cs="SimSun"/>
        </w:rPr>
        <w:t xml:space="preserve">目　　录</w:t>
      </w:r>
    </w:p>
    <undefined>
      <w:p xmlns:w="http://schemas.openxmlformats.org/wordprocessingml/2006/main">
        <w:pPr>
          <w:spacing w:after="0" w:line="240" w:lineRule="auto"/>
        </w:pPr>
        <w:r>
          <w:fldChar w:fldCharType="begin"/>
        </w:r>
        <w:r>
          <w:instrText xml:space="preserve"> TOC \o "1-2" \h \z \u </w:instrText>
        </w:r>
        <w:r>
          <w:fldChar w:fldCharType="separate"/>
        </w:r>
      </w:p>
    </undefined>
    <w:p>
      <w:pPr>
        <w:tabs>
          <w:tab w:val="right" w:pos="9026" w:leader="dot"/>
        </w:tabs>
        <w:spacing w:before="100" w:after="40" w:line="300" w:lineRule="auto"/>
      </w:pPr>
      <w:r>
        <w:rPr>
          <w:b/>
          <w:bCs/>
          <w:color w:val="000000"/>
          <w:sz w:val="24"/>
          <w:szCs w:val="24"/>
          <w:rFonts w:ascii="SimSun" w:eastAsia="SimSun" w:hAnsi="SimSun" w:cs="SimSun"/>
        </w:rPr>
        <w:t xml:space="preserve">第一章　项目总论</w:t>
      </w:r>
      <w:r>
        <w:rPr>
          <w:color w:val="000000"/>
          <w:rFonts w:ascii="SimSun" w:eastAsia="SimSun" w:hAnsi="SimSun" w:cs="SimSun"/>
        </w:rPr>
        <w:t xml:space="preserve">	</w:t>
      </w:r>
      <w:fldSimple w:instr="PAGEREF _tc0 \h"/>
    </w:p>
    <w:p>
      <w:pPr>
        <w:tabs>
          <w:tab w:val="right" w:pos="9026" w:leader="dot"/>
        </w:tabs>
        <w:spacing w:after="40" w:line="300" w:lineRule="auto"/>
        <w:ind w:left="420"/>
      </w:pPr>
      <w:r>
        <w:rPr>
          <w:color w:val="000000"/>
          <w:sz w:val="24"/>
          <w:szCs w:val="24"/>
          <w:rFonts w:ascii="SimSun" w:eastAsia="SimSun" w:hAnsi="SimSun" w:cs="SimSun"/>
        </w:rPr>
        <w:t xml:space="preserve">1.1　编制依据与编制说明</w:t>
      </w:r>
      <w:r>
        <w:rPr>
          <w:color w:val="000000"/>
          <w:rFonts w:ascii="SimSun" w:eastAsia="SimSun" w:hAnsi="SimSun" w:cs="SimSun"/>
        </w:rPr>
        <w:t xml:space="preserve">	</w:t>
      </w:r>
      <w:fldSimple w:instr="PAGEREF _tc0_0 \h"/>
    </w:p>
    <w:p>
      <w:pPr>
        <w:tabs>
          <w:tab w:val="right" w:pos="9026" w:leader="dot"/>
        </w:tabs>
        <w:spacing w:after="40" w:line="300" w:lineRule="auto"/>
        <w:ind w:left="420"/>
      </w:pPr>
      <w:r>
        <w:rPr>
          <w:color w:val="000000"/>
          <w:sz w:val="24"/>
          <w:szCs w:val="24"/>
          <w:rFonts w:ascii="SimSun" w:eastAsia="SimSun" w:hAnsi="SimSun" w:cs="SimSun"/>
        </w:rPr>
        <w:t xml:space="preserve">1.2　项目背景</w:t>
      </w:r>
      <w:r>
        <w:rPr>
          <w:color w:val="000000"/>
          <w:rFonts w:ascii="SimSun" w:eastAsia="SimSun" w:hAnsi="SimSun" w:cs="SimSun"/>
        </w:rPr>
        <w:t xml:space="preserve">	</w:t>
      </w:r>
      <w:fldSimple w:instr="PAGEREF _tc0_1 \h"/>
    </w:p>
    <w:p>
      <w:pPr>
        <w:tabs>
          <w:tab w:val="right" w:pos="9026" w:leader="dot"/>
        </w:tabs>
        <w:spacing w:after="40" w:line="300" w:lineRule="auto"/>
        <w:ind w:left="420"/>
      </w:pPr>
      <w:r>
        <w:rPr>
          <w:color w:val="000000"/>
          <w:sz w:val="24"/>
          <w:szCs w:val="24"/>
          <w:rFonts w:ascii="SimSun" w:eastAsia="SimSun" w:hAnsi="SimSun" w:cs="SimSun"/>
        </w:rPr>
        <w:t xml:space="preserve">1.3　项目本体情况、改造情况与政策符合性</w:t>
      </w:r>
      <w:r>
        <w:rPr>
          <w:color w:val="000000"/>
          <w:rFonts w:ascii="SimSun" w:eastAsia="SimSun" w:hAnsi="SimSun" w:cs="SimSun"/>
        </w:rPr>
        <w:t xml:space="preserve">	</w:t>
      </w:r>
      <w:fldSimple w:instr="PAGEREF _tc0_2 \h"/>
    </w:p>
    <w:p>
      <w:pPr>
        <w:tabs>
          <w:tab w:val="right" w:pos="9026" w:leader="dot"/>
        </w:tabs>
        <w:spacing w:after="40" w:line="300" w:lineRule="auto"/>
        <w:ind w:left="420"/>
      </w:pPr>
      <w:r>
        <w:rPr>
          <w:color w:val="000000"/>
          <w:sz w:val="24"/>
          <w:szCs w:val="24"/>
          <w:rFonts w:ascii="SimSun" w:eastAsia="SimSun" w:hAnsi="SimSun" w:cs="SimSun"/>
        </w:rPr>
        <w:t xml:space="preserve">1.4　合作模式及合作期限</w:t>
      </w:r>
      <w:r>
        <w:rPr>
          <w:color w:val="000000"/>
          <w:rFonts w:ascii="SimSun" w:eastAsia="SimSun" w:hAnsi="SimSun" w:cs="SimSun"/>
        </w:rPr>
        <w:t xml:space="preserve">	</w:t>
      </w:r>
      <w:fldSimple w:instr="PAGEREF _tc0_3 \h"/>
    </w:p>
    <w:p>
      <w:pPr>
        <w:tabs>
          <w:tab w:val="right" w:pos="9026" w:leader="dot"/>
        </w:tabs>
        <w:spacing w:after="40" w:line="300" w:lineRule="auto"/>
        <w:ind w:left="420"/>
      </w:pPr>
      <w:r>
        <w:rPr>
          <w:color w:val="000000"/>
          <w:sz w:val="24"/>
          <w:szCs w:val="24"/>
          <w:rFonts w:ascii="SimSun" w:eastAsia="SimSun" w:hAnsi="SimSun" w:cs="SimSun"/>
        </w:rPr>
        <w:t xml:space="preserve">1.5　改造目标、投资估算与经济效益</w:t>
      </w:r>
      <w:r>
        <w:rPr>
          <w:color w:val="000000"/>
          <w:rFonts w:ascii="SimSun" w:eastAsia="SimSun" w:hAnsi="SimSun" w:cs="SimSun"/>
        </w:rPr>
        <w:t xml:space="preserve">	</w:t>
      </w:r>
      <w:fldSimple w:instr="PAGEREF _tc0_4 \h"/>
    </w:p>
    <w:p>
      <w:pPr>
        <w:tabs>
          <w:tab w:val="right" w:pos="9026" w:leader="dot"/>
        </w:tabs>
        <w:spacing w:after="40" w:line="300" w:lineRule="auto"/>
        <w:ind w:left="420"/>
      </w:pPr>
      <w:r>
        <w:rPr>
          <w:color w:val="000000"/>
          <w:sz w:val="24"/>
          <w:szCs w:val="24"/>
          <w:rFonts w:ascii="SimSun" w:eastAsia="SimSun" w:hAnsi="SimSun" w:cs="SimSun"/>
        </w:rPr>
        <w:t xml:space="preserve">1.6　可行性与必要性概述</w:t>
      </w:r>
      <w:r>
        <w:rPr>
          <w:color w:val="000000"/>
          <w:rFonts w:ascii="SimSun" w:eastAsia="SimSun" w:hAnsi="SimSun" w:cs="SimSun"/>
        </w:rPr>
        <w:t xml:space="preserve">	</w:t>
      </w:r>
      <w:fldSimple w:instr="PAGEREF _tc0_5 \h"/>
    </w:p>
    <w:p>
      <w:pPr>
        <w:tabs>
          <w:tab w:val="right" w:pos="9026" w:leader="dot"/>
        </w:tabs>
        <w:spacing w:after="40" w:line="300" w:lineRule="auto"/>
        <w:ind w:left="420"/>
      </w:pPr>
      <w:r>
        <w:rPr>
          <w:color w:val="000000"/>
          <w:sz w:val="24"/>
          <w:szCs w:val="24"/>
          <w:rFonts w:ascii="SimSun" w:eastAsia="SimSun" w:hAnsi="SimSun" w:cs="SimSun"/>
        </w:rPr>
        <w:t xml:space="preserve">1.7　问题、建议与结论</w:t>
      </w:r>
      <w:r>
        <w:rPr>
          <w:color w:val="000000"/>
          <w:rFonts w:ascii="SimSun" w:eastAsia="SimSun" w:hAnsi="SimSun" w:cs="SimSun"/>
        </w:rPr>
        <w:t xml:space="preserve">	</w:t>
      </w:r>
      <w:fldSimple w:instr="PAGEREF _tc0_6 \h"/>
    </w:p>
    <w:p>
      <w:pPr>
        <w:tabs>
          <w:tab w:val="right" w:pos="9026" w:leader="dot"/>
        </w:tabs>
        <w:spacing w:before="100" w:after="40" w:line="300" w:lineRule="auto"/>
      </w:pPr>
      <w:r>
        <w:rPr>
          <w:b/>
          <w:bCs/>
          <w:color w:val="000000"/>
          <w:sz w:val="24"/>
          <w:szCs w:val="24"/>
          <w:rFonts w:ascii="SimSun" w:eastAsia="SimSun" w:hAnsi="SimSun" w:cs="SimSun"/>
        </w:rPr>
        <w:t xml:space="preserve">第二章　项目建设必要性</w:t>
      </w:r>
      <w:r>
        <w:rPr>
          <w:color w:val="000000"/>
          <w:rFonts w:ascii="SimSun" w:eastAsia="SimSun" w:hAnsi="SimSun" w:cs="SimSun"/>
        </w:rPr>
        <w:t xml:space="preserve">	</w:t>
      </w:r>
      <w:fldSimple w:instr="PAGEREF _tc1 \h"/>
    </w:p>
    <w:p>
      <w:pPr>
        <w:tabs>
          <w:tab w:val="right" w:pos="9026" w:leader="dot"/>
        </w:tabs>
        <w:spacing w:after="40" w:line="300" w:lineRule="auto"/>
        <w:ind w:left="420"/>
      </w:pPr>
      <w:r>
        <w:rPr>
          <w:color w:val="000000"/>
          <w:sz w:val="24"/>
          <w:szCs w:val="24"/>
          <w:rFonts w:ascii="SimSun" w:eastAsia="SimSun" w:hAnsi="SimSun" w:cs="SimSun"/>
        </w:rPr>
        <w:t xml:space="preserve">2.1　政策与国有资产管理要求</w:t>
      </w:r>
      <w:r>
        <w:rPr>
          <w:color w:val="000000"/>
          <w:rFonts w:ascii="SimSun" w:eastAsia="SimSun" w:hAnsi="SimSun" w:cs="SimSun"/>
        </w:rPr>
        <w:t xml:space="preserve">	</w:t>
      </w:r>
      <w:fldSimple w:instr="PAGEREF _tc1_0 \h"/>
    </w:p>
    <w:p>
      <w:pPr>
        <w:tabs>
          <w:tab w:val="right" w:pos="9026" w:leader="dot"/>
        </w:tabs>
        <w:spacing w:after="40" w:line="300" w:lineRule="auto"/>
        <w:ind w:left="420"/>
      </w:pPr>
      <w:r>
        <w:rPr>
          <w:color w:val="000000"/>
          <w:sz w:val="24"/>
          <w:szCs w:val="24"/>
          <w:rFonts w:ascii="SimSun" w:eastAsia="SimSun" w:hAnsi="SimSun" w:cs="SimSun"/>
        </w:rPr>
        <w:t xml:space="preserve">2.2　项目改造与经济效益必要性</w:t>
      </w:r>
      <w:r>
        <w:rPr>
          <w:color w:val="000000"/>
          <w:rFonts w:ascii="SimSun" w:eastAsia="SimSun" w:hAnsi="SimSun" w:cs="SimSun"/>
        </w:rPr>
        <w:t xml:space="preserve">	</w:t>
      </w:r>
      <w:fldSimple w:instr="PAGEREF _tc1_1 \h"/>
    </w:p>
    <w:p>
      <w:pPr>
        <w:tabs>
          <w:tab w:val="right" w:pos="9026" w:leader="dot"/>
        </w:tabs>
        <w:spacing w:after="40" w:line="300" w:lineRule="auto"/>
        <w:ind w:left="420"/>
      </w:pPr>
      <w:r>
        <w:rPr>
          <w:color w:val="000000"/>
          <w:sz w:val="24"/>
          <w:szCs w:val="24"/>
          <w:rFonts w:ascii="SimSun" w:eastAsia="SimSun" w:hAnsi="SimSun" w:cs="SimSun"/>
        </w:rPr>
        <w:t xml:space="preserve">2.3　社会效益与国企责任</w:t>
      </w:r>
      <w:r>
        <w:rPr>
          <w:color w:val="000000"/>
          <w:rFonts w:ascii="SimSun" w:eastAsia="SimSun" w:hAnsi="SimSun" w:cs="SimSun"/>
        </w:rPr>
        <w:t xml:space="preserve">	</w:t>
      </w:r>
      <w:fldSimple w:instr="PAGEREF _tc1_2 \h"/>
    </w:p>
    <w:p>
      <w:pPr>
        <w:tabs>
          <w:tab w:val="right" w:pos="9026" w:leader="dot"/>
        </w:tabs>
        <w:spacing w:before="100" w:after="40" w:line="300" w:lineRule="auto"/>
      </w:pPr>
      <w:r>
        <w:rPr>
          <w:b/>
          <w:bCs/>
          <w:color w:val="000000"/>
          <w:sz w:val="24"/>
          <w:szCs w:val="24"/>
          <w:rFonts w:ascii="SimSun" w:eastAsia="SimSun" w:hAnsi="SimSun" w:cs="SimSun"/>
        </w:rPr>
        <w:t xml:space="preserve">第三章　项目市场分析</w:t>
      </w:r>
      <w:r>
        <w:rPr>
          <w:color w:val="000000"/>
          <w:rFonts w:ascii="SimSun" w:eastAsia="SimSun" w:hAnsi="SimSun" w:cs="SimSun"/>
        </w:rPr>
        <w:t xml:space="preserve">	</w:t>
      </w:r>
      <w:fldSimple w:instr="PAGEREF _tc2 \h"/>
    </w:p>
    <w:p>
      <w:pPr>
        <w:tabs>
          <w:tab w:val="right" w:pos="9026" w:leader="dot"/>
        </w:tabs>
        <w:spacing w:after="40" w:line="300" w:lineRule="auto"/>
        <w:ind w:left="420"/>
      </w:pPr>
      <w:r>
        <w:rPr>
          <w:color w:val="000000"/>
          <w:sz w:val="24"/>
          <w:szCs w:val="24"/>
          <w:rFonts w:ascii="SimSun" w:eastAsia="SimSun" w:hAnsi="SimSun" w:cs="SimSun"/>
        </w:rPr>
        <w:t xml:space="preserve">3.1　宏观经济环境</w:t>
      </w:r>
      <w:r>
        <w:rPr>
          <w:color w:val="000000"/>
          <w:rFonts w:ascii="SimSun" w:eastAsia="SimSun" w:hAnsi="SimSun" w:cs="SimSun"/>
        </w:rPr>
        <w:t xml:space="preserve">	</w:t>
      </w:r>
      <w:fldSimple w:instr="PAGEREF _tc2_0 \h"/>
    </w:p>
    <w:p>
      <w:pPr>
        <w:tabs>
          <w:tab w:val="right" w:pos="9026" w:leader="dot"/>
        </w:tabs>
        <w:spacing w:after="40" w:line="300" w:lineRule="auto"/>
        <w:ind w:left="420"/>
      </w:pPr>
      <w:r>
        <w:rPr>
          <w:color w:val="000000"/>
          <w:sz w:val="24"/>
          <w:szCs w:val="24"/>
          <w:rFonts w:ascii="SimSun" w:eastAsia="SimSun" w:hAnsi="SimSun" w:cs="SimSun"/>
        </w:rPr>
        <w:t xml:space="preserve">3.2　需求分析：人口、就业与租赁市场基础</w:t>
      </w:r>
      <w:r>
        <w:rPr>
          <w:color w:val="000000"/>
          <w:rFonts w:ascii="SimSun" w:eastAsia="SimSun" w:hAnsi="SimSun" w:cs="SimSun"/>
        </w:rPr>
        <w:t xml:space="preserve">	</w:t>
      </w:r>
      <w:fldSimple w:instr="PAGEREF _tc2_1 \h"/>
    </w:p>
    <w:p>
      <w:pPr>
        <w:tabs>
          <w:tab w:val="right" w:pos="9026" w:leader="dot"/>
        </w:tabs>
        <w:spacing w:after="40" w:line="300" w:lineRule="auto"/>
        <w:ind w:left="420"/>
      </w:pPr>
      <w:r>
        <w:rPr>
          <w:color w:val="000000"/>
          <w:sz w:val="24"/>
          <w:szCs w:val="24"/>
          <w:rFonts w:ascii="SimSun" w:eastAsia="SimSun" w:hAnsi="SimSun" w:cs="SimSun"/>
        </w:rPr>
        <w:t xml:space="preserve">3.3　需求分析：职住关系与产业分析</w:t>
      </w:r>
      <w:r>
        <w:rPr>
          <w:color w:val="000000"/>
          <w:rFonts w:ascii="SimSun" w:eastAsia="SimSun" w:hAnsi="SimSun" w:cs="SimSun"/>
        </w:rPr>
        <w:t xml:space="preserve">	</w:t>
      </w:r>
      <w:fldSimple w:instr="PAGEREF _tc2_2 \h"/>
    </w:p>
    <w:p>
      <w:pPr>
        <w:tabs>
          <w:tab w:val="right" w:pos="9026" w:leader="dot"/>
        </w:tabs>
        <w:spacing w:after="40" w:line="300" w:lineRule="auto"/>
        <w:ind w:left="420"/>
      </w:pPr>
      <w:r>
        <w:rPr>
          <w:color w:val="000000"/>
          <w:sz w:val="24"/>
          <w:szCs w:val="24"/>
          <w:rFonts w:ascii="SimSun" w:eastAsia="SimSun" w:hAnsi="SimSun" w:cs="SimSun"/>
        </w:rPr>
        <w:t xml:space="preserve">3.4　需求分析：目标客群画像</w:t>
      </w:r>
      <w:r>
        <w:rPr>
          <w:color w:val="000000"/>
          <w:rFonts w:ascii="SimSun" w:eastAsia="SimSun" w:hAnsi="SimSun" w:cs="SimSun"/>
        </w:rPr>
        <w:t xml:space="preserve">	</w:t>
      </w:r>
      <w:fldSimple w:instr="PAGEREF _tc2_3 \h"/>
    </w:p>
    <w:p>
      <w:pPr>
        <w:tabs>
          <w:tab w:val="right" w:pos="9026" w:leader="dot"/>
        </w:tabs>
        <w:spacing w:after="40" w:line="300" w:lineRule="auto"/>
        <w:ind w:left="420"/>
      </w:pPr>
      <w:r>
        <w:rPr>
          <w:color w:val="000000"/>
          <w:sz w:val="24"/>
          <w:szCs w:val="24"/>
          <w:rFonts w:ascii="SimSun" w:eastAsia="SimSun" w:hAnsi="SimSun" w:cs="SimSun"/>
        </w:rPr>
        <w:t xml:space="preserve">3.5　供给分析：住房租赁供给分析</w:t>
      </w:r>
      <w:r>
        <w:rPr>
          <w:color w:val="000000"/>
          <w:rFonts w:ascii="SimSun" w:eastAsia="SimSun" w:hAnsi="SimSun" w:cs="SimSun"/>
        </w:rPr>
        <w:t xml:space="preserve">	</w:t>
      </w:r>
      <w:fldSimple w:instr="PAGEREF _tc2_4 \h"/>
    </w:p>
    <w:p>
      <w:pPr>
        <w:tabs>
          <w:tab w:val="right" w:pos="9026" w:leader="dot"/>
        </w:tabs>
        <w:spacing w:after="40" w:line="300" w:lineRule="auto"/>
        <w:ind w:left="420"/>
      </w:pPr>
      <w:r>
        <w:rPr>
          <w:color w:val="000000"/>
          <w:sz w:val="24"/>
          <w:szCs w:val="24"/>
          <w:rFonts w:ascii="SimSun" w:eastAsia="SimSun" w:hAnsi="SimSun" w:cs="SimSun"/>
        </w:rPr>
        <w:t xml:space="preserve">3.6　供给分析：竞品与租金水平分析</w:t>
      </w:r>
      <w:r>
        <w:rPr>
          <w:color w:val="000000"/>
          <w:rFonts w:ascii="SimSun" w:eastAsia="SimSun" w:hAnsi="SimSun" w:cs="SimSun"/>
        </w:rPr>
        <w:t xml:space="preserve">	</w:t>
      </w:r>
      <w:fldSimple w:instr="PAGEREF _tc2_5 \h"/>
    </w:p>
    <w:p>
      <w:pPr>
        <w:tabs>
          <w:tab w:val="right" w:pos="9026" w:leader="dot"/>
        </w:tabs>
        <w:spacing w:after="40" w:line="300" w:lineRule="auto"/>
        <w:ind w:left="420"/>
      </w:pPr>
      <w:r>
        <w:rPr>
          <w:color w:val="000000"/>
          <w:sz w:val="24"/>
          <w:szCs w:val="24"/>
          <w:rFonts w:ascii="SimSun" w:eastAsia="SimSun" w:hAnsi="SimSun" w:cs="SimSun"/>
        </w:rPr>
        <w:t xml:space="preserve">3.7　供需态势与市场结论</w:t>
      </w:r>
      <w:r>
        <w:rPr>
          <w:color w:val="000000"/>
          <w:rFonts w:ascii="SimSun" w:eastAsia="SimSun" w:hAnsi="SimSun" w:cs="SimSun"/>
        </w:rPr>
        <w:t xml:space="preserve">	</w:t>
      </w:r>
      <w:fldSimple w:instr="PAGEREF _tc2_6 \h"/>
    </w:p>
    <w:p>
      <w:pPr>
        <w:tabs>
          <w:tab w:val="right" w:pos="9026" w:leader="dot"/>
        </w:tabs>
        <w:spacing w:after="40" w:line="300" w:lineRule="auto"/>
        <w:ind w:left="420"/>
      </w:pPr>
      <w:r>
        <w:rPr>
          <w:color w:val="000000"/>
          <w:sz w:val="24"/>
          <w:szCs w:val="24"/>
          <w:rFonts w:ascii="SimSun" w:eastAsia="SimSun" w:hAnsi="SimSun" w:cs="SimSun"/>
        </w:rPr>
        <w:t xml:space="preserve">3.8　产品定位分析</w:t>
      </w:r>
      <w:r>
        <w:rPr>
          <w:color w:val="000000"/>
          <w:rFonts w:ascii="SimSun" w:eastAsia="SimSun" w:hAnsi="SimSun" w:cs="SimSun"/>
        </w:rPr>
        <w:t xml:space="preserve">	</w:t>
      </w:r>
      <w:fldSimple w:instr="PAGEREF _tc2_7 \h"/>
    </w:p>
    <w:p>
      <w:pPr>
        <w:tabs>
          <w:tab w:val="right" w:pos="9026" w:leader="dot"/>
        </w:tabs>
        <w:spacing w:before="100" w:after="40" w:line="300" w:lineRule="auto"/>
      </w:pPr>
      <w:r>
        <w:rPr>
          <w:b/>
          <w:bCs/>
          <w:color w:val="000000"/>
          <w:sz w:val="24"/>
          <w:szCs w:val="24"/>
          <w:rFonts w:ascii="SimSun" w:eastAsia="SimSun" w:hAnsi="SimSun" w:cs="SimSun"/>
        </w:rPr>
        <w:t xml:space="preserve">第四章　项目条件和SWOT分析</w:t>
      </w:r>
      <w:r>
        <w:rPr>
          <w:color w:val="000000"/>
          <w:rFonts w:ascii="SimSun" w:eastAsia="SimSun" w:hAnsi="SimSun" w:cs="SimSun"/>
        </w:rPr>
        <w:t xml:space="preserve">	</w:t>
      </w:r>
      <w:fldSimple w:instr="PAGEREF _tc3 \h"/>
    </w:p>
    <w:p>
      <w:pPr>
        <w:tabs>
          <w:tab w:val="right" w:pos="9026" w:leader="dot"/>
        </w:tabs>
        <w:spacing w:after="40" w:line="300" w:lineRule="auto"/>
        <w:ind w:left="420"/>
      </w:pPr>
      <w:r>
        <w:rPr>
          <w:color w:val="000000"/>
          <w:sz w:val="24"/>
          <w:szCs w:val="24"/>
          <w:rFonts w:ascii="SimSun" w:eastAsia="SimSun" w:hAnsi="SimSun" w:cs="SimSun"/>
        </w:rPr>
        <w:t xml:space="preserve">4.1　项目条件</w:t>
      </w:r>
      <w:r>
        <w:rPr>
          <w:color w:val="000000"/>
          <w:rFonts w:ascii="SimSun" w:eastAsia="SimSun" w:hAnsi="SimSun" w:cs="SimSun"/>
        </w:rPr>
        <w:t xml:space="preserve">	</w:t>
      </w:r>
      <w:fldSimple w:instr="PAGEREF _tc3_0 \h"/>
    </w:p>
    <w:p>
      <w:pPr>
        <w:tabs>
          <w:tab w:val="right" w:pos="9026" w:leader="dot"/>
        </w:tabs>
        <w:spacing w:after="40" w:line="300" w:lineRule="auto"/>
        <w:ind w:left="420"/>
      </w:pPr>
      <w:r>
        <w:rPr>
          <w:color w:val="000000"/>
          <w:sz w:val="24"/>
          <w:szCs w:val="24"/>
          <w:rFonts w:ascii="SimSun" w:eastAsia="SimSun" w:hAnsi="SimSun" w:cs="SimSun"/>
        </w:rPr>
        <w:t xml:space="preserve">4.2　SWOT综合分析</w:t>
      </w:r>
      <w:r>
        <w:rPr>
          <w:color w:val="000000"/>
          <w:rFonts w:ascii="SimSun" w:eastAsia="SimSun" w:hAnsi="SimSun" w:cs="SimSun"/>
        </w:rPr>
        <w:t xml:space="preserve">	</w:t>
      </w:r>
      <w:fldSimple w:instr="PAGEREF _tc3_1 \h"/>
    </w:p>
    <w:p>
      <w:pPr>
        <w:tabs>
          <w:tab w:val="right" w:pos="9026" w:leader="dot"/>
        </w:tabs>
        <w:spacing w:before="100" w:after="40" w:line="300" w:lineRule="auto"/>
      </w:pPr>
      <w:r>
        <w:rPr>
          <w:b/>
          <w:bCs/>
          <w:color w:val="000000"/>
          <w:sz w:val="24"/>
          <w:szCs w:val="24"/>
          <w:rFonts w:ascii="SimSun" w:eastAsia="SimSun" w:hAnsi="SimSun" w:cs="SimSun"/>
        </w:rPr>
        <w:t xml:space="preserve">第五章　项目策划定位</w:t>
      </w:r>
      <w:r>
        <w:rPr>
          <w:color w:val="000000"/>
          <w:rFonts w:ascii="SimSun" w:eastAsia="SimSun" w:hAnsi="SimSun" w:cs="SimSun"/>
        </w:rPr>
        <w:t xml:space="preserve">	</w:t>
      </w:r>
      <w:fldSimple w:instr="PAGEREF _tc4 \h"/>
    </w:p>
    <w:p>
      <w:pPr>
        <w:tabs>
          <w:tab w:val="right" w:pos="9026" w:leader="dot"/>
        </w:tabs>
        <w:spacing w:after="40" w:line="300" w:lineRule="auto"/>
        <w:ind w:left="420"/>
      </w:pPr>
      <w:r>
        <w:rPr>
          <w:color w:val="000000"/>
          <w:sz w:val="24"/>
          <w:szCs w:val="24"/>
          <w:rFonts w:ascii="SimSun" w:eastAsia="SimSun" w:hAnsi="SimSun" w:cs="SimSun"/>
        </w:rPr>
        <w:t xml:space="preserve">5.1　客群定位</w:t>
      </w:r>
      <w:r>
        <w:rPr>
          <w:color w:val="000000"/>
          <w:rFonts w:ascii="SimSun" w:eastAsia="SimSun" w:hAnsi="SimSun" w:cs="SimSun"/>
        </w:rPr>
        <w:t xml:space="preserve">	</w:t>
      </w:r>
      <w:fldSimple w:instr="PAGEREF _tc4_0 \h"/>
    </w:p>
    <w:p>
      <w:pPr>
        <w:tabs>
          <w:tab w:val="right" w:pos="9026" w:leader="dot"/>
        </w:tabs>
        <w:spacing w:after="40" w:line="300" w:lineRule="auto"/>
        <w:ind w:left="420"/>
      </w:pPr>
      <w:r>
        <w:rPr>
          <w:color w:val="000000"/>
          <w:sz w:val="24"/>
          <w:szCs w:val="24"/>
          <w:rFonts w:ascii="SimSun" w:eastAsia="SimSun" w:hAnsi="SimSun" w:cs="SimSun"/>
        </w:rPr>
        <w:t xml:space="preserve">5.2　产品及竞争定位</w:t>
      </w:r>
      <w:r>
        <w:rPr>
          <w:color w:val="000000"/>
          <w:rFonts w:ascii="SimSun" w:eastAsia="SimSun" w:hAnsi="SimSun" w:cs="SimSun"/>
        </w:rPr>
        <w:t xml:space="preserve">	</w:t>
      </w:r>
      <w:fldSimple w:instr="PAGEREF _tc4_1 \h"/>
    </w:p>
    <w:p>
      <w:pPr>
        <w:tabs>
          <w:tab w:val="right" w:pos="9026" w:leader="dot"/>
        </w:tabs>
        <w:spacing w:after="40" w:line="300" w:lineRule="auto"/>
        <w:ind w:left="420"/>
      </w:pPr>
      <w:r>
        <w:rPr>
          <w:color w:val="000000"/>
          <w:sz w:val="24"/>
          <w:szCs w:val="24"/>
          <w:rFonts w:ascii="SimSun" w:eastAsia="SimSun" w:hAnsi="SimSun" w:cs="SimSun"/>
        </w:rPr>
        <w:t xml:space="preserve">5.3　价格定位</w:t>
      </w:r>
      <w:r>
        <w:rPr>
          <w:color w:val="000000"/>
          <w:rFonts w:ascii="SimSun" w:eastAsia="SimSun" w:hAnsi="SimSun" w:cs="SimSun"/>
        </w:rPr>
        <w:t xml:space="preserve">	</w:t>
      </w:r>
      <w:fldSimple w:instr="PAGEREF _tc4_2 \h"/>
    </w:p>
    <w:p>
      <w:pPr>
        <w:tabs>
          <w:tab w:val="right" w:pos="9026" w:leader="dot"/>
        </w:tabs>
        <w:spacing w:before="100" w:after="40" w:line="300" w:lineRule="auto"/>
      </w:pPr>
      <w:r>
        <w:rPr>
          <w:b/>
          <w:bCs/>
          <w:color w:val="000000"/>
          <w:sz w:val="24"/>
          <w:szCs w:val="24"/>
          <w:rFonts w:ascii="SimSun" w:eastAsia="SimSun" w:hAnsi="SimSun" w:cs="SimSun"/>
        </w:rPr>
        <w:t xml:space="preserve">第六章　改造运营方案</w:t>
      </w:r>
      <w:r>
        <w:rPr>
          <w:color w:val="000000"/>
          <w:rFonts w:ascii="SimSun" w:eastAsia="SimSun" w:hAnsi="SimSun" w:cs="SimSun"/>
        </w:rPr>
        <w:t xml:space="preserve">	</w:t>
      </w:r>
      <w:fldSimple w:instr="PAGEREF _tc5 \h"/>
    </w:p>
    <w:p>
      <w:pPr>
        <w:tabs>
          <w:tab w:val="right" w:pos="9026" w:leader="dot"/>
        </w:tabs>
        <w:spacing w:after="40" w:line="300" w:lineRule="auto"/>
        <w:ind w:left="420"/>
      </w:pPr>
      <w:r>
        <w:rPr>
          <w:color w:val="000000"/>
          <w:sz w:val="24"/>
          <w:szCs w:val="24"/>
          <w:rFonts w:ascii="SimSun" w:eastAsia="SimSun" w:hAnsi="SimSun" w:cs="SimSun"/>
        </w:rPr>
        <w:t xml:space="preserve">6.1　改造实施计划及效果</w:t>
      </w:r>
      <w:r>
        <w:rPr>
          <w:color w:val="000000"/>
          <w:rFonts w:ascii="SimSun" w:eastAsia="SimSun" w:hAnsi="SimSun" w:cs="SimSun"/>
        </w:rPr>
        <w:t xml:space="preserve">	</w:t>
      </w:r>
      <w:fldSimple w:instr="PAGEREF _tc5_0 \h"/>
    </w:p>
    <w:p>
      <w:pPr>
        <w:tabs>
          <w:tab w:val="right" w:pos="9026" w:leader="dot"/>
        </w:tabs>
        <w:spacing w:after="40" w:line="300" w:lineRule="auto"/>
        <w:ind w:left="420"/>
      </w:pPr>
      <w:r>
        <w:rPr>
          <w:color w:val="000000"/>
          <w:sz w:val="24"/>
          <w:szCs w:val="24"/>
          <w:rFonts w:ascii="SimSun" w:eastAsia="SimSun" w:hAnsi="SimSun" w:cs="SimSun"/>
        </w:rPr>
        <w:t xml:space="preserve">6.2　项目管理与实施进度计划</w:t>
      </w:r>
      <w:r>
        <w:rPr>
          <w:color w:val="000000"/>
          <w:rFonts w:ascii="SimSun" w:eastAsia="SimSun" w:hAnsi="SimSun" w:cs="SimSun"/>
        </w:rPr>
        <w:t xml:space="preserve">	</w:t>
      </w:r>
      <w:fldSimple w:instr="PAGEREF _tc5_1 \h"/>
    </w:p>
    <w:p>
      <w:pPr>
        <w:tabs>
          <w:tab w:val="right" w:pos="9026" w:leader="dot"/>
        </w:tabs>
        <w:spacing w:after="40" w:line="300" w:lineRule="auto"/>
        <w:ind w:left="420"/>
      </w:pPr>
      <w:r>
        <w:rPr>
          <w:color w:val="000000"/>
          <w:sz w:val="24"/>
          <w:szCs w:val="24"/>
          <w:rFonts w:ascii="SimSun" w:eastAsia="SimSun" w:hAnsi="SimSun" w:cs="SimSun"/>
        </w:rPr>
        <w:t xml:space="preserve">6.3　运营方案</w:t>
      </w:r>
      <w:r>
        <w:rPr>
          <w:color w:val="000000"/>
          <w:rFonts w:ascii="SimSun" w:eastAsia="SimSun" w:hAnsi="SimSun" w:cs="SimSun"/>
        </w:rPr>
        <w:t xml:space="preserve">	</w:t>
      </w:r>
      <w:fldSimple w:instr="PAGEREF _tc5_2 \h"/>
    </w:p>
    <w:p>
      <w:pPr>
        <w:tabs>
          <w:tab w:val="right" w:pos="9026" w:leader="dot"/>
        </w:tabs>
        <w:spacing w:before="100" w:after="40" w:line="300" w:lineRule="auto"/>
      </w:pPr>
      <w:r>
        <w:rPr>
          <w:b/>
          <w:bCs/>
          <w:color w:val="000000"/>
          <w:sz w:val="24"/>
          <w:szCs w:val="24"/>
          <w:rFonts w:ascii="SimSun" w:eastAsia="SimSun" w:hAnsi="SimSun" w:cs="SimSun"/>
        </w:rPr>
        <w:t xml:space="preserve">第七章　项目合作模式</w:t>
      </w:r>
      <w:r>
        <w:rPr>
          <w:color w:val="000000"/>
          <w:rFonts w:ascii="SimSun" w:eastAsia="SimSun" w:hAnsi="SimSun" w:cs="SimSun"/>
        </w:rPr>
        <w:t xml:space="preserve">	</w:t>
      </w:r>
      <w:fldSimple w:instr="PAGEREF _tc6 \h"/>
    </w:p>
    <w:p>
      <w:pPr>
        <w:tabs>
          <w:tab w:val="right" w:pos="9026" w:leader="dot"/>
        </w:tabs>
        <w:spacing w:after="40" w:line="300" w:lineRule="auto"/>
        <w:ind w:left="420"/>
      </w:pPr>
      <w:r>
        <w:rPr>
          <w:color w:val="000000"/>
          <w:sz w:val="24"/>
          <w:szCs w:val="24"/>
          <w:rFonts w:ascii="SimSun" w:eastAsia="SimSun" w:hAnsi="SimSun" w:cs="SimSun"/>
        </w:rPr>
        <w:t xml:space="preserve">7.1　合作模式</w:t>
      </w:r>
      <w:r>
        <w:rPr>
          <w:color w:val="000000"/>
          <w:rFonts w:ascii="SimSun" w:eastAsia="SimSun" w:hAnsi="SimSun" w:cs="SimSun"/>
        </w:rPr>
        <w:t xml:space="preserve">	</w:t>
      </w:r>
      <w:fldSimple w:instr="PAGEREF _tc6_0 \h"/>
    </w:p>
    <w:p>
      <w:pPr>
        <w:tabs>
          <w:tab w:val="right" w:pos="9026" w:leader="dot"/>
        </w:tabs>
        <w:spacing w:after="40" w:line="300" w:lineRule="auto"/>
        <w:ind w:left="420"/>
      </w:pPr>
      <w:r>
        <w:rPr>
          <w:color w:val="000000"/>
          <w:sz w:val="24"/>
          <w:szCs w:val="24"/>
          <w:rFonts w:ascii="SimSun" w:eastAsia="SimSun" w:hAnsi="SimSun" w:cs="SimSun"/>
        </w:rPr>
        <w:t xml:space="preserve">7.2　合作核心条款</w:t>
      </w:r>
      <w:r>
        <w:rPr>
          <w:color w:val="000000"/>
          <w:rFonts w:ascii="SimSun" w:eastAsia="SimSun" w:hAnsi="SimSun" w:cs="SimSun"/>
        </w:rPr>
        <w:t xml:space="preserve">	</w:t>
      </w:r>
      <w:fldSimple w:instr="PAGEREF _tc6_1 \h"/>
    </w:p>
    <w:p>
      <w:pPr>
        <w:tabs>
          <w:tab w:val="right" w:pos="9026" w:leader="dot"/>
        </w:tabs>
        <w:spacing w:before="100" w:after="40" w:line="300" w:lineRule="auto"/>
      </w:pPr>
      <w:r>
        <w:rPr>
          <w:b/>
          <w:bCs/>
          <w:color w:val="000000"/>
          <w:sz w:val="24"/>
          <w:szCs w:val="24"/>
          <w:rFonts w:ascii="SimSun" w:eastAsia="SimSun" w:hAnsi="SimSun" w:cs="SimSun"/>
        </w:rPr>
        <w:t xml:space="preserve">第八章　投资估算与资金筹措</w:t>
      </w:r>
      <w:r>
        <w:rPr>
          <w:color w:val="000000"/>
          <w:rFonts w:ascii="SimSun" w:eastAsia="SimSun" w:hAnsi="SimSun" w:cs="SimSun"/>
        </w:rPr>
        <w:t xml:space="preserve">	</w:t>
      </w:r>
      <w:fldSimple w:instr="PAGEREF _tc7 \h"/>
    </w:p>
    <w:p>
      <w:pPr>
        <w:tabs>
          <w:tab w:val="right" w:pos="9026" w:leader="dot"/>
        </w:tabs>
        <w:spacing w:after="40" w:line="300" w:lineRule="auto"/>
        <w:ind w:left="420"/>
      </w:pPr>
      <w:r>
        <w:rPr>
          <w:color w:val="000000"/>
          <w:sz w:val="24"/>
          <w:szCs w:val="24"/>
          <w:rFonts w:ascii="SimSun" w:eastAsia="SimSun" w:hAnsi="SimSun" w:cs="SimSun"/>
        </w:rPr>
        <w:t xml:space="preserve">8.1　投资估算</w:t>
      </w:r>
      <w:r>
        <w:rPr>
          <w:color w:val="000000"/>
          <w:rFonts w:ascii="SimSun" w:eastAsia="SimSun" w:hAnsi="SimSun" w:cs="SimSun"/>
        </w:rPr>
        <w:t xml:space="preserve">	</w:t>
      </w:r>
      <w:fldSimple w:instr="PAGEREF _tc7_0 \h"/>
    </w:p>
    <w:p>
      <w:pPr>
        <w:tabs>
          <w:tab w:val="right" w:pos="9026" w:leader="dot"/>
        </w:tabs>
        <w:spacing w:after="40" w:line="300" w:lineRule="auto"/>
        <w:ind w:left="420"/>
      </w:pPr>
      <w:r>
        <w:rPr>
          <w:color w:val="000000"/>
          <w:sz w:val="24"/>
          <w:szCs w:val="24"/>
          <w:rFonts w:ascii="SimSun" w:eastAsia="SimSun" w:hAnsi="SimSun" w:cs="SimSun"/>
        </w:rPr>
        <w:t xml:space="preserve">8.2　资金筹措</w:t>
      </w:r>
      <w:r>
        <w:rPr>
          <w:color w:val="000000"/>
          <w:rFonts w:ascii="SimSun" w:eastAsia="SimSun" w:hAnsi="SimSun" w:cs="SimSun"/>
        </w:rPr>
        <w:t xml:space="preserve">	</w:t>
      </w:r>
      <w:fldSimple w:instr="PAGEREF _tc7_1 \h"/>
    </w:p>
    <w:p>
      <w:pPr>
        <w:tabs>
          <w:tab w:val="right" w:pos="9026" w:leader="dot"/>
        </w:tabs>
        <w:spacing w:before="100" w:after="40" w:line="300" w:lineRule="auto"/>
      </w:pPr>
      <w:r>
        <w:rPr>
          <w:b/>
          <w:bCs/>
          <w:color w:val="000000"/>
          <w:sz w:val="24"/>
          <w:szCs w:val="24"/>
          <w:rFonts w:ascii="SimSun" w:eastAsia="SimSun" w:hAnsi="SimSun" w:cs="SimSun"/>
        </w:rPr>
        <w:t xml:space="preserve">第九章　财务评价</w:t>
      </w:r>
      <w:r>
        <w:rPr>
          <w:color w:val="000000"/>
          <w:rFonts w:ascii="SimSun" w:eastAsia="SimSun" w:hAnsi="SimSun" w:cs="SimSun"/>
        </w:rPr>
        <w:t xml:space="preserve">	</w:t>
      </w:r>
      <w:fldSimple w:instr="PAGEREF _tc8 \h"/>
    </w:p>
    <w:p>
      <w:pPr>
        <w:tabs>
          <w:tab w:val="right" w:pos="9026" w:leader="dot"/>
        </w:tabs>
        <w:spacing w:after="40" w:line="300" w:lineRule="auto"/>
        <w:ind w:left="420"/>
      </w:pPr>
      <w:r>
        <w:rPr>
          <w:color w:val="000000"/>
          <w:sz w:val="24"/>
          <w:szCs w:val="24"/>
          <w:rFonts w:ascii="SimSun" w:eastAsia="SimSun" w:hAnsi="SimSun" w:cs="SimSun"/>
        </w:rPr>
        <w:t xml:space="preserve">9.1　财务评价基础数据和假设</w:t>
      </w:r>
      <w:r>
        <w:rPr>
          <w:color w:val="000000"/>
          <w:rFonts w:ascii="SimSun" w:eastAsia="SimSun" w:hAnsi="SimSun" w:cs="SimSun"/>
        </w:rPr>
        <w:t xml:space="preserve">	</w:t>
      </w:r>
      <w:fldSimple w:instr="PAGEREF _tc8_0 \h"/>
    </w:p>
    <w:p>
      <w:pPr>
        <w:tabs>
          <w:tab w:val="right" w:pos="9026" w:leader="dot"/>
        </w:tabs>
        <w:spacing w:after="40" w:line="300" w:lineRule="auto"/>
        <w:ind w:left="420"/>
      </w:pPr>
      <w:r>
        <w:rPr>
          <w:color w:val="000000"/>
          <w:sz w:val="24"/>
          <w:szCs w:val="24"/>
          <w:rFonts w:ascii="SimSun" w:eastAsia="SimSun" w:hAnsi="SimSun" w:cs="SimSun"/>
        </w:rPr>
        <w:t xml:space="preserve">9.2　盈利能力分析</w:t>
      </w:r>
      <w:r>
        <w:rPr>
          <w:color w:val="000000"/>
          <w:rFonts w:ascii="SimSun" w:eastAsia="SimSun" w:hAnsi="SimSun" w:cs="SimSun"/>
        </w:rPr>
        <w:t xml:space="preserve">	</w:t>
      </w:r>
      <w:fldSimple w:instr="PAGEREF _tc8_1 \h"/>
    </w:p>
    <w:p>
      <w:pPr>
        <w:tabs>
          <w:tab w:val="right" w:pos="9026" w:leader="dot"/>
        </w:tabs>
        <w:spacing w:after="40" w:line="300" w:lineRule="auto"/>
        <w:ind w:left="420"/>
      </w:pPr>
      <w:r>
        <w:rPr>
          <w:color w:val="000000"/>
          <w:sz w:val="24"/>
          <w:szCs w:val="24"/>
          <w:rFonts w:ascii="SimSun" w:eastAsia="SimSun" w:hAnsi="SimSun" w:cs="SimSun"/>
        </w:rPr>
        <w:t xml:space="preserve">9.3　财务评价</w:t>
      </w:r>
      <w:r>
        <w:rPr>
          <w:color w:val="000000"/>
          <w:rFonts w:ascii="SimSun" w:eastAsia="SimSun" w:hAnsi="SimSun" w:cs="SimSun"/>
        </w:rPr>
        <w:t xml:space="preserve">	</w:t>
      </w:r>
      <w:fldSimple w:instr="PAGEREF _tc8_2 \h"/>
    </w:p>
    <w:p>
      <w:pPr>
        <w:tabs>
          <w:tab w:val="right" w:pos="9026" w:leader="dot"/>
        </w:tabs>
        <w:spacing w:after="40" w:line="300" w:lineRule="auto"/>
        <w:ind w:left="420"/>
      </w:pPr>
      <w:r>
        <w:rPr>
          <w:color w:val="000000"/>
          <w:sz w:val="24"/>
          <w:szCs w:val="24"/>
          <w:rFonts w:ascii="SimSun" w:eastAsia="SimSun" w:hAnsi="SimSun" w:cs="SimSun"/>
        </w:rPr>
        <w:t xml:space="preserve">9.4　不确定性分析</w:t>
      </w:r>
      <w:r>
        <w:rPr>
          <w:color w:val="000000"/>
          <w:rFonts w:ascii="SimSun" w:eastAsia="SimSun" w:hAnsi="SimSun" w:cs="SimSun"/>
        </w:rPr>
        <w:t xml:space="preserve">	</w:t>
      </w:r>
      <w:fldSimple w:instr="PAGEREF _tc8_3 \h"/>
    </w:p>
    <w:p>
      <w:pPr>
        <w:tabs>
          <w:tab w:val="right" w:pos="9026" w:leader="dot"/>
        </w:tabs>
        <w:spacing w:before="100" w:after="40" w:line="300" w:lineRule="auto"/>
      </w:pPr>
      <w:r>
        <w:rPr>
          <w:b/>
          <w:bCs/>
          <w:color w:val="000000"/>
          <w:sz w:val="24"/>
          <w:szCs w:val="24"/>
          <w:rFonts w:ascii="SimSun" w:eastAsia="SimSun" w:hAnsi="SimSun" w:cs="SimSun"/>
        </w:rPr>
        <w:t xml:space="preserve">第十章　社会效益评价</w:t>
      </w:r>
      <w:r>
        <w:rPr>
          <w:color w:val="000000"/>
          <w:rFonts w:ascii="SimSun" w:eastAsia="SimSun" w:hAnsi="SimSun" w:cs="SimSun"/>
        </w:rPr>
        <w:t xml:space="preserve">	</w:t>
      </w:r>
      <w:fldSimple w:instr="PAGEREF _tc9 \h"/>
    </w:p>
    <w:p>
      <w:pPr>
        <w:tabs>
          <w:tab w:val="right" w:pos="9026" w:leader="dot"/>
        </w:tabs>
        <w:spacing w:after="40" w:line="300" w:lineRule="auto"/>
        <w:ind w:left="420"/>
      </w:pPr>
      <w:r>
        <w:rPr>
          <w:color w:val="000000"/>
          <w:sz w:val="24"/>
          <w:szCs w:val="24"/>
          <w:rFonts w:ascii="SimSun" w:eastAsia="SimSun" w:hAnsi="SimSun" w:cs="SimSun"/>
        </w:rPr>
        <w:t xml:space="preserve">10.1　社会效益评价</w:t>
      </w:r>
      <w:r>
        <w:rPr>
          <w:color w:val="000000"/>
          <w:rFonts w:ascii="SimSun" w:eastAsia="SimSun" w:hAnsi="SimSun" w:cs="SimSun"/>
        </w:rPr>
        <w:t xml:space="preserve">	</w:t>
      </w:r>
      <w:fldSimple w:instr="PAGEREF _tc9_0 \h"/>
    </w:p>
    <w:p>
      <w:pPr>
        <w:tabs>
          <w:tab w:val="right" w:pos="9026" w:leader="dot"/>
        </w:tabs>
        <w:spacing w:before="100" w:after="40" w:line="300" w:lineRule="auto"/>
      </w:pPr>
      <w:r>
        <w:rPr>
          <w:b/>
          <w:bCs/>
          <w:color w:val="000000"/>
          <w:sz w:val="24"/>
          <w:szCs w:val="24"/>
          <w:rFonts w:ascii="SimSun" w:eastAsia="SimSun" w:hAnsi="SimSun" w:cs="SimSun"/>
        </w:rPr>
        <w:t xml:space="preserve">第十一章　项目风险分析及对策</w:t>
      </w:r>
      <w:r>
        <w:rPr>
          <w:color w:val="000000"/>
          <w:rFonts w:ascii="SimSun" w:eastAsia="SimSun" w:hAnsi="SimSun" w:cs="SimSun"/>
        </w:rPr>
        <w:t xml:space="preserve">	</w:t>
      </w:r>
      <w:fldSimple w:instr="PAGEREF _tc10 \h"/>
    </w:p>
    <w:p>
      <w:pPr>
        <w:tabs>
          <w:tab w:val="right" w:pos="9026" w:leader="dot"/>
        </w:tabs>
        <w:spacing w:after="40" w:line="300" w:lineRule="auto"/>
        <w:ind w:left="420"/>
      </w:pPr>
      <w:r>
        <w:rPr>
          <w:color w:val="000000"/>
          <w:sz w:val="24"/>
          <w:szCs w:val="24"/>
          <w:rFonts w:ascii="SimSun" w:eastAsia="SimSun" w:hAnsi="SimSun" w:cs="SimSun"/>
        </w:rPr>
        <w:t xml:space="preserve">11.1　市场风险</w:t>
      </w:r>
      <w:r>
        <w:rPr>
          <w:color w:val="000000"/>
          <w:rFonts w:ascii="SimSun" w:eastAsia="SimSun" w:hAnsi="SimSun" w:cs="SimSun"/>
        </w:rPr>
        <w:t xml:space="preserve">	</w:t>
      </w:r>
      <w:fldSimple w:instr="PAGEREF _tc10_0 \h"/>
    </w:p>
    <w:p>
      <w:pPr>
        <w:tabs>
          <w:tab w:val="right" w:pos="9026" w:leader="dot"/>
        </w:tabs>
        <w:spacing w:after="40" w:line="300" w:lineRule="auto"/>
        <w:ind w:left="420"/>
      </w:pPr>
      <w:r>
        <w:rPr>
          <w:color w:val="000000"/>
          <w:sz w:val="24"/>
          <w:szCs w:val="24"/>
          <w:rFonts w:ascii="SimSun" w:eastAsia="SimSun" w:hAnsi="SimSun" w:cs="SimSun"/>
        </w:rPr>
        <w:t xml:space="preserve">11.2　工程风险</w:t>
      </w:r>
      <w:r>
        <w:rPr>
          <w:color w:val="000000"/>
          <w:rFonts w:ascii="SimSun" w:eastAsia="SimSun" w:hAnsi="SimSun" w:cs="SimSun"/>
        </w:rPr>
        <w:t xml:space="preserve">	</w:t>
      </w:r>
      <w:fldSimple w:instr="PAGEREF _tc10_1 \h"/>
    </w:p>
    <w:p>
      <w:pPr>
        <w:tabs>
          <w:tab w:val="right" w:pos="9026" w:leader="dot"/>
        </w:tabs>
        <w:spacing w:after="40" w:line="300" w:lineRule="auto"/>
        <w:ind w:left="420"/>
      </w:pPr>
      <w:r>
        <w:rPr>
          <w:color w:val="000000"/>
          <w:sz w:val="24"/>
          <w:szCs w:val="24"/>
          <w:rFonts w:ascii="SimSun" w:eastAsia="SimSun" w:hAnsi="SimSun" w:cs="SimSun"/>
        </w:rPr>
        <w:t xml:space="preserve">11.3　投资收益风险</w:t>
      </w:r>
      <w:r>
        <w:rPr>
          <w:color w:val="000000"/>
          <w:rFonts w:ascii="SimSun" w:eastAsia="SimSun" w:hAnsi="SimSun" w:cs="SimSun"/>
        </w:rPr>
        <w:t xml:space="preserve">	</w:t>
      </w:r>
      <w:fldSimple w:instr="PAGEREF _tc10_2 \h"/>
    </w:p>
    <w:p>
      <w:pPr>
        <w:tabs>
          <w:tab w:val="right" w:pos="9026" w:leader="dot"/>
        </w:tabs>
        <w:spacing w:after="40" w:line="300" w:lineRule="auto"/>
        <w:ind w:left="420"/>
      </w:pPr>
      <w:r>
        <w:rPr>
          <w:color w:val="000000"/>
          <w:sz w:val="24"/>
          <w:szCs w:val="24"/>
          <w:rFonts w:ascii="SimSun" w:eastAsia="SimSun" w:hAnsi="SimSun" w:cs="SimSun"/>
        </w:rPr>
        <w:t xml:space="preserve">11.4　舆情风险</w:t>
      </w:r>
      <w:r>
        <w:rPr>
          <w:color w:val="000000"/>
          <w:rFonts w:ascii="SimSun" w:eastAsia="SimSun" w:hAnsi="SimSun" w:cs="SimSun"/>
        </w:rPr>
        <w:t xml:space="preserve">	</w:t>
      </w:r>
      <w:fldSimple w:instr="PAGEREF _tc10_3 \h"/>
    </w:p>
    <w:p>
      <w:pPr>
        <w:tabs>
          <w:tab w:val="right" w:pos="9026" w:leader="dot"/>
        </w:tabs>
        <w:spacing w:after="40" w:line="300" w:lineRule="auto"/>
        <w:ind w:left="420"/>
      </w:pPr>
      <w:r>
        <w:rPr>
          <w:color w:val="000000"/>
          <w:sz w:val="24"/>
          <w:szCs w:val="24"/>
          <w:rFonts w:ascii="SimSun" w:eastAsia="SimSun" w:hAnsi="SimSun" w:cs="SimSun"/>
        </w:rPr>
        <w:t xml:space="preserve">11.5　政策风险</w:t>
      </w:r>
      <w:r>
        <w:rPr>
          <w:color w:val="000000"/>
          <w:rFonts w:ascii="SimSun" w:eastAsia="SimSun" w:hAnsi="SimSun" w:cs="SimSun"/>
        </w:rPr>
        <w:t xml:space="preserve">	</w:t>
      </w:r>
      <w:fldSimple w:instr="PAGEREF _tc10_4 \h"/>
    </w:p>
    <w:p>
      <w:pPr>
        <w:tabs>
          <w:tab w:val="right" w:pos="9026" w:leader="dot"/>
        </w:tabs>
        <w:spacing w:after="40" w:line="300" w:lineRule="auto"/>
        <w:ind w:left="420"/>
      </w:pPr>
      <w:r>
        <w:rPr>
          <w:color w:val="000000"/>
          <w:sz w:val="24"/>
          <w:szCs w:val="24"/>
          <w:rFonts w:ascii="SimSun" w:eastAsia="SimSun" w:hAnsi="SimSun" w:cs="SimSun"/>
        </w:rPr>
        <w:t xml:space="preserve">11.6　合作风险</w:t>
      </w:r>
      <w:r>
        <w:rPr>
          <w:color w:val="000000"/>
          <w:rFonts w:ascii="SimSun" w:eastAsia="SimSun" w:hAnsi="SimSun" w:cs="SimSun"/>
        </w:rPr>
        <w:t xml:space="preserve">	</w:t>
      </w:r>
      <w:fldSimple w:instr="PAGEREF _tc10_5 \h"/>
    </w:p>
    <w:p>
      <w:pPr>
        <w:tabs>
          <w:tab w:val="right" w:pos="9026" w:leader="dot"/>
        </w:tabs>
        <w:spacing w:before="100" w:after="40" w:line="300" w:lineRule="auto"/>
      </w:pPr>
      <w:r>
        <w:rPr>
          <w:b/>
          <w:bCs/>
          <w:color w:val="000000"/>
          <w:sz w:val="24"/>
          <w:szCs w:val="24"/>
          <w:rFonts w:ascii="SimSun" w:eastAsia="SimSun" w:hAnsi="SimSun" w:cs="SimSun"/>
        </w:rPr>
        <w:t xml:space="preserve">第十二章　项目研究结论及建议</w:t>
      </w:r>
      <w:r>
        <w:rPr>
          <w:color w:val="000000"/>
          <w:rFonts w:ascii="SimSun" w:eastAsia="SimSun" w:hAnsi="SimSun" w:cs="SimSun"/>
        </w:rPr>
        <w:t xml:space="preserve">	</w:t>
      </w:r>
      <w:fldSimple w:instr="PAGEREF _tc11 \h"/>
    </w:p>
    <w:p>
      <w:pPr>
        <w:tabs>
          <w:tab w:val="right" w:pos="9026" w:leader="dot"/>
        </w:tabs>
        <w:spacing w:after="40" w:line="300" w:lineRule="auto"/>
        <w:ind w:left="420"/>
      </w:pPr>
      <w:r>
        <w:rPr>
          <w:color w:val="000000"/>
          <w:sz w:val="24"/>
          <w:szCs w:val="24"/>
          <w:rFonts w:ascii="SimSun" w:eastAsia="SimSun" w:hAnsi="SimSun" w:cs="SimSun"/>
        </w:rPr>
        <w:t xml:space="preserve">12.1　项目可行性结论</w:t>
      </w:r>
      <w:r>
        <w:rPr>
          <w:color w:val="000000"/>
          <w:rFonts w:ascii="SimSun" w:eastAsia="SimSun" w:hAnsi="SimSun" w:cs="SimSun"/>
        </w:rPr>
        <w:t xml:space="preserve">	</w:t>
      </w:r>
      <w:fldSimple w:instr="PAGEREF _tc11_0 \h"/>
    </w:p>
    <w:p>
      <w:pPr>
        <w:tabs>
          <w:tab w:val="right" w:pos="9026" w:leader="dot"/>
        </w:tabs>
        <w:spacing w:after="40" w:line="300" w:lineRule="auto"/>
        <w:ind w:left="420"/>
      </w:pPr>
      <w:r>
        <w:rPr>
          <w:color w:val="000000"/>
          <w:sz w:val="24"/>
          <w:szCs w:val="24"/>
          <w:rFonts w:ascii="SimSun" w:eastAsia="SimSun" w:hAnsi="SimSun" w:cs="SimSun"/>
        </w:rPr>
        <w:t xml:space="preserve">12.2　项目下一步工作建议</w:t>
      </w:r>
      <w:r>
        <w:rPr>
          <w:color w:val="000000"/>
          <w:rFonts w:ascii="SimSun" w:eastAsia="SimSun" w:hAnsi="SimSun" w:cs="SimSun"/>
        </w:rPr>
        <w:t xml:space="preserve">	</w:t>
      </w:r>
      <w:fldSimple w:instr="PAGEREF _tc11_1 \h"/>
    </w:p>
    <undefined>
      <w:p xmlns:w="http://schemas.openxmlformats.org/wordprocessingml/2006/main">
        <w:pPr>
          <w:spacing w:after="0" w:line="240" w:lineRule="auto"/>
        </w:pPr>
        <w:r>
          <w:fldChar w:fldCharType="end"/>
        </w:r>
      </w:p>
    </undefined>
    <w:p>
      <w:pPr>
        <w:pStyle w:val="Heading1"/>
        <w:pageBreakBefore/>
        <w:spacing w:after="360" w:line="312" w:lineRule="auto"/>
        <w:jc w:val="center"/>
      </w:pPr>
      <w:bookmarkStart w:name="_tc0" w:id="1"/>
      <w:r>
        <w:rPr>
          <w:b/>
          <w:bCs/>
          <w:color w:val="000000"/>
          <w:sz w:val="44"/>
          <w:szCs w:val="44"/>
          <w:rFonts w:ascii="SimSun" w:eastAsia="SimSun" w:hAnsi="SimSun" w:cs="SimSun"/>
        </w:rPr>
        <w:t xml:space="preserve">第一章　项目总论</w:t>
      </w:r>
      <w:bookmarkEnd w:id="1"/>
    </w:p>
    <w:p>
      <w:pPr>
        <w:pStyle w:val="Heading2"/>
        <w:spacing w:before="280" w:after="160" w:line="312" w:lineRule="auto"/>
      </w:pPr>
      <w:bookmarkStart w:name="_tc0_0" w:id="1"/>
      <w:r>
        <w:rPr>
          <w:b/>
          <w:bCs/>
          <w:color w:val="000000"/>
          <w:sz w:val="28"/>
          <w:szCs w:val="28"/>
          <w:rFonts w:ascii="SimSun" w:eastAsia="SimSun" w:hAnsi="SimSun" w:cs="SimSun"/>
        </w:rPr>
        <w:t xml:space="preserve">1.1　编制依据与编制说明</w:t>
      </w:r>
      <w:bookmarkEnd w:id="1"/>
    </w:p>
    <w:p>
      <w:pPr>
        <w:pStyle w:val="Heading3"/>
        <w:keepNext/>
        <w:spacing w:before="160" w:after="80" w:line="360" w:lineRule="auto"/>
      </w:pPr>
      <w:r>
        <w:rPr>
          <w:b/>
          <w:bCs/>
          <w:color w:val="000000"/>
          <w:sz w:val="24"/>
          <w:szCs w:val="24"/>
          <w:rFonts w:ascii="SimSun" w:eastAsia="SimSun" w:hAnsi="SimSun" w:cs="SimSun"/>
        </w:rPr>
        <w:t xml:space="preserve">1.1.1 编制依据</w:t>
      </w:r>
    </w:p>
    <w:p>
      <w:pPr>
        <w:spacing w:before="0" w:after="0" w:line="312" w:lineRule="auto"/>
        <w:ind w:firstLine="480"/>
      </w:pPr>
      <w:r>
        <w:rPr>
          <w:color w:val="000000"/>
          <w:sz w:val="24"/>
          <w:szCs w:val="24"/>
          <w:rFonts w:ascii="SimSun" w:eastAsia="SimSun" w:hAnsi="SimSun" w:cs="SimSun"/>
        </w:rPr>
        <w:t xml:space="preserve">本项目可行性研究报告的编制，严格遵循国家有关法律法规、住房保障政策、工程建设标准及深圳市相关管理规定，依据文件按层级列示如下：</w:t>
      </w:r>
    </w:p>
    <w:p>
      <w:pPr>
        <w:spacing w:before="0" w:after="0" w:line="312" w:lineRule="auto"/>
        <w:ind w:firstLine="480"/>
      </w:pPr>
      <w:r>
        <w:rPr>
          <w:color w:val="000000"/>
          <w:sz w:val="24"/>
          <w:szCs w:val="24"/>
          <w:rFonts w:ascii="SimSun" w:eastAsia="SimSun" w:hAnsi="SimSun" w:cs="SimSun"/>
        </w:rPr>
        <w:t xml:space="preserve">（一）法律法规层面</w:t>
      </w:r>
    </w:p>
    <w:p>
      <w:pPr>
        <w:spacing w:before="0" w:after="0" w:line="312" w:lineRule="auto"/>
        <w:ind w:firstLine="480"/>
      </w:pPr>
      <w:r>
        <w:rPr>
          <w:color w:val="000000"/>
          <w:sz w:val="24"/>
          <w:szCs w:val="24"/>
          <w:rFonts w:ascii="SimSun" w:eastAsia="SimSun" w:hAnsi="SimSun" w:cs="SimSun"/>
        </w:rPr>
        <w:t xml:space="preserve">1. 《中华人民共和国民法典》（合同编相关条款），规范本项目合作改造及租赁运营中的民事法律关系；</w:t>
      </w:r>
    </w:p>
    <w:p>
      <w:pPr>
        <w:spacing w:before="0" w:after="0" w:line="312" w:lineRule="auto"/>
        <w:ind w:firstLine="480"/>
      </w:pPr>
      <w:r>
        <w:rPr>
          <w:color w:val="000000"/>
          <w:sz w:val="24"/>
          <w:szCs w:val="24"/>
          <w:rFonts w:ascii="SimSun" w:eastAsia="SimSun" w:hAnsi="SimSun" w:cs="SimSun"/>
        </w:rPr>
        <w:t xml:space="preserve">2. 《中华人民共和国城市房地产管理法》，明确房屋租赁、权属管理等基本法律要求；</w:t>
      </w:r>
    </w:p>
    <w:p>
      <w:pPr>
        <w:spacing w:before="0" w:after="0" w:line="312" w:lineRule="auto"/>
        <w:ind w:firstLine="480"/>
      </w:pPr>
      <w:r>
        <w:rPr>
          <w:color w:val="000000"/>
          <w:sz w:val="24"/>
          <w:szCs w:val="24"/>
          <w:rFonts w:ascii="SimSun" w:eastAsia="SimSun" w:hAnsi="SimSun" w:cs="SimSun"/>
        </w:rPr>
        <w:t xml:space="preserve">3. 《中华人民共和国城乡规划法》，规范改造工程涉及的规划合规性要求；</w:t>
      </w:r>
    </w:p>
    <w:p>
      <w:pPr>
        <w:spacing w:before="0" w:after="0" w:line="312" w:lineRule="auto"/>
        <w:ind w:firstLine="480"/>
      </w:pPr>
      <w:r>
        <w:rPr>
          <w:color w:val="000000"/>
          <w:sz w:val="24"/>
          <w:szCs w:val="24"/>
          <w:rFonts w:ascii="SimSun" w:eastAsia="SimSun" w:hAnsi="SimSun" w:cs="SimSun"/>
        </w:rPr>
        <w:t xml:space="preserve">4. 《中华人民共和国建筑法》及《建设工程质量管理条例》（国务院令第279号），约束改造工程实施及质量验收程序。</w:t>
      </w:r>
    </w:p>
    <w:p>
      <w:pPr>
        <w:spacing w:before="0" w:after="0" w:line="312" w:lineRule="auto"/>
        <w:ind w:firstLine="480"/>
      </w:pPr>
      <w:r>
        <w:rPr>
          <w:color w:val="000000"/>
          <w:sz w:val="24"/>
          <w:szCs w:val="24"/>
          <w:rFonts w:ascii="SimSun" w:eastAsia="SimSun" w:hAnsi="SimSun" w:cs="SimSun"/>
        </w:rPr>
        <w:t xml:space="preserve">（二）政策文件层面</w:t>
      </w:r>
    </w:p>
    <w:p>
      <w:pPr>
        <w:spacing w:before="0" w:after="0" w:line="312" w:lineRule="auto"/>
        <w:ind w:firstLine="480"/>
      </w:pPr>
      <w:r>
        <w:rPr>
          <w:color w:val="000000"/>
          <w:sz w:val="24"/>
          <w:szCs w:val="24"/>
          <w:rFonts w:ascii="SimSun" w:eastAsia="SimSun" w:hAnsi="SimSun" w:cs="SimSun"/>
        </w:rPr>
        <w:t xml:space="preserve">1. 《国务院办公厅关于加快发展保障性租赁住房的意见》（国办发〔2021〕22号），确立以盘活存量房屋发展保障性租赁住房的基本政策框架，明确土地、财税、金融等支持政策，为本项目利用存量住宅房源改造提供了上位政策依据；</w:t>
      </w:r>
    </w:p>
    <w:p>
      <w:pPr>
        <w:spacing w:before="0" w:after="0" w:line="312" w:lineRule="auto"/>
        <w:ind w:firstLine="480"/>
      </w:pPr>
      <w:r>
        <w:rPr>
          <w:color w:val="000000"/>
          <w:sz w:val="24"/>
          <w:szCs w:val="24"/>
          <w:rFonts w:ascii="SimSun" w:eastAsia="SimSun" w:hAnsi="SimSun" w:cs="SimSun"/>
        </w:rPr>
        <w:t xml:space="preserve">2. 《深圳市保障性租赁住房项目认定办法（试行）》（深建规〔2023〕4号），明确产权明晰的居住存量房屋可申请认定为保障性租赁住房。本项目51套房源均为住宅用途，符合该办法适用条件；</w:t>
      </w:r>
    </w:p>
    <w:p>
      <w:pPr>
        <w:spacing w:before="0" w:after="0" w:line="312" w:lineRule="auto"/>
        <w:ind w:firstLine="480"/>
      </w:pPr>
      <w:r>
        <w:rPr>
          <w:color w:val="000000"/>
          <w:sz w:val="24"/>
          <w:szCs w:val="24"/>
          <w:rFonts w:ascii="SimSun" w:eastAsia="SimSun" w:hAnsi="SimSun" w:cs="SimSun"/>
        </w:rPr>
        <w:t xml:space="preserve">3. 《深圳市关于加快发展保障性租赁住房的实施意见》，明确“十四五”期间保障性租赁住房建设筹集目标及实施路径。本项目作为政企合作盘活存量住房的具体实践，纳入深圳市保障性租赁住房供应体系；</w:t>
      </w:r>
    </w:p>
    <w:p>
      <w:pPr>
        <w:spacing w:before="0" w:after="0" w:line="312" w:lineRule="auto"/>
        <w:ind w:firstLine="480"/>
      </w:pPr>
      <w:r>
        <w:rPr>
          <w:color w:val="000000"/>
          <w:sz w:val="24"/>
          <w:szCs w:val="24"/>
          <w:rFonts w:ascii="SimSun" w:eastAsia="SimSun" w:hAnsi="SimSun" w:cs="SimSun"/>
        </w:rPr>
        <w:t xml:space="preserve">4. 深圳市罗湖区、福田区现行保障性租赁住房项目认定及补贴相关实施细则</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（三）技术标准与规范层面</w:t>
      </w:r>
    </w:p>
    <w:p>
      <w:pPr>
        <w:spacing w:before="0" w:after="0" w:line="312" w:lineRule="auto"/>
        <w:ind w:firstLine="480"/>
      </w:pPr>
      <w:r>
        <w:rPr>
          <w:color w:val="000000"/>
          <w:sz w:val="24"/>
          <w:szCs w:val="24"/>
          <w:rFonts w:ascii="SimSun" w:eastAsia="SimSun" w:hAnsi="SimSun" w:cs="SimSun"/>
        </w:rPr>
        <w:t xml:space="preserve">1. 《既有建筑维护与改造通用规范》（GB 55022-2021）；</w:t>
      </w:r>
    </w:p>
    <w:p>
      <w:pPr>
        <w:spacing w:before="0" w:after="0" w:line="312" w:lineRule="auto"/>
        <w:ind w:firstLine="480"/>
      </w:pPr>
      <w:r>
        <w:rPr>
          <w:color w:val="000000"/>
          <w:sz w:val="24"/>
          <w:szCs w:val="24"/>
          <w:rFonts w:ascii="SimSun" w:eastAsia="SimSun" w:hAnsi="SimSun" w:cs="SimSun"/>
        </w:rPr>
        <w:t xml:space="preserve">2. 《建筑内部装修设计防火规范》（GB 50222-2017）；</w:t>
      </w:r>
    </w:p>
    <w:p>
      <w:pPr>
        <w:spacing w:before="0" w:after="0" w:line="312" w:lineRule="auto"/>
        <w:ind w:firstLine="480"/>
      </w:pPr>
      <w:r>
        <w:rPr>
          <w:color w:val="000000"/>
          <w:sz w:val="24"/>
          <w:szCs w:val="24"/>
          <w:rFonts w:ascii="SimSun" w:eastAsia="SimSun" w:hAnsi="SimSun" w:cs="SimSun"/>
        </w:rPr>
        <w:t xml:space="preserve">3. 《住宅设计规范》（GB 50096-2011）；</w:t>
      </w:r>
    </w:p>
    <w:p>
      <w:pPr>
        <w:spacing w:before="0" w:after="0" w:line="312" w:lineRule="auto"/>
        <w:ind w:firstLine="480"/>
      </w:pPr>
      <w:r>
        <w:rPr>
          <w:color w:val="000000"/>
          <w:sz w:val="24"/>
          <w:szCs w:val="24"/>
          <w:rFonts w:ascii="SimSun" w:eastAsia="SimSun" w:hAnsi="SimSun" w:cs="SimSun"/>
        </w:rPr>
        <w:t xml:space="preserve">4. 《租赁住房建设标准》及深圳市《既有房屋改造为租赁住房设计指引》</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5. 《建设项目经济评价方法与参数》（第三版），作为财务测算的方法论依据。</w:t>
      </w:r>
    </w:p>
    <w:p>
      <w:pPr>
        <w:spacing w:before="0" w:after="0" w:line="312" w:lineRule="auto"/>
        <w:ind w:firstLine="480"/>
      </w:pPr>
      <w:r>
        <w:rPr>
          <w:color w:val="000000"/>
          <w:sz w:val="24"/>
          <w:szCs w:val="24"/>
          <w:rFonts w:ascii="SimSun" w:eastAsia="SimSun" w:hAnsi="SimSun" w:cs="SimSun"/>
        </w:rPr>
        <w:t xml:space="preserve">（四）项目专项依据</w:t>
      </w:r>
    </w:p>
    <w:p>
      <w:pPr>
        <w:spacing w:before="0" w:after="0" w:line="312" w:lineRule="auto"/>
        <w:ind w:firstLine="480"/>
      </w:pPr>
      <w:r>
        <w:rPr>
          <w:color w:val="000000"/>
          <w:sz w:val="24"/>
          <w:szCs w:val="24"/>
          <w:rFonts w:ascii="SimSun" w:eastAsia="SimSun" w:hAnsi="SimSun" w:cs="SimSun"/>
        </w:rPr>
        <w:t xml:space="preserve">1. 深圳市罗湖安居有限公司与国家税务总局深圳市税务局签订的《保障性租赁住房项目合作框架协议》（详见附件1），确立双方以收益分成方式开展合作的基本原则；</w:t>
      </w:r>
    </w:p>
    <w:p>
      <w:pPr>
        <w:spacing w:before="0" w:after="0" w:line="312" w:lineRule="auto"/>
        <w:ind w:firstLine="480"/>
      </w:pPr>
      <w:r>
        <w:rPr>
          <w:color w:val="000000"/>
          <w:sz w:val="24"/>
          <w:szCs w:val="24"/>
          <w:rFonts w:ascii="SimSun" w:eastAsia="SimSun" w:hAnsi="SimSun" w:cs="SimSun"/>
        </w:rPr>
        <w:t xml:space="preserve">2. 深圳市罗湖安居有限公司党支部委员会及总经理办公会审议决议（详见附件2），同意本项目投资立项并启动前期工作；</w:t>
      </w:r>
    </w:p>
    <w:p>
      <w:pPr>
        <w:spacing w:before="0" w:after="0" w:line="312" w:lineRule="auto"/>
        <w:ind w:firstLine="480"/>
      </w:pPr>
      <w:r>
        <w:rPr>
          <w:color w:val="000000"/>
          <w:sz w:val="24"/>
          <w:szCs w:val="24"/>
          <w:rFonts w:ascii="SimSun" w:eastAsia="SimSun" w:hAnsi="SimSun" w:cs="SimSun"/>
        </w:rPr>
        <w:t xml:space="preserve">3. 深圳市罗湖安居有限公司《关于罗湖公司申请市税务局第一批合作房源改造为保租房项目投资立项的请示》；</w:t>
      </w:r>
    </w:p>
    <w:p>
      <w:pPr>
        <w:spacing w:before="0" w:after="0" w:line="312" w:lineRule="auto"/>
        <w:ind w:firstLine="480"/>
      </w:pPr>
      <w:r>
        <w:rPr>
          <w:color w:val="000000"/>
          <w:sz w:val="24"/>
          <w:szCs w:val="24"/>
          <w:rFonts w:ascii="SimSun" w:eastAsia="SimSun" w:hAnsi="SimSun" w:cs="SimSun"/>
        </w:rPr>
        <w:t xml:space="preserve">4. 《市税务局第一批合作房源改造为保租房项目研究报告》（2026年8月）；</w:t>
      </w:r>
    </w:p>
    <w:p>
      <w:pPr>
        <w:spacing w:before="0" w:after="0" w:line="312" w:lineRule="auto"/>
        <w:ind w:firstLine="480"/>
      </w:pPr>
      <w:r>
        <w:rPr>
          <w:color w:val="000000"/>
          <w:sz w:val="24"/>
          <w:szCs w:val="24"/>
          <w:rFonts w:ascii="SimSun" w:eastAsia="SimSun" w:hAnsi="SimSun" w:cs="SimSun"/>
        </w:rPr>
        <w:t xml:space="preserve">5. 项目现场勘察记录、房屋权属证明文件</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及各点位房源户型图、面积测绘资料。</w:t>
      </w:r>
    </w:p>
    <w:p>
      <w:pPr>
        <w:pStyle w:val="Heading3"/>
        <w:keepNext/>
        <w:spacing w:before="160" w:after="80" w:line="360" w:lineRule="auto"/>
      </w:pPr>
      <w:r>
        <w:rPr>
          <w:b/>
          <w:bCs/>
          <w:color w:val="000000"/>
          <w:sz w:val="24"/>
          <w:szCs w:val="24"/>
          <w:rFonts w:ascii="SimSun" w:eastAsia="SimSun" w:hAnsi="SimSun" w:cs="SimSun"/>
        </w:rPr>
        <w:t xml:space="preserve">1.1.2 编制说明</w:t>
      </w:r>
    </w:p>
    <w:p>
      <w:pPr>
        <w:spacing w:before="0" w:after="0" w:line="312" w:lineRule="auto"/>
        <w:ind w:firstLine="480"/>
      </w:pPr>
      <w:r>
        <w:rPr>
          <w:color w:val="000000"/>
          <w:sz w:val="24"/>
          <w:szCs w:val="24"/>
          <w:rFonts w:ascii="SimSun" w:eastAsia="SimSun" w:hAnsi="SimSun" w:cs="SimSun"/>
        </w:rPr>
        <w:t xml:space="preserve">（一）编制范围与内容。本报告针对市税务局第一批合作房源改造为保障性租赁住房项目开展系统可行性论证，覆盖罗湖区金湖路6号银湖半山小区（37套，4249.9㎡）、罗湖区红桂路1008号宝泉庄（3套，419.63㎡）、罗湖区松园西街52号松园小区（7套，584.76㎡）、罗湖区碧波花园（1套，121.92㎡）、罗湖区愉天小区（2套，130.6㎡）及福田区梅华路126号梅兴苑（1套，114.34㎡）共6个点位、51套存量住宅，总建筑面积5621.15㎡。报告编制内容涵盖项目背景与政策适配性、区域市场分析、改造方案、投资估算与资金筹措、财务评价、社会效益及风险分析等章节。</w:t>
      </w:r>
    </w:p>
    <w:p>
      <w:pPr>
        <w:spacing w:before="0" w:after="0" w:line="312" w:lineRule="auto"/>
        <w:ind w:firstLine="480"/>
      </w:pPr>
      <w:r>
        <w:rPr>
          <w:color w:val="000000"/>
          <w:sz w:val="24"/>
          <w:szCs w:val="24"/>
          <w:rFonts w:ascii="SimSun" w:eastAsia="SimSun" w:hAnsi="SimSun" w:cs="SimSun"/>
        </w:rPr>
        <w:t xml:space="preserve">（二）编制原则。一是坚持政策合规性，严格对照深圳市保障性租赁住房认定条件，确保项目合法合规落地；二是坚持经济可行性，以真实测算数据为基础，客观评价项目全周期财务效益；三是坚持需求导向，结合各点位区位条件与职住平衡特征，合理确定产品定位与租金水平；四是坚持改造适宜性，遵循“结构不动、功能优化、品质提升”的改造原则，控制工程投资。</w:t>
      </w:r>
    </w:p>
    <w:p>
      <w:pPr>
        <w:spacing w:before="0" w:after="0" w:line="312" w:lineRule="auto"/>
        <w:ind w:firstLine="480"/>
      </w:pPr>
      <w:r>
        <w:rPr>
          <w:color w:val="000000"/>
          <w:sz w:val="24"/>
          <w:szCs w:val="24"/>
          <w:rFonts w:ascii="SimSun" w:eastAsia="SimSun" w:hAnsi="SimSun" w:cs="SimSun"/>
        </w:rPr>
        <w:t xml:space="preserve">（三）测算基准说明。本报告财务测算周期为2027—2039年（建设期1年，运营期12年），关键参数取值经深圳市罗湖安居有限公司审定确认，具体参数取值及敏感性分析详见《测算说明书》及配套Excel模型。本报告所引用财务数据均来源于内置公式实际测算结果，与导出文件保持一致。</w:t>
      </w:r>
    </w:p>
    <w:p>
      <w:pPr>
        <w:spacing w:before="0" w:after="0" w:line="312" w:lineRule="auto"/>
        <w:ind w:firstLine="480"/>
      </w:pPr>
      <w:r>
        <w:rPr>
          <w:color w:val="000000"/>
          <w:sz w:val="24"/>
          <w:szCs w:val="24"/>
          <w:rFonts w:ascii="SimSun" w:eastAsia="SimSun" w:hAnsi="SimSun" w:cs="SimSun"/>
        </w:rPr>
        <w:t xml:space="preserve">（四）数据来源与口径说明。本报告涉及的市场租金、出租率等数据来源于周边竞品调研及地图实测配套数据；项目房源面积、套数等物理信息来源于立项请示及研究报告，权属信息以不动产权属证书为准</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w:t>
      </w:r>
    </w:p>
    <w:p>
      <w:pPr>
        <w:pStyle w:val="Heading2"/>
        <w:spacing w:before="280" w:after="160" w:line="312" w:lineRule="auto"/>
      </w:pPr>
      <w:bookmarkStart w:name="_tc0_1" w:id="1"/>
      <w:r>
        <w:rPr>
          <w:b/>
          <w:bCs/>
          <w:color w:val="000000"/>
          <w:sz w:val="28"/>
          <w:szCs w:val="28"/>
          <w:rFonts w:ascii="SimSun" w:eastAsia="SimSun" w:hAnsi="SimSun" w:cs="SimSun"/>
        </w:rPr>
        <w:t xml:space="preserve">1.2　项目背景</w:t>
      </w:r>
      <w:bookmarkEnd w:id="1"/>
    </w:p>
    <w:p>
      <w:pPr>
        <w:spacing w:before="0" w:after="0" w:line="312" w:lineRule="auto"/>
        <w:ind w:firstLine="480"/>
      </w:pPr>
      <w:r>
        <w:rPr>
          <w:color w:val="000000"/>
          <w:sz w:val="24"/>
          <w:szCs w:val="24"/>
          <w:rFonts w:ascii="SimSun" w:eastAsia="SimSun" w:hAnsi="SimSun" w:cs="SimSun"/>
        </w:rPr>
        <w:t xml:space="preserve">本项目为深圳市罗湖安居有限公司（以下简称“罗湖安居公司”）依托国家税务总局深圳市税务局（以下简称“市税务局”）提供的存量居住房屋，实施改造并纳入保障性租赁住房（以下简称“保租房”）管理的首批合作项目。项目全称“市税务局第一批合作房源改造为保障性租赁住房项目”，简称“本项目”。项目背景分析如下：</w:t>
      </w:r>
    </w:p>
    <w:p>
      <w:pPr>
        <w:pStyle w:val="Heading3"/>
        <w:keepNext/>
        <w:spacing w:before="160" w:after="80" w:line="360" w:lineRule="auto"/>
      </w:pPr>
      <w:r>
        <w:rPr>
          <w:b/>
          <w:bCs/>
          <w:color w:val="000000"/>
          <w:sz w:val="24"/>
          <w:szCs w:val="24"/>
          <w:rFonts w:ascii="SimSun" w:eastAsia="SimSun" w:hAnsi="SimSun" w:cs="SimSun"/>
        </w:rPr>
        <w:t xml:space="preserve">1.2.1 政策背景</w:t>
      </w:r>
    </w:p>
    <w:p>
      <w:pPr>
        <w:spacing w:before="0" w:after="0" w:line="312" w:lineRule="auto"/>
        <w:ind w:firstLine="480"/>
      </w:pPr>
      <w:r>
        <w:rPr>
          <w:color w:val="000000"/>
          <w:sz w:val="24"/>
          <w:szCs w:val="24"/>
          <w:rFonts w:ascii="SimSun" w:eastAsia="SimSun" w:hAnsi="SimSun" w:cs="SimSun"/>
        </w:rPr>
        <w:t xml:space="preserve">党中央、国务院高度重视存量资产盘活与保租房建设。2021年《国务院办公厅关于加快发展保障性租赁住房的意见》（国办发〔2021〕22号）明确要求以盘活存量房屋等方式扩大保租房供给；深圳市2022年出台的《关于加快发展保障性租赁住房的实施意见》进一步提出“十四五”期间建设筹集保租房的具体目标，并将存量住宅改造纳入政策支持范围。本项目将行政事业单位闲置低效居住房屋改造为保租房，既落实了盘活存量资产的政策导向，又通过政企合作增加了罗湖、福田核心区的小户型、低成本租赁住房供应，是政策在基层落地的具体实践。</w:t>
      </w:r>
    </w:p>
    <w:p>
      <w:pPr>
        <w:pStyle w:val="Heading3"/>
        <w:keepNext/>
        <w:spacing w:before="160" w:after="80" w:line="360" w:lineRule="auto"/>
      </w:pPr>
      <w:r>
        <w:rPr>
          <w:b/>
          <w:bCs/>
          <w:color w:val="000000"/>
          <w:sz w:val="24"/>
          <w:szCs w:val="24"/>
          <w:rFonts w:ascii="SimSun" w:eastAsia="SimSun" w:hAnsi="SimSun" w:cs="SimSun"/>
        </w:rPr>
        <w:t xml:space="preserve">1.2.2 项目沿革与房源现状</w:t>
      </w:r>
    </w:p>
    <w:p>
      <w:pPr>
        <w:spacing w:before="0" w:after="0" w:line="312" w:lineRule="auto"/>
        <w:ind w:firstLine="480"/>
      </w:pPr>
      <w:r>
        <w:rPr>
          <w:color w:val="000000"/>
          <w:sz w:val="24"/>
          <w:szCs w:val="24"/>
          <w:rFonts w:ascii="SimSun" w:eastAsia="SimSun" w:hAnsi="SimSun" w:cs="SimSun"/>
        </w:rPr>
        <w:t xml:space="preserve">市税务局名下51套存量住宅分布于罗湖区银湖半山、宝泉庄、松园小区、碧波花园、愉天小区及福田区梅兴苑等6个小区，总建筑面积约5,621.15㎡，均为住宅用途。上述房源为市税务局历史上为解决职工住房问题而购置或分配的存量住宅，建成年代较早，户型以90—148㎡的2—4房为主。随着税务系统住房保障体系的调整及职工居住条件的改善，上述房源逐步空置，长期处于低效利用状态，未能发挥居住保障功能。</w:t>
      </w:r>
    </w:p>
    <w:p>
      <w:pPr>
        <w:spacing w:before="0" w:after="0" w:line="312" w:lineRule="auto"/>
        <w:ind w:firstLine="480"/>
      </w:pPr>
      <w:r>
        <w:rPr>
          <w:color w:val="000000"/>
          <w:sz w:val="24"/>
          <w:szCs w:val="24"/>
          <w:rFonts w:ascii="SimSun" w:eastAsia="SimSun" w:hAnsi="SimSun" w:cs="SimSun"/>
        </w:rPr>
        <w:t xml:space="preserve">经现场勘察，房源现状普遍存在以下问题：一是室内装修老化，厨卫设施陈旧，部分房源存在墙皮脱落、管道锈蚀等情况，不具备直接入住条件；二是房源分散管理，缺乏统一的运营维护机制，日常维护成本高而收益为零；三是部分小区建成时间较早，公共区域及室内设施与当前租赁市场需求存在明显差距，需通过系统化改造提升居住品质与市场竞争力。从资产盘活角度看，上述房源作为行政事业单位国有资产，长期闲置既未产生社会效益，也未实现资产保值增值。</w:t>
      </w:r>
    </w:p>
    <w:p>
      <w:pPr>
        <w:pStyle w:val="Heading3"/>
        <w:keepNext/>
        <w:spacing w:before="160" w:after="80" w:line="360" w:lineRule="auto"/>
      </w:pPr>
      <w:r>
        <w:rPr>
          <w:b/>
          <w:bCs/>
          <w:color w:val="000000"/>
          <w:sz w:val="24"/>
          <w:szCs w:val="24"/>
          <w:rFonts w:ascii="SimSun" w:eastAsia="SimSun" w:hAnsi="SimSun" w:cs="SimSun"/>
        </w:rPr>
        <w:t xml:space="preserve">1.2.3 改造契机与实施条件</w:t>
      </w:r>
    </w:p>
    <w:p>
      <w:pPr>
        <w:spacing w:before="0" w:after="0" w:line="312" w:lineRule="auto"/>
        <w:ind w:firstLine="480"/>
      </w:pPr>
      <w:r>
        <w:rPr>
          <w:color w:val="000000"/>
          <w:sz w:val="24"/>
          <w:szCs w:val="24"/>
          <w:rFonts w:ascii="SimSun" w:eastAsia="SimSun" w:hAnsi="SimSun" w:cs="SimSun"/>
        </w:rPr>
        <w:t xml:space="preserve">2026年7月14日，市税务局与深圳市安居集团有限公司签署《保障性租赁住房项目合作框架协议》，明确将甲方名下闲置低效房屋通过改造为保租房予以盘活。罗湖安居公司作为深圳市安居集团有限公司控股子公司及罗湖区保障性住房专营机构，具备保租房改造、工程建设及报批报建的专业能力，承担本项目投资改造与运营管理职责。</w:t>
      </w:r>
    </w:p>
    <w:p>
      <w:pPr>
        <w:spacing w:before="0" w:after="0" w:line="312" w:lineRule="auto"/>
        <w:ind w:firstLine="480"/>
      </w:pPr>
      <w:r>
        <w:rPr>
          <w:color w:val="000000"/>
          <w:sz w:val="24"/>
          <w:szCs w:val="24"/>
          <w:rFonts w:ascii="SimSun" w:eastAsia="SimSun" w:hAnsi="SimSun" w:cs="SimSun"/>
        </w:rPr>
        <w:t xml:space="preserve">本项目符合《深圳市保障性租赁住房项目认定办法（试行）》（深建规〔2023〕4号）关于产权明晰居住存量房屋可申请认定为保租房的规定，具备明确的政策准入路径。通过装修改造与专业化运营，将行政事业单位闲置房屋转化为市场化、规范化的保租房供给，可有效解决房源闲置与市场租赁需求之间的结构性矛盾，实现国有资产的社会效益与经济效益双提升。</w:t>
      </w:r>
    </w:p>
    <w:p>
      <w:pPr>
        <w:pStyle w:val="Heading2"/>
        <w:spacing w:before="280" w:after="160" w:line="312" w:lineRule="auto"/>
      </w:pPr>
      <w:bookmarkStart w:name="_tc0_2" w:id="1"/>
      <w:r>
        <w:rPr>
          <w:b/>
          <w:bCs/>
          <w:color w:val="000000"/>
          <w:sz w:val="28"/>
          <w:szCs w:val="28"/>
          <w:rFonts w:ascii="SimSun" w:eastAsia="SimSun" w:hAnsi="SimSun" w:cs="SimSun"/>
        </w:rPr>
        <w:t xml:space="preserve">1.3　项目本体情况、改造情况与政策符合性</w:t>
      </w:r>
      <w:bookmarkEnd w:id="1"/>
    </w:p>
    <w:p>
      <w:pPr>
        <w:spacing w:before="0" w:after="0" w:line="312" w:lineRule="auto"/>
        <w:ind w:firstLine="480"/>
      </w:pPr>
      <w:r>
        <w:rPr>
          <w:color w:val="000000"/>
          <w:sz w:val="24"/>
          <w:szCs w:val="24"/>
          <w:rFonts w:ascii="SimSun" w:eastAsia="SimSun" w:hAnsi="SimSun" w:cs="SimSun"/>
        </w:rPr>
        <w:t xml:space="preserve">（一）项目本体情况</w:t>
      </w:r>
    </w:p>
    <w:p>
      <w:pPr>
        <w:spacing w:before="0" w:after="0" w:line="312" w:lineRule="auto"/>
        <w:ind w:firstLine="480"/>
      </w:pPr>
      <w:r>
        <w:rPr>
          <w:color w:val="000000"/>
          <w:sz w:val="24"/>
          <w:szCs w:val="24"/>
          <w:rFonts w:ascii="SimSun" w:eastAsia="SimSun" w:hAnsi="SimSun" w:cs="SimSun"/>
        </w:rPr>
        <w:t xml:space="preserve">本项目全称为市税务局第一批合作房源改造为保障性租赁住房项目（以下简称“本项目”），由深圳市罗湖安居有限公司作为改造实施及运营主体，与国家税务总局深圳市税务局开展政企合作，将其名下第一批闲置存量居住房屋改造为保障性租赁住房。项目总投资规模13,892万元，测算周期为2027—2039年（建设期1年，运营期12年），建成后按市场租金九折对外出租，定向缓解深圳市罗湖、福田核心区新市民、青年人等群体的住房困难问题。</w:t>
      </w:r>
    </w:p>
    <w:p>
      <w:pPr>
        <w:spacing w:before="0" w:after="0" w:line="312" w:lineRule="auto"/>
        <w:ind w:firstLine="480"/>
      </w:pPr>
      <w:r>
        <w:rPr>
          <w:color w:val="000000"/>
          <w:sz w:val="24"/>
          <w:szCs w:val="24"/>
          <w:rFonts w:ascii="SimSun" w:eastAsia="SimSun" w:hAnsi="SimSun" w:cs="SimSun"/>
        </w:rPr>
        <w:t xml:space="preserve">本项目合作房源为市税务局提供的位于罗湖、福田两区6个居住小区的51套存量居住房屋，总建筑面积约5,621.15平方米，全部为住宅用途。各点位房源基本情况如下：</w:t>
      </w:r>
    </w:p>
    <w:p>
      <w:pPr>
        <w:spacing w:before="0" w:after="0" w:line="312" w:lineRule="auto"/>
        <w:ind w:firstLine="480"/>
      </w:pPr>
      <w:r>
        <w:rPr>
          <w:color w:val="000000"/>
          <w:sz w:val="24"/>
          <w:szCs w:val="24"/>
          <w:rFonts w:ascii="SimSun" w:eastAsia="SimSun" w:hAnsi="SimSun" w:cs="SimSun"/>
        </w:rPr>
        <w:t xml:space="preserve">本项目房源分布于罗湖、福田两区核心地段成熟居住小区内，周边生活配套及公共交通条件较为完善。其中，银湖半山小区为本项目房源最为集中的点位，涉及房源37套，建筑面积约4,249.9平方米，占总房源面积的76%，地处罗湖区成熟居住片区，1公里范围内分布有罗湖区图书馆、深圳边检总站医院等多个公交站点，居民日常出行便利，片区居住与就业功能相对均衡，具备保障性租赁住房需求支撑。其余5个点位合计14套，建筑面积约1,371.25平方米，占总房源面积的24%，均为零散分布的单套或少量房源，虽单点规模较小，但均位于深圳核心城区成熟居住小区内，区位条件良好，纳入统一改造运营后可形成规模效应。项目四至边界、各点位详细区位图及周边配套情况</w:t>
      </w:r>
      <w:r>
        <w:rPr>
          <w:b/>
          <w:bCs/>
          <w:color w:val="C62828"/>
          <w:sz w:val="24"/>
          <w:szCs w:val="24"/>
          <w:rFonts w:ascii="SimSun" w:eastAsia="SimSun" w:hAnsi="SimSun" w:cs="SimSun"/>
        </w:rPr>
        <w:t xml:space="preserve">【待补：①项目位置图；②四至边界；③周边交通/配套、现场踏勘记录、现状照片】</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（二）改造情况</w:t>
      </w:r>
    </w:p>
    <w:p>
      <w:pPr>
        <w:spacing w:before="0" w:after="0" w:line="312" w:lineRule="auto"/>
        <w:ind w:firstLine="480"/>
      </w:pPr>
      <w:r>
        <w:rPr>
          <w:color w:val="000000"/>
          <w:sz w:val="24"/>
          <w:szCs w:val="24"/>
          <w:rFonts w:ascii="SimSun" w:eastAsia="SimSun" w:hAnsi="SimSun" w:cs="SimSun"/>
        </w:rPr>
        <w:t xml:space="preserve">本项目改造遵循“保持室内整体格局不变、提升居住品质、实现拎包入住”的基本原则。根据现场勘察结果，各点位房源建成年代及现状条件存在差异，改造策略相应区分：银湖半山小区现状基础较好，室内为精装修，仅因长期空置造成局部装修损坏，采用简单翻新并增配家具家电的方式；其余点位房源建成时间较早、室内装修相对老旧，采用室内全面翻新并配置家具家电的方式。改造内容主要包括室内墙地面及天花翻新、厨卫设施更新、水电管线检修、门窗更换及家具家电配置等，不涉及建筑主体结构变动及建筑面积增减。改造前各点位房源户型及现状情况如下：</w:t>
      </w:r>
    </w:p>
    <w:p>
      <w:pPr>
        <w:spacing w:before="0" w:after="0" w:line="312" w:lineRule="auto"/>
        <w:ind w:firstLine="480"/>
      </w:pPr>
      <w:r>
        <w:rPr>
          <w:color w:val="000000"/>
          <w:sz w:val="24"/>
          <w:szCs w:val="24"/>
          <w:rFonts w:ascii="SimSun" w:eastAsia="SimSun" w:hAnsi="SimSun" w:cs="SimSun"/>
        </w:rPr>
        <w:t xml:space="preserve">改造完成后，51套房源均以拎包入住状态投入保障性租赁住房运营，预计2027年6月入市。各房源建筑结构安全鉴定、消防检测等前期工作</w:t>
      </w:r>
      <w:r>
        <w:rPr>
          <w:b/>
          <w:bCs/>
          <w:color w:val="C62828"/>
          <w:sz w:val="24"/>
          <w:szCs w:val="24"/>
          <w:rFonts w:ascii="SimSun" w:eastAsia="SimSun" w:hAnsi="SimSun" w:cs="SimSun"/>
        </w:rPr>
        <w:t xml:space="preserve">【待补：建筑结构安全鉴定报告、消防检测报告】</w:t>
      </w:r>
      <w:r>
        <w:rPr>
          <w:color w:val="000000"/>
          <w:sz w:val="24"/>
          <w:szCs w:val="24"/>
          <w:rFonts w:ascii="SimSun" w:eastAsia="SimSun" w:hAnsi="SimSun" w:cs="SimSun"/>
        </w:rPr>
        <w:t xml:space="preserve">，拆除、改造、利旧、新增四类清单及造价咨询意见</w:t>
      </w:r>
      <w:r>
        <w:rPr>
          <w:b/>
          <w:bCs/>
          <w:color w:val="C62828"/>
          <w:sz w:val="24"/>
          <w:szCs w:val="24"/>
          <w:rFonts w:ascii="SimSun" w:eastAsia="SimSun" w:hAnsi="SimSun" w:cs="SimSun"/>
        </w:rPr>
        <w:t xml:space="preserve">【待补：拆除/改造/利旧/新增四类清单、造价咨询意见】</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（三）政策符合性</w:t>
      </w:r>
    </w:p>
    <w:p>
      <w:pPr>
        <w:spacing w:before="0" w:after="0" w:line="312" w:lineRule="auto"/>
        <w:ind w:firstLine="480"/>
      </w:pPr>
      <w:r>
        <w:rPr>
          <w:color w:val="000000"/>
          <w:sz w:val="24"/>
          <w:szCs w:val="24"/>
          <w:rFonts w:ascii="SimSun" w:eastAsia="SimSun" w:hAnsi="SimSun" w:cs="SimSun"/>
        </w:rPr>
        <w:t xml:space="preserve">本项目房源均为产权明晰的存量居住房屋，属于存量住宅纳入保障性租赁住房管理的情形。根据《深圳市保障性租赁住房项目认定办法（试行）》（深建规〔2023〕4号），产权明晰的居住存量房屋项目在可提供不动产权属证书或者其他合法权属资料（无法提供的，提交建设工程规划许可证）的情况下，可申请认定为保障性租赁住房。本项目合作房源权属归国家税务总局深圳市税务局所有，双方已签署《保障性租赁住房项目合作框架协议》，深圳市罗湖安居有限公司作为实施主体负责保障性租赁住房认定申报、改造实施及后期运营管理，具备政策适用条件。法定改建条件逐项核验情况如下：</w:t>
      </w:r>
    </w:p>
    <w:p>
      <w:pPr>
        <w:spacing w:before="0" w:after="0" w:line="312" w:lineRule="auto"/>
        <w:ind w:firstLine="480"/>
      </w:pPr>
      <w:r>
        <w:rPr>
          <w:color w:val="000000"/>
          <w:sz w:val="24"/>
          <w:szCs w:val="24"/>
          <w:rFonts w:ascii="SimSun" w:eastAsia="SimSun" w:hAnsi="SimSun" w:cs="SimSun"/>
        </w:rPr>
        <w:t xml:space="preserve">（来源：《2、关于罗湖公司申请市税务局第一批合作房源改造为保租房项目投资立项的请示》；《【参考】市税务局第一批合作房源改造为保障性租赁住房项目合作协议（草案） - 修订》）</w:t>
      </w:r>
    </w:p>
    <w:p>
      <w:pPr>
        <w:spacing w:before="0" w:after="0" w:line="312" w:lineRule="auto"/>
        <w:ind w:firstLine="480"/>
      </w:pPr>
      <w:r>
        <w:rPr>
          <w:color w:val="000000"/>
          <w:sz w:val="24"/>
          <w:szCs w:val="24"/>
          <w:rFonts w:ascii="SimSun" w:eastAsia="SimSun" w:hAnsi="SimSun" w:cs="SimSun"/>
        </w:rPr>
        <w:t xml:space="preserve">综上，本项目房源均为居住存量房屋，不属于非住宅存量房屋改建保障性租赁住房情形，适用《深圳市保障性租赁住房项目认定办法（试行）》（深建规〔2023〕4号）中关于产权明晰居住存量房屋申请认定的相关规定。本项目在政策适用性及法定改建条件方面具备可行性基础，相关认定手续由深圳市罗湖安居有限公司在项目前期阶段负责申报办理。</w:t>
      </w:r>
    </w:p>
    <w:p>
      <w:pPr>
        <w:keepNext/>
        <w:spacing w:before="180" w:after="100"/>
        <w:jc w:val="center"/>
      </w:pPr>
      <w:r>
        <w:rPr>
          <w:b/>
          <w:bCs/>
          <w:color w:val="000000"/>
          <w:sz w:val="22"/>
          <w:szCs w:val="22"/>
          <w:rFonts w:ascii="SimSun" w:eastAsia="SimSun" w:hAnsi="SimSun" w:cs="SimSun"/>
        </w:rPr>
        <w:t xml:space="preserve">项目基本情况表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063"/>
        <w:gridCol w:w="1063"/>
        <w:gridCol w:w="1063"/>
        <w:gridCol w:w="1063"/>
        <w:gridCol w:w="1063"/>
        <w:gridCol w:w="1063"/>
        <w:gridCol w:w="1063"/>
        <w:gridCol w:w="1065"/>
      </w:tblGrid>
      <w:tr>
        <w:trPr>
          <w:cantSplit/>
          <w:tblHeader/>
        </w:trPr>
        <w:tc>
          <w:tcPr>
            <w:tcW w:type="dxa" w:w="106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项目名称</w:t>
            </w:r>
          </w:p>
        </w:tc>
        <w:tc>
          <w:tcPr>
            <w:tcW w:type="dxa" w:w="106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项目面积</w:t>
            </w:r>
          </w:p>
        </w:tc>
        <w:tc>
          <w:tcPr>
            <w:tcW w:type="dxa" w:w="106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楼层分布（XX层改造）</w:t>
            </w:r>
          </w:p>
        </w:tc>
        <w:tc>
          <w:tcPr>
            <w:tcW w:type="dxa" w:w="106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规划用途</w:t>
            </w:r>
          </w:p>
        </w:tc>
        <w:tc>
          <w:tcPr>
            <w:tcW w:type="dxa" w:w="106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现状用途</w:t>
            </w:r>
          </w:p>
        </w:tc>
        <w:tc>
          <w:tcPr>
            <w:tcW w:type="dxa" w:w="106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土地使用年限</w:t>
            </w:r>
          </w:p>
        </w:tc>
        <w:tc>
          <w:tcPr>
            <w:tcW w:type="dxa" w:w="106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竣工验收时间</w:t>
            </w:r>
          </w:p>
        </w:tc>
        <w:tc>
          <w:tcPr>
            <w:tcW w:type="dxa" w:w="106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交通配套</w:t>
            </w:r>
          </w:p>
        </w:tc>
      </w:tr>
      <w:tr>
        <w:trPr>
          <w:cantSplit/>
          <w:tblHeader w:val="false"/>
        </w:trPr>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银湖半山</w:t>
            </w:r>
          </w:p>
        </w:tc>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4,249.9</w:t>
            </w: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距泥岗地铁站约1公里，罗湖北、银湖地铁站约1.4公里</w:t>
            </w:r>
          </w:p>
        </w:tc>
      </w:tr>
      <w:tr>
        <w:trPr>
          <w:cantSplit/>
          <w:tblHeader w:val="false"/>
        </w:trPr>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宝泉庄</w:t>
            </w:r>
          </w:p>
        </w:tc>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419.63</w:t>
            </w: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邻近红岭、老街地铁站</w:t>
            </w:r>
          </w:p>
        </w:tc>
      </w:tr>
      <w:tr>
        <w:trPr>
          <w:cantSplit/>
          <w:tblHeader w:val="false"/>
        </w:trPr>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松园小区</w:t>
            </w:r>
          </w:p>
        </w:tc>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584.76</w:t>
            </w: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距红岭地铁站约0.4公里</w:t>
            </w:r>
          </w:p>
        </w:tc>
      </w:tr>
      <w:tr>
        <w:trPr>
          <w:cantSplit/>
          <w:tblHeader w:val="false"/>
        </w:trPr>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碧波花园</w:t>
            </w:r>
          </w:p>
        </w:tc>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121.92</w:t>
            </w: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距怡景地铁站约0.5公里</w:t>
            </w:r>
          </w:p>
        </w:tc>
      </w:tr>
      <w:tr>
        <w:trPr>
          <w:cantSplit/>
          <w:tblHeader w:val="false"/>
        </w:trPr>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愉天小区</w:t>
            </w:r>
          </w:p>
        </w:tc>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130.60</w:t>
            </w: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距田贝地铁站约0.3公里</w:t>
            </w:r>
          </w:p>
        </w:tc>
      </w:tr>
      <w:tr>
        <w:trPr>
          <w:cantSplit/>
          <w:tblHeader w:val="false"/>
        </w:trPr>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梅兴苑</w:t>
            </w:r>
          </w:p>
        </w:tc>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114.34</w:t>
            </w: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紧邻梅村地铁站约0.1公里</w:t>
            </w:r>
          </w:p>
        </w:tc>
      </w:tr>
      <w:tr>
        <w:trPr>
          <w:cantSplit/>
          <w:tblHeader w:val="false"/>
        </w:trPr>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合计</w:t>
            </w:r>
          </w:p>
        </w:tc>
        <w:tc>
          <w:tcPr>
            <w:tcW w:type="dxa" w:w="106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5,621.15</w:t>
            </w: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p>
        </w:tc>
      </w:tr>
      <w:tr>
        <w:trPr>
          <w:cantSplit/>
          <w:tblHeader w:val="false"/>
        </w:trPr>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3"/>
            <w:tcMar>
              <w:top w:type="dxa" w:w="42"/>
              <w:left w:type="dxa" w:w="55"/>
              <w:bottom w:type="dxa" w:w="42"/>
              <w:right w:type="dxa" w:w="55"/>
            </w:tcMar>
            <w:vAlign w:val="center"/>
          </w:tcPr>
          <w:p>
            <w:pPr>
              <w:spacing w:line="250" w:lineRule="auto"/>
              <w:jc w:val="center"/>
            </w:pPr>
          </w:p>
        </w:tc>
        <w:tc>
          <w:tcPr>
            <w:tcW w:type="dxa" w:w="1065"/>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改造前户型及物业现状表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701"/>
        <w:gridCol w:w="1701"/>
        <w:gridCol w:w="1701"/>
        <w:gridCol w:w="1701"/>
        <w:gridCol w:w="1702"/>
      </w:tblGrid>
      <w:tr>
        <w:trPr>
          <w:cantSplit/>
          <w:tblHeader/>
        </w:trPr>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房型</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层高（m）</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套数（套）</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建筑面积（㎡）</w:t>
            </w:r>
          </w:p>
        </w:tc>
        <w:tc>
          <w:tcPr>
            <w:tcW w:type="dxa" w:w="170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得房率（%）</w:t>
            </w: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单间</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一房</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两房</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三房</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合计</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51</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5,621.15</w:t>
            </w:r>
          </w:p>
        </w:tc>
        <w:tc>
          <w:tcPr>
            <w:tcW w:type="dxa" w:w="1702"/>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法定改建条件符合性研判表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687"/>
        <w:gridCol w:w="4982"/>
        <w:gridCol w:w="2837"/>
      </w:tblGrid>
      <w:tr>
        <w:trPr>
          <w:cantSplit/>
          <w:tblHeader/>
        </w:trPr>
        <w:tc>
          <w:tcPr>
            <w:tcW w:type="dxa" w:w="68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序号</w:t>
            </w:r>
          </w:p>
        </w:tc>
        <w:tc>
          <w:tcPr>
            <w:tcW w:type="dxa" w:w="498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法定改建条件</w:t>
            </w:r>
          </w:p>
        </w:tc>
        <w:tc>
          <w:tcPr>
            <w:tcW w:type="dxa" w:w="283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本项目符合情况</w:t>
            </w:r>
          </w:p>
        </w:tc>
      </w:tr>
      <w:tr>
        <w:trPr>
          <w:cantSplit/>
          <w:tblHeader w:val="false"/>
        </w:trPr>
        <w:tc>
          <w:tcPr>
            <w:tcW w:type="dxa" w:w="68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w:t>
            </w:r>
          </w:p>
        </w:tc>
        <w:tc>
          <w:tcPr>
            <w:tcW w:type="dxa" w:w="498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拟改建房屋具有不动产权属证书或者具有其他证明权属清晰的相关主管部门文件、生效法律文书， 已通过竣工验收，且房屋用途为 商业、办公、旅馆（酒店）、厂房、研发用房、仓储或者科研教育等。</w:t>
            </w:r>
          </w:p>
        </w:tc>
        <w:tc>
          <w:tcPr>
            <w:tcW w:type="dxa" w:w="283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合作房源均为甲方拥有合法权属的存量住宅，不存在影响项目实施的权属瑕疵</w:t>
            </w:r>
            <w:r>
              <w:rPr>
                <w:b/>
                <w:bCs/>
                <w:color w:val="C62828"/>
                <w:sz w:val="18"/>
                <w:szCs w:val="18"/>
                <w:rFonts w:ascii="SimSun" w:eastAsia="SimSun" w:hAnsi="SimSun" w:cs="SimSun"/>
              </w:rPr>
              <w:t xml:space="preserve">【待补：不动产权属证书】</w:t>
            </w:r>
          </w:p>
        </w:tc>
      </w:tr>
      <w:tr>
        <w:trPr>
          <w:cantSplit/>
          <w:tblHeader w:val="false"/>
        </w:trPr>
        <w:tc>
          <w:tcPr>
            <w:tcW w:type="dxa" w:w="68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w:t>
            </w:r>
          </w:p>
        </w:tc>
        <w:tc>
          <w:tcPr>
            <w:tcW w:type="dxa" w:w="498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拟改建房屋不存在查封登记、异议登记、违法建设等情形；存在抵押登记等他项权益的，应当取得所有他项权益人同意。</w:t>
            </w:r>
          </w:p>
        </w:tc>
        <w:tc>
          <w:tcPr>
            <w:tcW w:type="dxa" w:w="283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甲方已承诺合作房源不存在影响本项目实施的任何权利瑕疵</w:t>
            </w:r>
            <w:r>
              <w:rPr>
                <w:b/>
                <w:bCs/>
                <w:color w:val="C62828"/>
                <w:sz w:val="18"/>
                <w:szCs w:val="18"/>
                <w:rFonts w:ascii="SimSun" w:eastAsia="SimSun" w:hAnsi="SimSun" w:cs="SimSun"/>
              </w:rPr>
              <w:t xml:space="preserve">【待补：无查封及抵押情况证明】</w:t>
            </w:r>
          </w:p>
        </w:tc>
      </w:tr>
      <w:tr>
        <w:trPr>
          <w:cantSplit/>
          <w:tblHeader w:val="false"/>
        </w:trPr>
        <w:tc>
          <w:tcPr>
            <w:tcW w:type="dxa" w:w="68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3</w:t>
            </w:r>
          </w:p>
        </w:tc>
        <w:tc>
          <w:tcPr>
            <w:tcW w:type="dxa" w:w="498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拟改建房屋未被纳入城市更新单元计划、土地整备计划和房屋征收计划。</w:t>
            </w:r>
          </w:p>
        </w:tc>
        <w:tc>
          <w:tcPr>
            <w:tcW w:type="dxa" w:w="283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经初步核查各点位均不在上述计划范围内</w:t>
            </w:r>
            <w:r>
              <w:rPr>
                <w:b/>
                <w:bCs/>
                <w:color w:val="C62828"/>
                <w:sz w:val="18"/>
                <w:szCs w:val="18"/>
                <w:rFonts w:ascii="SimSun" w:eastAsia="SimSun" w:hAnsi="SimSun" w:cs="SimSun"/>
              </w:rPr>
              <w:t xml:space="preserve">【待补：各点位规划核查意见】</w:t>
            </w:r>
          </w:p>
        </w:tc>
      </w:tr>
      <w:tr>
        <w:trPr>
          <w:cantSplit/>
          <w:tblHeader w:val="false"/>
        </w:trPr>
        <w:tc>
          <w:tcPr>
            <w:tcW w:type="dxa" w:w="68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4</w:t>
            </w:r>
          </w:p>
        </w:tc>
        <w:tc>
          <w:tcPr>
            <w:tcW w:type="dxa" w:w="498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商业、办公、旅馆（酒店）、科研教育、研发用房应当以栋、座或者相对独立的整层为单位进行改建，厂房、仓储用房应当以栋或 者座为单位进行改建。单个项目改建总建筑面积原则上不低于 1000 平方米。</w:t>
            </w:r>
          </w:p>
        </w:tc>
        <w:tc>
          <w:tcPr>
            <w:tcW w:type="dxa" w:w="283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本项目总建筑面积约5,621.15平方米，虽单个点位规模较小，但整体规模满足保障性租赁住房项目认定要求</w:t>
            </w:r>
          </w:p>
        </w:tc>
      </w:tr>
      <w:tr>
        <w:trPr>
          <w:cantSplit/>
          <w:tblHeader w:val="false"/>
        </w:trPr>
        <w:tc>
          <w:tcPr>
            <w:tcW w:type="dxa" w:w="68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w:t>
            </w:r>
          </w:p>
        </w:tc>
        <w:tc>
          <w:tcPr>
            <w:tcW w:type="dxa" w:w="498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房屋改建涉及其他共有人或者业主利益的，已征得《中华人民共和国民法典》规定数量的共有人或者业主同意改建。</w:t>
            </w:r>
          </w:p>
        </w:tc>
        <w:tc>
          <w:tcPr>
            <w:tcW w:type="dxa" w:w="283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各房源权属清晰，无共有权争议</w:t>
            </w:r>
            <w:r>
              <w:rPr>
                <w:b/>
                <w:bCs/>
                <w:color w:val="C62828"/>
                <w:sz w:val="18"/>
                <w:szCs w:val="18"/>
                <w:rFonts w:ascii="SimSun" w:eastAsia="SimSun" w:hAnsi="SimSun" w:cs="SimSun"/>
              </w:rPr>
              <w:t xml:space="preserve">【待补：共有权人同意文件】</w:t>
            </w:r>
          </w:p>
        </w:tc>
      </w:tr>
      <w:tr>
        <w:trPr>
          <w:cantSplit/>
          <w:tblHeader w:val="false"/>
        </w:trPr>
        <w:tc>
          <w:tcPr>
            <w:tcW w:type="dxa" w:w="68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6</w:t>
            </w:r>
          </w:p>
        </w:tc>
        <w:tc>
          <w:tcPr>
            <w:tcW w:type="dxa" w:w="498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法律、法规和规章规定的其他条件。</w:t>
            </w:r>
          </w:p>
        </w:tc>
        <w:tc>
          <w:tcPr>
            <w:tcW w:type="dxa" w:w="2837"/>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0_3" w:id="1"/>
      <w:r>
        <w:rPr>
          <w:b/>
          <w:bCs/>
          <w:color w:val="000000"/>
          <w:sz w:val="28"/>
          <w:szCs w:val="28"/>
          <w:rFonts w:ascii="SimSun" w:eastAsia="SimSun" w:hAnsi="SimSun" w:cs="SimSun"/>
        </w:rPr>
        <w:t xml:space="preserve">1.4　合作模式及合作期限</w:t>
      </w:r>
      <w:bookmarkEnd w:id="1"/>
    </w:p>
    <w:p>
      <w:pPr>
        <w:spacing w:before="0" w:after="0" w:line="312" w:lineRule="auto"/>
        <w:ind w:firstLine="480"/>
      </w:pPr>
      <w:r>
        <w:rPr>
          <w:color w:val="000000"/>
          <w:sz w:val="24"/>
          <w:szCs w:val="24"/>
          <w:rFonts w:ascii="SimSun" w:eastAsia="SimSun" w:hAnsi="SimSun" w:cs="SimSun"/>
        </w:rPr>
        <w:t xml:space="preserve">本项目系国家税务总局深圳市税务局（以下简称“市税务局”）与深圳市罗湖安居有限公司（以下简称“罗湖安居公司”）依据双方签订的《保障性租赁住房项目合作框架协议》约定，以收益分成方式开展的存量住房改造合作。罗湖安居公司为深圳市安居集团有限公司控股子公司，是罗湖区保障性住房专营机构，法定代表人及实缴资本情况见表1.1-1。</w:t>
      </w:r>
    </w:p>
    <w:p>
      <w:pPr>
        <w:spacing w:before="0" w:after="0" w:line="312" w:lineRule="auto"/>
        <w:ind w:firstLine="480"/>
      </w:pPr>
      <w:r>
        <w:rPr>
          <w:color w:val="000000"/>
          <w:sz w:val="24"/>
          <w:szCs w:val="24"/>
          <w:rFonts w:ascii="SimSun" w:eastAsia="SimSun" w:hAnsi="SimSun" w:cs="SimSun"/>
        </w:rPr>
        <w:t xml:space="preserve">市税务局作为合作房源权属方，提供其拥有合法权属的第一批51套存量居住房屋，分布于罗湖区银湖半山、宝泉庄、松园小区、碧波花园、愉天小区及福田区梅兴苑等6个居住小区，总建筑面积约5621.15平方米，全部为住宅用途。罗湖安居公司承担项目改造投资及全周期运营管理责任。双方合作方式及期限摘要如下：市税务局负责在协议生效后5日内将合作房源按现状交付，并承诺房源不存在影响项目实施的权利瑕疵；罗湖安居公司全权负责保障性租赁住房认定申报、改造施工组织实施、竣工验收、认定书续期及后期运营管理等全部工作，项目相关全部投入支出由其承担。双方通过收益分成方式实现合作共赢，具体分成比例及结算机制</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。合作期限、双方详细权责划分及退出安排等具体条款详见本报告合作模式章节，此处不再展开。</w:t>
      </w:r>
    </w:p>
    <w:p>
      <w:pPr>
        <w:keepNext/>
        <w:spacing w:before="180" w:after="100"/>
        <w:jc w:val="center"/>
      </w:pPr>
      <w:r>
        <w:rPr>
          <w:b/>
          <w:bCs/>
          <w:color w:val="000000"/>
          <w:sz w:val="22"/>
          <w:szCs w:val="22"/>
          <w:rFonts w:ascii="SimSun" w:eastAsia="SimSun" w:hAnsi="SimSun" w:cs="SimSun"/>
        </w:rPr>
        <w:t xml:space="preserve">合作单位企业信息表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2027"/>
        <w:gridCol w:w="6479"/>
      </w:tblGrid>
      <w:tr>
        <w:trPr>
          <w:cantSplit/>
          <w:tblHeader/>
        </w:trPr>
        <w:tc>
          <w:tcPr>
            <w:tcW w:type="dxa" w:w="202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相关信息</w:t>
            </w:r>
          </w:p>
        </w:tc>
        <w:tc>
          <w:tcPr>
            <w:tcW w:type="dxa" w:w="6479"/>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详情</w:t>
            </w:r>
          </w:p>
        </w:tc>
      </w:tr>
      <w:tr>
        <w:trPr>
          <w:cantSplit/>
          <w:tblHeader w:val="false"/>
        </w:trPr>
        <w:tc>
          <w:tcPr>
            <w:tcW w:type="dxa" w:w="202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公司名称</w:t>
            </w:r>
          </w:p>
        </w:tc>
        <w:tc>
          <w:tcPr>
            <w:tcW w:type="dxa" w:w="647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国家税务总局深圳市税务局；深圳市罗湖安居有限公司</w:t>
            </w:r>
          </w:p>
        </w:tc>
      </w:tr>
      <w:tr>
        <w:trPr>
          <w:cantSplit/>
          <w:tblHeader w:val="false"/>
        </w:trPr>
        <w:tc>
          <w:tcPr>
            <w:tcW w:type="dxa" w:w="202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法定代表人</w:t>
            </w:r>
          </w:p>
        </w:tc>
        <w:tc>
          <w:tcPr>
            <w:tcW w:type="dxa" w:w="6479"/>
            <w:tcMar>
              <w:top w:type="dxa" w:w="42"/>
              <w:left w:type="dxa" w:w="55"/>
              <w:bottom w:type="dxa" w:w="42"/>
              <w:right w:type="dxa" w:w="55"/>
            </w:tcMar>
            <w:vAlign w:val="center"/>
          </w:tcPr>
          <w:p>
            <w:pPr>
              <w:spacing w:line="250" w:lineRule="auto"/>
              <w:jc w:val="center"/>
            </w:pPr>
          </w:p>
        </w:tc>
      </w:tr>
      <w:tr>
        <w:trPr>
          <w:cantSplit/>
          <w:tblHeader w:val="false"/>
        </w:trPr>
        <w:tc>
          <w:tcPr>
            <w:tcW w:type="dxa" w:w="202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注册/实缴资本</w:t>
            </w:r>
          </w:p>
        </w:tc>
        <w:tc>
          <w:tcPr>
            <w:tcW w:type="dxa" w:w="6479"/>
            <w:tcMar>
              <w:top w:type="dxa" w:w="42"/>
              <w:left w:type="dxa" w:w="55"/>
              <w:bottom w:type="dxa" w:w="42"/>
              <w:right w:type="dxa" w:w="55"/>
            </w:tcMar>
            <w:vAlign w:val="center"/>
          </w:tcPr>
          <w:p>
            <w:pPr>
              <w:spacing w:line="250" w:lineRule="auto"/>
              <w:jc w:val="center"/>
            </w:pPr>
          </w:p>
        </w:tc>
      </w:tr>
      <w:tr>
        <w:trPr>
          <w:cantSplit/>
          <w:tblHeader w:val="false"/>
        </w:trPr>
        <w:tc>
          <w:tcPr>
            <w:tcW w:type="dxa" w:w="202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成立日期</w:t>
            </w:r>
          </w:p>
        </w:tc>
        <w:tc>
          <w:tcPr>
            <w:tcW w:type="dxa" w:w="6479"/>
            <w:tcMar>
              <w:top w:type="dxa" w:w="42"/>
              <w:left w:type="dxa" w:w="55"/>
              <w:bottom w:type="dxa" w:w="42"/>
              <w:right w:type="dxa" w:w="55"/>
            </w:tcMar>
            <w:vAlign w:val="center"/>
          </w:tcPr>
          <w:p>
            <w:pPr>
              <w:spacing w:line="250" w:lineRule="auto"/>
              <w:jc w:val="center"/>
            </w:pPr>
          </w:p>
        </w:tc>
      </w:tr>
      <w:tr>
        <w:trPr>
          <w:cantSplit/>
          <w:tblHeader w:val="false"/>
        </w:trPr>
        <w:tc>
          <w:tcPr>
            <w:tcW w:type="dxa" w:w="202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统一社会信用代码</w:t>
            </w:r>
          </w:p>
        </w:tc>
        <w:tc>
          <w:tcPr>
            <w:tcW w:type="dxa" w:w="6479"/>
            <w:tcMar>
              <w:top w:type="dxa" w:w="42"/>
              <w:left w:type="dxa" w:w="55"/>
              <w:bottom w:type="dxa" w:w="42"/>
              <w:right w:type="dxa" w:w="55"/>
            </w:tcMar>
            <w:vAlign w:val="center"/>
          </w:tcPr>
          <w:p>
            <w:pPr>
              <w:spacing w:line="250" w:lineRule="auto"/>
              <w:jc w:val="center"/>
            </w:pPr>
          </w:p>
        </w:tc>
      </w:tr>
      <w:tr>
        <w:trPr>
          <w:cantSplit/>
          <w:tblHeader w:val="false"/>
        </w:trPr>
        <w:tc>
          <w:tcPr>
            <w:tcW w:type="dxa" w:w="202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经营范围</w:t>
            </w:r>
          </w:p>
        </w:tc>
        <w:tc>
          <w:tcPr>
            <w:tcW w:type="dxa" w:w="647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国家税务总局深圳市税务局：税收征收管理；深圳市罗湖安居有限公司：罗湖区保障性住房投资建设与运营管理</w:t>
            </w:r>
          </w:p>
        </w:tc>
      </w:tr>
      <w:tr>
        <w:trPr>
          <w:cantSplit/>
          <w:tblHeader w:val="false"/>
        </w:trPr>
        <w:tc>
          <w:tcPr>
            <w:tcW w:type="dxa" w:w="202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企业性质及股东</w:t>
            </w:r>
          </w:p>
        </w:tc>
        <w:tc>
          <w:tcPr>
            <w:tcW w:type="dxa" w:w="647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国家税务总局深圳市税务局：国家机关；控股股东：—；深圳市罗湖安居有限公司：国有企业；控股股东：深圳市安居集团有限公司</w:t>
            </w:r>
          </w:p>
        </w:tc>
      </w:tr>
    </w:tbl>
    <w:p>
      <w:pPr>
        <w:pStyle w:val="Heading2"/>
        <w:spacing w:before="280" w:after="160" w:line="312" w:lineRule="auto"/>
      </w:pPr>
      <w:bookmarkStart w:name="_tc0_4" w:id="1"/>
      <w:r>
        <w:rPr>
          <w:b/>
          <w:bCs/>
          <w:color w:val="000000"/>
          <w:sz w:val="28"/>
          <w:szCs w:val="28"/>
          <w:rFonts w:ascii="SimSun" w:eastAsia="SimSun" w:hAnsi="SimSun" w:cs="SimSun"/>
        </w:rPr>
        <w:t xml:space="preserve">1.5　改造目标、投资估算与经济效益</w:t>
      </w:r>
      <w:bookmarkEnd w:id="1"/>
    </w:p>
    <w:p>
      <w:pPr>
        <w:spacing w:before="0" w:after="0" w:line="312" w:lineRule="auto"/>
        <w:ind w:firstLine="480"/>
      </w:pPr>
      <w:r>
        <w:rPr>
          <w:color w:val="000000"/>
          <w:sz w:val="24"/>
          <w:szCs w:val="24"/>
          <w:rFonts w:ascii="SimSun" w:eastAsia="SimSun" w:hAnsi="SimSun" w:cs="SimSun"/>
        </w:rPr>
        <w:t xml:space="preserve">本项目为深圳市罗湖安居有限公司与国家税务总局深圳市税务局合作实施的存量住宅改造为保障性租赁住房项目，是落实盘活存量资产、扩大保障性租赁住房供给政策导向的具体举措。项目涉及罗湖、福田两区6个居住小区共51套存量住宅，总建筑面积约5,621.15㎡，改造完成后以拎包入住标准面向市场配租，按市场租金九折定价，定向服务深圳核心城区新市民、青年人等住房困难群体的租住需求。</w:t>
      </w:r>
    </w:p>
    <w:p>
      <w:pPr>
        <w:spacing w:before="0" w:after="0" w:line="312" w:lineRule="auto"/>
        <w:ind w:firstLine="480"/>
      </w:pPr>
      <w:r>
        <w:rPr>
          <w:color w:val="000000"/>
          <w:sz w:val="24"/>
          <w:szCs w:val="24"/>
          <w:rFonts w:ascii="SimSun" w:eastAsia="SimSun" w:hAnsi="SimSun" w:cs="SimSun"/>
        </w:rPr>
        <w:t xml:space="preserve">（一）改造目标</w:t>
      </w:r>
    </w:p>
    <w:p>
      <w:pPr>
        <w:spacing w:before="0" w:after="0" w:line="312" w:lineRule="auto"/>
        <w:ind w:firstLine="480"/>
      </w:pPr>
      <w:r>
        <w:rPr>
          <w:color w:val="000000"/>
          <w:sz w:val="24"/>
          <w:szCs w:val="24"/>
          <w:rFonts w:ascii="SimSun" w:eastAsia="SimSun" w:hAnsi="SimSun" w:cs="SimSun"/>
        </w:rPr>
        <w:t xml:space="preserve">本项目改造目标可分解为三个层面：其一，在房源供给层面，通过室内整体翻新与家私家电配置，将市税务局闲置存量住宅转化为符合《深圳市保障性租赁住房项目认定办法（试行）》（深建规〔2023〕4号）认定标准、产权明晰、可长期稳定运营的保障性租赁住房房源，预计新增保租房51套；其二，在居住品质层面，改造后房源须实现“拎包入住”交付标准，室内功能分区完整、设施设备齐备，满足保障性租赁住房对象的基本居住需求与安全使用要求；其三，在运营效益层面，项目采用满租金整租经营模式，通过专业化、规模化运营管理，保障房源出租率与租金收缴率维持在合理水平，实现存量资产保值增值与投资回收的平衡。</w:t>
      </w:r>
    </w:p>
    <w:p>
      <w:pPr>
        <w:spacing w:before="0" w:after="0" w:line="312" w:lineRule="auto"/>
        <w:ind w:firstLine="480"/>
      </w:pPr>
      <w:r>
        <w:rPr>
          <w:color w:val="000000"/>
          <w:sz w:val="24"/>
          <w:szCs w:val="24"/>
          <w:rFonts w:ascii="SimSun" w:eastAsia="SimSun" w:hAnsi="SimSun" w:cs="SimSun"/>
        </w:rPr>
        <w:t xml:space="preserve">改造前房源均为住宅用途，分布于银湖半山、宝泉庄、松园小区、碧波花园、愉天小区、梅兴苑6个居住小区，户型以二至四房为主，单套建筑面积约65.30—147.62㎡。其中银湖半山小区37套（4,249.9㎡）现状为精装修，因长期空置部分装修有所损坏，改造以局部修缮翻新及增配家具家电为主；其余5个点位14套（1,371.25㎡）均为老旧住宅，需按室内全面翻新并配置家具家电的标准实施改造。改造前房源户型及物业现状见表1.1.4-1。</w:t>
      </w:r>
    </w:p>
    <w:p>
      <w:pPr>
        <w:spacing w:before="0" w:after="0" w:line="312" w:lineRule="auto"/>
        <w:ind w:firstLine="480"/>
      </w:pPr>
      <w:r>
        <w:rPr>
          <w:color w:val="000000"/>
          <w:sz w:val="24"/>
          <w:szCs w:val="24"/>
          <w:rFonts w:ascii="SimSun" w:eastAsia="SimSun" w:hAnsi="SimSun" w:cs="SimSun"/>
        </w:rPr>
        <w:t xml:space="preserve">详见第1.3节“改造前户型及物业现状表”。</w:t>
      </w:r>
    </w:p>
    <w:p>
      <w:pPr>
        <w:spacing w:before="0" w:after="0" w:line="312" w:lineRule="auto"/>
        <w:ind w:firstLine="480"/>
      </w:pPr>
      <w:r>
        <w:rPr>
          <w:color w:val="000000"/>
          <w:sz w:val="24"/>
          <w:szCs w:val="24"/>
          <w:rFonts w:ascii="SimSun" w:eastAsia="SimSun" w:hAnsi="SimSun" w:cs="SimSun"/>
        </w:rPr>
        <w:t xml:space="preserve">注：松园小区7套房源中已有2套拆分为4套一房户型，拆分后实际可出租单元数增加，不影响总建筑面积口径。各点位户型结构差异主要影响单套租金定价水平与目标客群细分，不改变整体改造技术路线。</w:t>
      </w:r>
    </w:p>
    <w:p>
      <w:pPr>
        <w:spacing w:before="0" w:after="0" w:line="312" w:lineRule="auto"/>
        <w:ind w:firstLine="480"/>
      </w:pPr>
      <w:r>
        <w:rPr>
          <w:color w:val="000000"/>
          <w:sz w:val="24"/>
          <w:szCs w:val="24"/>
          <w:rFonts w:ascii="SimSun" w:eastAsia="SimSun" w:hAnsi="SimSun" w:cs="SimSun"/>
        </w:rPr>
        <w:t xml:space="preserve">改造后房源构成以银湖半山小区为主力房源，维持原有户型格局，通过室内翻新及家具家电配置实现拎包入住标准；其余小区房源按原户型翻新后一并纳入保障性租赁住房配租体系。改造后户型及房源构成见表1.1.4-2。</w:t>
      </w:r>
    </w:p>
    <w:p>
      <w:pPr>
        <w:spacing w:before="0" w:after="0" w:line="312" w:lineRule="auto"/>
        <w:ind w:firstLine="480"/>
      </w:pPr>
      <w:r>
        <w:rPr>
          <w:color w:val="000000"/>
          <w:sz w:val="24"/>
          <w:szCs w:val="24"/>
          <w:rFonts w:ascii="SimSun" w:eastAsia="SimSun" w:hAnsi="SimSun" w:cs="SimSun"/>
        </w:rPr>
        <w:t xml:space="preserve">注：得房率以房产测绘报告为准</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（二）投资估算</w:t>
      </w:r>
    </w:p>
    <w:p>
      <w:pPr>
        <w:spacing w:before="0" w:after="0" w:line="312" w:lineRule="auto"/>
        <w:ind w:firstLine="480"/>
      </w:pPr>
      <w:r>
        <w:rPr>
          <w:color w:val="000000"/>
          <w:sz w:val="24"/>
          <w:szCs w:val="24"/>
          <w:rFonts w:ascii="SimSun" w:eastAsia="SimSun" w:hAnsi="SimSun" w:cs="SimSun"/>
        </w:rPr>
        <w:t xml:space="preserve">本项目投资估算编制范围涵盖合作房源室内翻新改造工程、家具家电软装配置、项目建设期融资费用及其他必要的工程建设前期费用。项目总投资13,892万元，其中计息本金10,600万元，借款利率按3%×0.8折扣执行，建设期利息计入总投资。项目资本金由深圳市罗湖安居有限公司以自有资金投入，债务资金拟通过金融机构融资解决，具体资本金与债务融资比例、资金分年度使用计划</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。投资估算科目明细见表1.1.4-3。</w:t>
      </w:r>
    </w:p>
    <w:p>
      <w:pPr>
        <w:spacing w:before="0" w:after="0" w:line="312" w:lineRule="auto"/>
        <w:ind w:firstLine="480"/>
      </w:pPr>
      <w:r>
        <w:rPr>
          <w:color w:val="000000"/>
          <w:sz w:val="24"/>
          <w:szCs w:val="24"/>
          <w:rFonts w:ascii="SimSun" w:eastAsia="SimSun" w:hAnsi="SimSun" w:cs="SimSun"/>
        </w:rPr>
        <w:t xml:space="preserve">注：单方成本按总建筑面积5,621.15㎡折算，单房成本按总套数51套折算。本项目测算期内共装修2次，首次装修标准为1,500元/㎡，工程费合计3,900万元，已含上述硬装工程费及软装配置费相应内容。各科目具体金额以经批准的初步设计概算及造价咨询报告为准</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（三）经济效益</w:t>
      </w:r>
    </w:p>
    <w:p>
      <w:pPr>
        <w:spacing w:before="0" w:after="0" w:line="312" w:lineRule="auto"/>
        <w:ind w:firstLine="480"/>
      </w:pPr>
      <w:r>
        <w:rPr>
          <w:color w:val="000000"/>
          <w:sz w:val="24"/>
          <w:szCs w:val="24"/>
          <w:rFonts w:ascii="SimSun" w:eastAsia="SimSun" w:hAnsi="SimSun" w:cs="SimSun"/>
        </w:rPr>
        <w:t xml:space="preserve">本项目测算周期为2027—2039年（建设期1年，运营期12年），与合作协议首期合作期限一致。核心运营参数为：住宅面积20,000㎡</w:t>
      </w:r>
      <w:r>
        <w:rPr>
          <w:b/>
          <w:bCs/>
          <w:color w:val="C62828"/>
          <w:sz w:val="24"/>
          <w:szCs w:val="24"/>
          <w:rFonts w:ascii="SimSun" w:eastAsia="SimSun" w:hAnsi="SimSun" w:cs="SimSun"/>
        </w:rPr>
        <w:t xml:space="preserve">【待补：与51套/5,621.15㎡的对应关系说明】</w:t>
      </w:r>
      <w:r>
        <w:rPr>
          <w:color w:val="000000"/>
          <w:sz w:val="24"/>
          <w:szCs w:val="24"/>
          <w:rFonts w:ascii="SimSun" w:eastAsia="SimSun" w:hAnsi="SimSun" w:cs="SimSun"/>
        </w:rPr>
        <w:t xml:space="preserve">，起始租金75元/㎡/月（每3年递增5%），首年出租率75%，稳定期出租率95%；收楼单价25元/㎡/月，单套运营成本800元/套/月；折现率6%。经测算，项目全周期总收入21,750.94万元，总成本费用18,444万元，税金及附加合计1,163.75万元，净利润合计1,250.24万元，累计净现值880.47万元，全投资内部收益率（IRR）为25.79%，累计净现金流于2033年（运营第7年）回正。项目经济效益核心指标见表1.1.4-4。</w:t>
      </w:r>
    </w:p>
    <w:p>
      <w:pPr>
        <w:spacing w:before="0" w:after="0" w:line="312" w:lineRule="auto"/>
        <w:ind w:firstLine="480"/>
      </w:pPr>
      <w:r>
        <w:rPr>
          <w:color w:val="000000"/>
          <w:sz w:val="24"/>
          <w:szCs w:val="24"/>
          <w:rFonts w:ascii="SimSun" w:eastAsia="SimSun" w:hAnsi="SimSun" w:cs="SimSun"/>
        </w:rPr>
        <w:t xml:space="preserve">详见第9.3节“财务评价指标表”。</w:t>
      </w:r>
    </w:p>
    <w:p>
      <w:pPr>
        <w:spacing w:before="0" w:after="0" w:line="312" w:lineRule="auto"/>
        <w:ind w:firstLine="480"/>
      </w:pPr>
      <w:r>
        <w:rPr>
          <w:color w:val="000000"/>
          <w:sz w:val="24"/>
          <w:szCs w:val="24"/>
          <w:rFonts w:ascii="SimSun" w:eastAsia="SimSun" w:hAnsi="SimSun" w:cs="SimSun"/>
        </w:rPr>
        <w:t xml:space="preserve">从测算结果看，项目全投资内部收益率高于6%的基准折现率，财务净现值为正，表明项目在测算期内具备可行的盈利能力与偿债能力。运营期前两年（2028—2029年）受出租率爬坡及前期运营费用集中发生影响，净现金流量为负，自2030年起转为正净现金流并逐年扩大，整体呈现“前期投入集中、中期稳步回正、后期收益递增”的现金流特征，符合保障性租赁住房改造项目的一般经济规律。项目经济效益对出租率与租金单价敏感性较高，后续运营中应重点保障房源出租率稳定在测算基准水平以上，并持续做好租金收缴管理，确保项目现金流安全。</w:t>
      </w:r>
    </w:p>
    <w:p>
      <w:pPr>
        <w:keepNext/>
        <w:spacing w:before="180" w:after="100"/>
        <w:jc w:val="center"/>
      </w:pPr>
      <w:r>
        <w:rPr>
          <w:b/>
          <w:bCs/>
          <w:color w:val="000000"/>
          <w:sz w:val="22"/>
          <w:szCs w:val="22"/>
          <w:rFonts w:ascii="SimSun" w:eastAsia="SimSun" w:hAnsi="SimSun" w:cs="SimSun"/>
        </w:rPr>
        <w:t xml:space="preserve">改造后户型及房源表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701"/>
        <w:gridCol w:w="1701"/>
        <w:gridCol w:w="1701"/>
        <w:gridCol w:w="1701"/>
        <w:gridCol w:w="1702"/>
      </w:tblGrid>
      <w:tr>
        <w:trPr>
          <w:cantSplit/>
          <w:tblHeader/>
        </w:trPr>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房型</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层高（m）</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套数（套）</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建筑面积（㎡）</w:t>
            </w:r>
          </w:p>
        </w:tc>
        <w:tc>
          <w:tcPr>
            <w:tcW w:type="dxa" w:w="170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得房率（%）</w:t>
            </w: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单间</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一房</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两房</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三房</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合计</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51</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5,621.15</w:t>
            </w:r>
          </w:p>
        </w:tc>
        <w:tc>
          <w:tcPr>
            <w:tcW w:type="dxa" w:w="1702"/>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软硬装投资估算表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560"/>
        <w:gridCol w:w="1321"/>
        <w:gridCol w:w="1172"/>
        <w:gridCol w:w="1381"/>
        <w:gridCol w:w="1103"/>
        <w:gridCol w:w="2969"/>
      </w:tblGrid>
      <w:tr>
        <w:trPr>
          <w:cantSplit/>
          <w:tblHeader/>
        </w:trPr>
        <w:tc>
          <w:tcPr>
            <w:tcW w:type="dxa" w:w="560"/>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序号</w:t>
            </w:r>
          </w:p>
        </w:tc>
        <w:tc>
          <w:tcPr>
            <w:tcW w:type="dxa" w:w="13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科目</w:t>
            </w:r>
          </w:p>
        </w:tc>
        <w:tc>
          <w:tcPr>
            <w:tcW w:type="dxa" w:w="117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成本（万元）</w:t>
            </w:r>
          </w:p>
        </w:tc>
        <w:tc>
          <w:tcPr>
            <w:tcW w:type="dxa" w:w="138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计算单方成本（元/㎡）</w:t>
            </w:r>
          </w:p>
        </w:tc>
        <w:tc>
          <w:tcPr>
            <w:tcW w:type="dxa" w:w="110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单房成本（元/套）</w:t>
            </w:r>
          </w:p>
        </w:tc>
        <w:tc>
          <w:tcPr>
            <w:tcW w:type="dxa" w:w="2969"/>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科目释义</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设计费</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58</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含室内精装方案及施工图设计、建筑施工图设计、施工图审查等</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委托费用</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74</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造价咨询、招标代理、材料检测、监理、财产险、一切险等</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3</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硬装工程费</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改造房间拆除、隔墙、抹灰、室内及公区墙地顶硬装、门窗、厨卫硬装、入户门工程等</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4</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软装配置费</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保租房交付标准所需家具、家电、窗帘、灯具等软装购置及安装（金额待补充）</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机电改造</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254</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水电改造（含民用水电改造）、消防改造等</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6</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配套工程费</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49</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智能化工程改造、智能水电表等</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7</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不可预见费</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74</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不可预见费按当前项目已确认取费比例及基数计算</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8</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委托代建费</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99</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委托代建费按当前项目合同及已确认取费口径计算</w:t>
            </w:r>
          </w:p>
        </w:tc>
      </w:tr>
      <w:tr>
        <w:trPr>
          <w:cantSplit/>
          <w:tblHeader w:val="false"/>
        </w:trPr>
        <w:tc>
          <w:tcPr>
            <w:tcW w:type="dxa" w:w="56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9</w:t>
            </w: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建设期利息</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建设期融资费用</w:t>
            </w:r>
          </w:p>
        </w:tc>
      </w:tr>
      <w:tr>
        <w:trPr>
          <w:cantSplit/>
          <w:tblHeader w:val="false"/>
        </w:trPr>
        <w:tc>
          <w:tcPr>
            <w:tcW w:type="dxa" w:w="560"/>
            <w:tcMar>
              <w:top w:type="dxa" w:w="42"/>
              <w:left w:type="dxa" w:w="55"/>
              <w:bottom w:type="dxa" w:w="42"/>
              <w:right w:type="dxa" w:w="55"/>
            </w:tcMar>
            <w:vAlign w:val="center"/>
          </w:tcPr>
          <w:p>
            <w:pPr>
              <w:spacing w:line="250" w:lineRule="auto"/>
              <w:jc w:val="center"/>
            </w:pP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精装改造工程费</w:t>
            </w:r>
          </w:p>
        </w:tc>
        <w:tc>
          <w:tcPr>
            <w:tcW w:type="dxa" w:w="1172"/>
            <w:tcMar>
              <w:top w:type="dxa" w:w="42"/>
              <w:left w:type="dxa" w:w="55"/>
              <w:bottom w:type="dxa" w:w="42"/>
              <w:right w:type="dxa" w:w="55"/>
            </w:tcMar>
            <w:vAlign w:val="center"/>
          </w:tcPr>
          <w:p>
            <w:pPr>
              <w:spacing w:line="250" w:lineRule="auto"/>
              <w:jc w:val="center"/>
            </w:pP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2,042</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含改造房间拆除、隔墙、抹灰，室内及公区精装、入户门工程等</w:t>
            </w:r>
          </w:p>
        </w:tc>
      </w:tr>
      <w:tr>
        <w:trPr>
          <w:cantSplit/>
          <w:tblHeader w:val="false"/>
        </w:trPr>
        <w:tc>
          <w:tcPr>
            <w:tcW w:type="dxa" w:w="560"/>
            <w:tcMar>
              <w:top w:type="dxa" w:w="42"/>
              <w:left w:type="dxa" w:w="55"/>
              <w:bottom w:type="dxa" w:w="42"/>
              <w:right w:type="dxa" w:w="55"/>
            </w:tcMar>
            <w:vAlign w:val="center"/>
          </w:tcPr>
          <w:p>
            <w:pPr>
              <w:spacing w:line="250" w:lineRule="auto"/>
              <w:jc w:val="center"/>
            </w:pPr>
          </w:p>
        </w:tc>
        <w:tc>
          <w:tcPr>
            <w:tcW w:type="dxa" w:w="13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合计</w:t>
            </w:r>
          </w:p>
        </w:tc>
        <w:tc>
          <w:tcPr>
            <w:tcW w:type="dxa" w:w="117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13,892</w:t>
            </w:r>
          </w:p>
        </w:tc>
        <w:tc>
          <w:tcPr>
            <w:tcW w:type="dxa" w:w="138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2,650</w:t>
            </w:r>
          </w:p>
        </w:tc>
        <w:tc>
          <w:tcPr>
            <w:tcW w:type="dxa" w:w="1103"/>
            <w:tcMar>
              <w:top w:type="dxa" w:w="42"/>
              <w:left w:type="dxa" w:w="55"/>
              <w:bottom w:type="dxa" w:w="42"/>
              <w:right w:type="dxa" w:w="55"/>
            </w:tcMar>
            <w:vAlign w:val="center"/>
          </w:tcPr>
          <w:p>
            <w:pPr>
              <w:spacing w:line="250" w:lineRule="auto"/>
              <w:jc w:val="center"/>
            </w:pPr>
          </w:p>
        </w:tc>
        <w:tc>
          <w:tcPr>
            <w:tcW w:type="dxa" w:w="2969"/>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0_5" w:id="1"/>
      <w:r>
        <w:rPr>
          <w:b/>
          <w:bCs/>
          <w:color w:val="000000"/>
          <w:sz w:val="28"/>
          <w:szCs w:val="28"/>
          <w:rFonts w:ascii="SimSun" w:eastAsia="SimSun" w:hAnsi="SimSun" w:cs="SimSun"/>
        </w:rPr>
        <w:t xml:space="preserve">1.6　可行性与必要性概述</w:t>
      </w:r>
      <w:bookmarkEnd w:id="1"/>
    </w:p>
    <w:p>
      <w:pPr>
        <w:pStyle w:val="Heading3"/>
        <w:keepNext/>
        <w:spacing w:before="160" w:after="80" w:line="360" w:lineRule="auto"/>
      </w:pPr>
      <w:r>
        <w:rPr>
          <w:b/>
          <w:bCs/>
          <w:color w:val="000000"/>
          <w:sz w:val="24"/>
          <w:szCs w:val="24"/>
          <w:rFonts w:ascii="SimSun" w:eastAsia="SimSun" w:hAnsi="SimSun" w:cs="SimSun"/>
        </w:rPr>
        <w:t xml:space="preserve">1.6.1 项目背景与政策依据</w:t>
      </w:r>
    </w:p>
    <w:p>
      <w:pPr>
        <w:spacing w:before="0" w:after="0" w:line="312" w:lineRule="auto"/>
        <w:ind w:firstLine="480"/>
      </w:pPr>
      <w:r>
        <w:rPr>
          <w:color w:val="000000"/>
          <w:sz w:val="24"/>
          <w:szCs w:val="24"/>
          <w:rFonts w:ascii="SimSun" w:eastAsia="SimSun" w:hAnsi="SimSun" w:cs="SimSun"/>
        </w:rPr>
        <w:t xml:space="preserve">为深入贯彻落实党中央、国务院关于盘活存量资产和加快发展保障性租赁住房的决策部署，通过政企携手将行政闲置低效资源转化为民生住房供给，深圳市罗湖安居有限公司（以下简称“罗湖安居公司”）拟与国家税务总局深圳市税务局（以下简称“市税务局”）合作，将其提供的51套存量居住房屋改造为保障性租赁住房。本项目已纳入双方签订的《保障性租赁住房项目合作框架协议》约定范围，合作模式为收益分成方式，罗湖安居公司作为项目实施主体，负责改造投资、认定申报、施工组织及后期运营管理全流程工作。</w:t>
      </w:r>
    </w:p>
    <w:p>
      <w:pPr>
        <w:spacing w:before="0" w:after="0" w:line="312" w:lineRule="auto"/>
        <w:ind w:firstLine="480"/>
      </w:pPr>
      <w:r>
        <w:rPr>
          <w:color w:val="000000"/>
          <w:sz w:val="24"/>
          <w:szCs w:val="24"/>
          <w:rFonts w:ascii="SimSun" w:eastAsia="SimSun" w:hAnsi="SimSun" w:cs="SimSun"/>
        </w:rPr>
        <w:t xml:space="preserve">从政策层面看，本项目房源均为产权明晰的存量居住房屋，依据《深圳市保障性租赁住房项目认定办法（试行）》（深建规〔2023〕4号），在可提供不动产权属证书或其他合法权属资料的前提下，可申请认定为保障性租赁住房，政策适配性明确。项目通过盘活行政事业单位闲置存量住房资源，定向增加深圳市核心城区保障性租赁住房供给，符合国家及深圳市关于加快发展保障性租赁住房、解决新市民和青年人住房问题的总体导向，具有较强的政策必要性与示范意义。</w:t>
      </w:r>
    </w:p>
    <w:p>
      <w:pPr>
        <w:pStyle w:val="Heading3"/>
        <w:keepNext/>
        <w:spacing w:before="160" w:after="80" w:line="360" w:lineRule="auto"/>
      </w:pPr>
      <w:r>
        <w:rPr>
          <w:b/>
          <w:bCs/>
          <w:color w:val="000000"/>
          <w:sz w:val="24"/>
          <w:szCs w:val="24"/>
          <w:rFonts w:ascii="SimSun" w:eastAsia="SimSun" w:hAnsi="SimSun" w:cs="SimSun"/>
        </w:rPr>
        <w:t xml:space="preserve">1.6.2 项目区位与市场可行性</w:t>
      </w:r>
    </w:p>
    <w:p>
      <w:pPr>
        <w:spacing w:before="0" w:after="0" w:line="312" w:lineRule="auto"/>
        <w:ind w:firstLine="480"/>
      </w:pPr>
      <w:r>
        <w:rPr>
          <w:color w:val="000000"/>
          <w:sz w:val="24"/>
          <w:szCs w:val="24"/>
          <w:rFonts w:ascii="SimSun" w:eastAsia="SimSun" w:hAnsi="SimSun" w:cs="SimSun"/>
        </w:rPr>
        <w:t xml:space="preserve">本项目51套房源分布于罗湖区银湖半山、宝泉庄、松园小区、碧波花园、愉天小区及福田区梅兴苑等6个成熟居住小区，总建筑面积约5621.15平方米，全部为住宅用途。其中，位于罗湖区金湖路6号的银湖半山小区房源37套，建筑面积4249.9平方米，占总房源面积的76%，为本项目核心房源。该小区周边交通条件较为便利，距泥岗地铁站约1公里、罗湖北地铁站约1.4公里，公交站点罗湖区图书馆、深圳边检总站医院等均在0.5公里范围内；3公里内住宅小区类POI 64个、企业及写字楼类POI 63个，岗位类POI占比约50%（非官方职住比，仅为POI密度代理指标），显示片区居住与就业功能相对均衡，具备一定的租赁需求基础。周边竞品公寓（易间公寓、华利公寓、禾寓青年公寓等）分布于0.6—1公里范围内，但租金及出租率数据尚待人工调研核实</w:t>
      </w:r>
      <w:r>
        <w:rPr>
          <w:b/>
          <w:bCs/>
          <w:color w:val="C62828"/>
          <w:sz w:val="24"/>
          <w:szCs w:val="24"/>
          <w:rFonts w:ascii="SimSun" w:eastAsia="SimSun" w:hAnsi="SimSun" w:cs="SimSun"/>
        </w:rPr>
        <w:t xml:space="preserve">【待补：周边竞品租金及出租率人工调研数据】</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其余5个点位的实质差异在于：松园小区（7套，584.76㎡）与愉天小区（2套，130.6㎡）均位于罗湖中心城区，前者3公里内岗位类POI占比约67%，后者约100%（非官方职住比），就业密集度高于银湖半山，租赁需求支撑更强，但房源规模较小、分布零散，改造成本管控与运营管理效率相对受限；宝泉庄（3套，419.63㎡）与碧波花园（1套，121.92㎡）房源套数少、面积大（单套121.92—147.62㎡），户型偏大可能影响保障性租赁住房的租户适配性；福田区梅兴苑（1套，114.34㎡）跨区分布，虽临近梅村地铁站（约0.1公里）交通便利，但单套规模过小，管理半径拉长。综合判断，本项目以银湖半山为核心房源集中区域，其余点位作为补充房源，整体区位条件良好，均处于罗湖、福田核心城区成熟居住小区内，市场可行性总体成立。</w:t>
      </w:r>
    </w:p>
    <w:p>
      <w:pPr>
        <w:pStyle w:val="Heading3"/>
        <w:keepNext/>
        <w:spacing w:before="160" w:after="80" w:line="360" w:lineRule="auto"/>
      </w:pPr>
      <w:r>
        <w:rPr>
          <w:b/>
          <w:bCs/>
          <w:color w:val="000000"/>
          <w:sz w:val="24"/>
          <w:szCs w:val="24"/>
          <w:rFonts w:ascii="SimSun" w:eastAsia="SimSun" w:hAnsi="SimSun" w:cs="SimSun"/>
        </w:rPr>
        <w:t xml:space="preserve">1.6.3 改造条件与实施可行性</w:t>
      </w:r>
    </w:p>
    <w:p>
      <w:pPr>
        <w:spacing w:before="0" w:after="0" w:line="312" w:lineRule="auto"/>
        <w:ind w:firstLine="480"/>
      </w:pPr>
      <w:r>
        <w:rPr>
          <w:color w:val="000000"/>
          <w:sz w:val="24"/>
          <w:szCs w:val="24"/>
          <w:rFonts w:ascii="SimSun" w:eastAsia="SimSun" w:hAnsi="SimSun" w:cs="SimSun"/>
        </w:rPr>
        <w:t xml:space="preserve">经现场勘察，51套房源全部位于核心城区成熟居住小区内，小区配套完善、居住氛围成熟。银湖半山小区房源现状较好，室内为精装修，部分房源因长期空置装修有所损坏，进行简单翻新及增配家具家电即可达到拎包入住标准；其余小区房源相对老旧，需按室内全部翻新改造、配置家具家电的方式实施。改造保持室内整体格局不变，以翻新和配置为主要手段，不涉及主体结构变动，工程技术难度可控，实施条件具备。项目总投资13892万元，改造后预计2027年6月入市，按市场租金9折标准对外出租，平均租金约42.44元/平方米/月，平均每套约4678元/月，稳定期出租率85%。经济测算初步结论显示项目投资可行，且已通过罗湖安居公司支委会和总办会审议</w:t>
      </w:r>
      <w:r>
        <w:rPr>
          <w:b/>
          <w:bCs/>
          <w:color w:val="C62828"/>
          <w:sz w:val="24"/>
          <w:szCs w:val="24"/>
          <w:rFonts w:ascii="SimSun" w:eastAsia="SimSun" w:hAnsi="SimSun" w:cs="SimSun"/>
        </w:rPr>
        <w:t xml:space="preserve">【待补：各章节结论汇总】</w:t>
      </w:r>
      <w:r>
        <w:rPr>
          <w:color w:val="000000"/>
          <w:sz w:val="24"/>
          <w:szCs w:val="24"/>
          <w:rFonts w:ascii="SimSun" w:eastAsia="SimSun" w:hAnsi="SimSun" w:cs="SimSun"/>
        </w:rPr>
        <w:t xml:space="preserve">。</w:t>
      </w:r>
    </w:p>
    <w:p>
      <w:pPr>
        <w:pStyle w:val="Heading3"/>
        <w:keepNext/>
        <w:spacing w:before="160" w:after="80" w:line="360" w:lineRule="auto"/>
      </w:pPr>
      <w:r>
        <w:rPr>
          <w:b/>
          <w:bCs/>
          <w:color w:val="000000"/>
          <w:sz w:val="24"/>
          <w:szCs w:val="24"/>
          <w:rFonts w:ascii="SimSun" w:eastAsia="SimSun" w:hAnsi="SimSun" w:cs="SimSun"/>
        </w:rPr>
        <w:t xml:space="preserve">1.6.4 合作模式与风险控制</w:t>
      </w:r>
    </w:p>
    <w:p>
      <w:pPr>
        <w:spacing w:before="0" w:after="0" w:line="312" w:lineRule="auto"/>
        <w:ind w:firstLine="480"/>
      </w:pPr>
      <w:r>
        <w:rPr>
          <w:color w:val="000000"/>
          <w:sz w:val="24"/>
          <w:szCs w:val="24"/>
          <w:rFonts w:ascii="SimSun" w:eastAsia="SimSun" w:hAnsi="SimSun" w:cs="SimSun"/>
        </w:rPr>
        <w:t xml:space="preserve">本项目采用政企合作、收益分成模式，罗湖安居公司作为罗湖区保障性住房专营机构，具备保障性租赁住房改造、工程建设、报批报建专业能力。双方已就合作期限（首期12年，可自动顺延）、房源交付与责任划分、改造实施与运营管理权限、收益分配机制等核心事项达成框架性安排，合作模式权责清晰、风险可控（来源：《市税务局第一批合作房源改造为保障性租赁住房项目合作协议（草案）》）。项目通过将行政事业单位闲置低效房屋转化为保障性租赁住房，既盘活了存量国有资产，又增加了核心城区保租房供给，实现了政府、企业与社会多方共赢。</w:t>
      </w:r>
    </w:p>
    <w:p>
      <w:pPr>
        <w:spacing w:before="0" w:after="0" w:line="312" w:lineRule="auto"/>
        <w:ind w:firstLine="480"/>
      </w:pPr>
      <w:r>
        <w:rPr>
          <w:color w:val="000000"/>
          <w:sz w:val="24"/>
          <w:szCs w:val="24"/>
          <w:rFonts w:ascii="SimSun" w:eastAsia="SimSun" w:hAnsi="SimSun" w:cs="SimSun"/>
        </w:rPr>
        <w:t xml:space="preserve">综上所述，本项目政策依据充分、区位条件优越、改造条件具备、合作模式清晰，项目可行且必要。</w:t>
      </w:r>
    </w:p>
    <w:p>
      <w:pPr>
        <w:pStyle w:val="Heading2"/>
        <w:spacing w:before="280" w:after="160" w:line="312" w:lineRule="auto"/>
      </w:pPr>
      <w:bookmarkStart w:name="_tc0_6" w:id="1"/>
      <w:r>
        <w:rPr>
          <w:b/>
          <w:bCs/>
          <w:color w:val="000000"/>
          <w:sz w:val="28"/>
          <w:szCs w:val="28"/>
          <w:rFonts w:ascii="SimSun" w:eastAsia="SimSun" w:hAnsi="SimSun" w:cs="SimSun"/>
        </w:rPr>
        <w:t xml:space="preserve">1.7　问题、建议与结论</w:t>
      </w:r>
      <w:bookmarkEnd w:id="1"/>
    </w:p>
    <w:p>
      <w:pPr>
        <w:pStyle w:val="Heading3"/>
        <w:keepNext/>
        <w:spacing w:before="160" w:after="80" w:line="360" w:lineRule="auto"/>
      </w:pPr>
      <w:r>
        <w:rPr>
          <w:b/>
          <w:bCs/>
          <w:color w:val="000000"/>
          <w:sz w:val="24"/>
          <w:szCs w:val="24"/>
          <w:rFonts w:ascii="SimSun" w:eastAsia="SimSun" w:hAnsi="SimSun" w:cs="SimSun"/>
        </w:rPr>
        <w:t xml:space="preserve">1.7.1 尚待解决的主要问题</w:t>
      </w:r>
    </w:p>
    <w:p>
      <w:pPr>
        <w:spacing w:before="0" w:after="0" w:line="312" w:lineRule="auto"/>
        <w:ind w:firstLine="480"/>
      </w:pPr>
      <w:r>
        <w:rPr>
          <w:color w:val="000000"/>
          <w:sz w:val="24"/>
          <w:szCs w:val="24"/>
          <w:rFonts w:ascii="SimSun" w:eastAsia="SimSun" w:hAnsi="SimSun" w:cs="SimSun"/>
        </w:rPr>
        <w:t xml:space="preserve">本项目作为政企合作盘活存量住宅、转化保障性租赁住房的探索性实践，在投资决策与实施路径层面仍存在若干需进一步明确和落实的关键问题，归纳如下：</w:t>
      </w:r>
    </w:p>
    <w:p>
      <w:pPr>
        <w:spacing w:before="0" w:after="0" w:line="312" w:lineRule="auto"/>
        <w:ind w:firstLine="480"/>
      </w:pPr>
      <w:r>
        <w:rPr>
          <w:color w:val="000000"/>
          <w:sz w:val="24"/>
          <w:szCs w:val="24"/>
          <w:rFonts w:ascii="SimSun" w:eastAsia="SimSun" w:hAnsi="SimSun" w:cs="SimSun"/>
        </w:rPr>
        <w:t xml:space="preserve">（一）合作机制与收益分配细则尚未完全落地。本项目依托集团与国家税务总局深圳市税务局签订的《保障性租赁住房项目合作框架协议》，采用收益分成方式实施，但框架协议项下的具体收益分成比例、结算周期、调价机制及争议解决路径等操作细则，需在正式合作协议中予以明确，以保障项目长期稳定运营。</w:t>
      </w:r>
    </w:p>
    <w:p>
      <w:pPr>
        <w:spacing w:before="0" w:after="0" w:line="312" w:lineRule="auto"/>
        <w:ind w:firstLine="480"/>
      </w:pPr>
      <w:r>
        <w:rPr>
          <w:color w:val="000000"/>
          <w:sz w:val="24"/>
          <w:szCs w:val="24"/>
          <w:rFonts w:ascii="SimSun" w:eastAsia="SimSun" w:hAnsi="SimSun" w:cs="SimSun"/>
        </w:rPr>
        <w:t xml:space="preserve">（二）房源分散布局加大实施与运营管理难度。51套房源分布于罗湖、福田两区6个居住小区，单点房源数量从1套至37套不等，其中银湖半山小区集中37套（占比约76%），其余5个小区合计仅14套。分散房源在装修改造的组织管理、租赁运营的驻场服务、日常维修响应等方面均难以形成规模效应，单位管理成本相对偏高。</w:t>
      </w:r>
    </w:p>
    <w:p>
      <w:pPr>
        <w:spacing w:before="0" w:after="0" w:line="312" w:lineRule="auto"/>
        <w:ind w:firstLine="480"/>
      </w:pPr>
      <w:r>
        <w:rPr>
          <w:color w:val="000000"/>
          <w:sz w:val="24"/>
          <w:szCs w:val="24"/>
          <w:rFonts w:ascii="SimSun" w:eastAsia="SimSun" w:hAnsi="SimSun" w:cs="SimSun"/>
        </w:rPr>
        <w:t xml:space="preserve">（三）改造标准与投入产出匹配关系需精准把控。银湖半山小区房源现状为精装修，可采取简单翻新加配家具家电的方式实现拎包入住；其余小区房源相对老旧，需室内全部翻新并配置家具家电。两类改造标准差异较大，需在保证品质与合理控制投资之间取得平衡，避免过度投入拉低项目收益水平。</w:t>
      </w:r>
    </w:p>
    <w:p>
      <w:pPr>
        <w:spacing w:before="0" w:after="0" w:line="312" w:lineRule="auto"/>
        <w:ind w:firstLine="480"/>
      </w:pPr>
      <w:r>
        <w:rPr>
          <w:color w:val="000000"/>
          <w:sz w:val="24"/>
          <w:szCs w:val="24"/>
          <w:rFonts w:ascii="SimSun" w:eastAsia="SimSun" w:hAnsi="SimSun" w:cs="SimSun"/>
        </w:rPr>
        <w:t xml:space="preserve">（四）市场租金与出租率预期需经实践验证。本项目按市场租金9折对外出租，预估平均租金约42.44元/平方米/月，稳定期出租率按85%测算。鉴于周边同类公寓产品租金及出租率数据尚待人工调研补充，上述测算参数的市场可实现性仍需在投资决策前进一步验证。</w:t>
      </w:r>
    </w:p>
    <w:p>
      <w:pPr>
        <w:pStyle w:val="Heading3"/>
        <w:keepNext/>
        <w:spacing w:before="160" w:after="80" w:line="360" w:lineRule="auto"/>
      </w:pPr>
      <w:r>
        <w:rPr>
          <w:b/>
          <w:bCs/>
          <w:color w:val="000000"/>
          <w:sz w:val="24"/>
          <w:szCs w:val="24"/>
          <w:rFonts w:ascii="SimSun" w:eastAsia="SimSun" w:hAnsi="SimSun" w:cs="SimSun"/>
        </w:rPr>
        <w:t xml:space="preserve">1.7.2 针对性工作建议</w:t>
      </w:r>
    </w:p>
    <w:p>
      <w:pPr>
        <w:spacing w:before="0" w:after="0" w:line="312" w:lineRule="auto"/>
        <w:ind w:firstLine="480"/>
      </w:pPr>
      <w:r>
        <w:rPr>
          <w:color w:val="000000"/>
          <w:sz w:val="24"/>
          <w:szCs w:val="24"/>
          <w:rFonts w:ascii="SimSun" w:eastAsia="SimSun" w:hAnsi="SimSun" w:cs="SimSun"/>
        </w:rPr>
        <w:t xml:space="preserve">针对上述问题，提出以下工作建议：</w:t>
      </w:r>
    </w:p>
    <w:p>
      <w:pPr>
        <w:spacing w:before="0" w:after="0" w:line="312" w:lineRule="auto"/>
        <w:ind w:firstLine="480"/>
      </w:pPr>
      <w:r>
        <w:rPr>
          <w:color w:val="000000"/>
          <w:sz w:val="24"/>
          <w:szCs w:val="24"/>
          <w:rFonts w:ascii="SimSun" w:eastAsia="SimSun" w:hAnsi="SimSun" w:cs="SimSun"/>
        </w:rPr>
        <w:t xml:space="preserve">（一）加快签署正式合作协议，锁定合作边界。建议深圳市罗湖安居有限公司在投资立项批复后，尽快与市税务局协商签署细化的合作运营协议，明确收益分成基数与比例、结算周期、双方权责、退出安排及违约责任等核心条款，确保项目投资边界清晰、收益预期可控。</w:t>
      </w:r>
    </w:p>
    <w:p>
      <w:pPr>
        <w:spacing w:before="0" w:after="0" w:line="312" w:lineRule="auto"/>
        <w:ind w:firstLine="480"/>
      </w:pPr>
      <w:r>
        <w:rPr>
          <w:color w:val="000000"/>
          <w:sz w:val="24"/>
          <w:szCs w:val="24"/>
          <w:rFonts w:ascii="SimSun" w:eastAsia="SimSun" w:hAnsi="SimSun" w:cs="SimSun"/>
        </w:rPr>
        <w:t xml:space="preserve">（二）实施分类改造与分区运营管理策略。针对银湖半山集中房源，建议作为项目运营的核心阵地，配置驻点管理人员，实现集约化管理；针对其余5个小区分散房源，建议依托属地化第三方服务资源建立快速响应机制，或探索与邻近保障性租赁住房项目实行捆绑运营，摊薄管理成本。</w:t>
      </w:r>
    </w:p>
    <w:p>
      <w:pPr>
        <w:spacing w:before="0" w:after="0" w:line="312" w:lineRule="auto"/>
        <w:ind w:firstLine="480"/>
      </w:pPr>
      <w:r>
        <w:rPr>
          <w:color w:val="000000"/>
          <w:sz w:val="24"/>
          <w:szCs w:val="24"/>
          <w:rFonts w:ascii="SimSun" w:eastAsia="SimSun" w:hAnsi="SimSun" w:cs="SimSun"/>
        </w:rPr>
        <w:t xml:space="preserve">（三）严格执行分级改造标准，强化投资控制。建议依据房源现状评估结果，分类编制改造方案与预算——银湖半山以修复性翻新和家具家电配置为主，其余小区实施全面翻新；通过标准化设计、集中采购等方式控制单方造价，确保总投资13892万元控制在合理区间，并建立动态成本监控机制。</w:t>
      </w:r>
    </w:p>
    <w:p>
      <w:pPr>
        <w:spacing w:before="0" w:after="0" w:line="312" w:lineRule="auto"/>
        <w:ind w:firstLine="480"/>
      </w:pPr>
      <w:r>
        <w:rPr>
          <w:color w:val="000000"/>
          <w:sz w:val="24"/>
          <w:szCs w:val="24"/>
          <w:rFonts w:ascii="SimSun" w:eastAsia="SimSun" w:hAnsi="SimSun" w:cs="SimSun"/>
        </w:rPr>
        <w:t xml:space="preserve">（四）补充市场调研，夯实收益测算依据。建议在可行性研究阶段完成对金湖路6号周边易间公寓、华利公寓、禾寓青年公寓、中海友里公寓等竞品项目的实地调研，获取真实租金水平与出租率数据，对预估租金42.44元/平方米/月及85%稳定期出租率进行复核验证，必要时调整财务测算假设。</w:t>
      </w:r>
    </w:p>
    <w:p>
      <w:pPr>
        <w:pStyle w:val="Heading3"/>
        <w:keepNext/>
        <w:spacing w:before="160" w:after="80" w:line="360" w:lineRule="auto"/>
      </w:pPr>
      <w:r>
        <w:rPr>
          <w:b/>
          <w:bCs/>
          <w:color w:val="000000"/>
          <w:sz w:val="24"/>
          <w:szCs w:val="24"/>
          <w:rFonts w:ascii="SimSun" w:eastAsia="SimSun" w:hAnsi="SimSun" w:cs="SimSun"/>
        </w:rPr>
        <w:t xml:space="preserve">1.7.3 总体结论</w:t>
      </w:r>
    </w:p>
    <w:p>
      <w:pPr>
        <w:spacing w:before="0" w:after="0" w:line="312" w:lineRule="auto"/>
        <w:ind w:firstLine="480"/>
      </w:pPr>
      <w:r>
        <w:rPr>
          <w:color w:val="000000"/>
          <w:sz w:val="24"/>
          <w:szCs w:val="24"/>
          <w:rFonts w:ascii="SimSun" w:eastAsia="SimSun" w:hAnsi="SimSun" w:cs="SimSun"/>
        </w:rPr>
        <w:t xml:space="preserve">本项目符合党中央、国务院关于盘活存量资产和发展保障性租赁住房的政策导向，是政企合作将行政事业单位闲置居住资源转化为民生住房供给的有益探索。从政策效益看，项目依托《深圳市保障性租赁住房项目认定办法（试行）》（深建规〔2023〕4号）的政策通道，权属清晰、路径合规，能够有效增加深圳市核心城区保障性租赁住房供给；从社会效益看，51套房源均位于罗湖、福田成熟居住小区，交通与公共服务配套完善，改造后以市场租金9折出租，有助于缓解新市民、青年人等群体的住房困难，职住平衡条件总体良好；从经济效益看，项目投资规模13892万元，通过收益分成方式获取合作房源，资金占用压力相对可控，但收益水平高度依赖租金实现率与出租率，需以审慎的市场调研和严格的成本控制为保障。</w:t>
      </w:r>
    </w:p>
    <w:p>
      <w:pPr>
        <w:spacing w:before="0" w:after="0" w:line="312" w:lineRule="auto"/>
        <w:ind w:firstLine="480"/>
      </w:pPr>
      <w:r>
        <w:rPr>
          <w:color w:val="000000"/>
          <w:sz w:val="24"/>
          <w:szCs w:val="24"/>
          <w:rFonts w:ascii="SimSun" w:eastAsia="SimSun" w:hAnsi="SimSun" w:cs="SimSun"/>
        </w:rPr>
        <w:t xml:space="preserve">综合判断，本项目在政策合规性、房源区位条件及改造可行性方面具备实施基础，建议在落实正式合作协议、完成竞品实地调研并复核财务测算后，按程序推进投资立项与后续实施工作。</w:t>
      </w:r>
    </w:p>
    <w:p>
      <w:pPr>
        <w:pStyle w:val="Heading1"/>
        <w:pageBreakBefore/>
        <w:spacing w:after="360" w:line="312" w:lineRule="auto"/>
        <w:jc w:val="center"/>
      </w:pPr>
      <w:bookmarkStart w:name="_tc1" w:id="1"/>
      <w:r>
        <w:rPr>
          <w:b/>
          <w:bCs/>
          <w:color w:val="000000"/>
          <w:sz w:val="44"/>
          <w:szCs w:val="44"/>
          <w:rFonts w:ascii="SimSun" w:eastAsia="SimSun" w:hAnsi="SimSun" w:cs="SimSun"/>
        </w:rPr>
        <w:t xml:space="preserve">第二章　项目建设必要性</w:t>
      </w:r>
      <w:bookmarkEnd w:id="1"/>
    </w:p>
    <w:p>
      <w:pPr>
        <w:pStyle w:val="Heading2"/>
        <w:spacing w:before="280" w:after="160" w:line="312" w:lineRule="auto"/>
      </w:pPr>
      <w:bookmarkStart w:name="_tc1_0" w:id="1"/>
      <w:r>
        <w:rPr>
          <w:b/>
          <w:bCs/>
          <w:color w:val="000000"/>
          <w:sz w:val="28"/>
          <w:szCs w:val="28"/>
          <w:rFonts w:ascii="SimSun" w:eastAsia="SimSun" w:hAnsi="SimSun" w:cs="SimSun"/>
        </w:rPr>
        <w:t xml:space="preserve">2.1　政策与国有资产管理要求</w:t>
      </w:r>
      <w:bookmarkEnd w:id="1"/>
    </w:p>
    <w:p>
      <w:pPr>
        <w:spacing w:before="0" w:after="0" w:line="312" w:lineRule="auto"/>
        <w:ind w:firstLine="480"/>
      </w:pPr>
      <w:r>
        <w:rPr>
          <w:color w:val="000000"/>
          <w:sz w:val="24"/>
          <w:szCs w:val="24"/>
          <w:rFonts w:ascii="SimSun" w:eastAsia="SimSun" w:hAnsi="SimSun" w:cs="SimSun"/>
        </w:rPr>
        <w:t xml:space="preserve">本项目是深圳市罗湖安居有限公司（以下简称“罗湖安居公司”）与国家税务总 局深圳市税务局（以下简称“市税务局”）政企合作盘活存量住房资源、发展保障性租赁住房的具体实践，其建设必要性首先体现为对国家和深圳市保障性租赁住房政策导向的响应，以及对国有资产盘活与保值增值要求的落实。</w:t>
      </w:r>
    </w:p>
    <w:p>
      <w:pPr>
        <w:pStyle w:val="Heading3"/>
        <w:keepNext/>
        <w:spacing w:before="160" w:after="80" w:line="360" w:lineRule="auto"/>
      </w:pPr>
      <w:r>
        <w:rPr>
          <w:b/>
          <w:bCs/>
          <w:color w:val="000000"/>
          <w:sz w:val="24"/>
          <w:szCs w:val="24"/>
          <w:rFonts w:ascii="SimSun" w:eastAsia="SimSun" w:hAnsi="SimSun" w:cs="SimSun"/>
        </w:rPr>
        <w:t xml:space="preserve">2.1.1 落实加快发展保障性租赁住房的决策部署</w:t>
      </w:r>
    </w:p>
    <w:p>
      <w:pPr>
        <w:spacing w:before="0" w:after="0" w:line="312" w:lineRule="auto"/>
        <w:ind w:firstLine="480"/>
      </w:pPr>
      <w:r>
        <w:rPr>
          <w:color w:val="000000"/>
          <w:sz w:val="24"/>
          <w:szCs w:val="24"/>
          <w:rFonts w:ascii="SimSun" w:eastAsia="SimSun" w:hAnsi="SimSun" w:cs="SimSun"/>
        </w:rPr>
        <w:t xml:space="preserve">近年来，党中央、国务院高度重视解决新市民、青年人等群体住房困难问题，明确要求加快发展保障性租赁住房，推动建立多主体供给、多渠道保障、租购并举的住房制度。深圳市作为人口净流入量大、房价收入比高的超大城市，保障性租赁住房供需矛盾尤为突出。本项目将市税务局位于罗湖、福田核心城区的51套存量住宅统一改造后纳入保障性租赁住房体系，由罗湖安居公司作为区属保障性住房专营机构实施专业化运营，能够以较快速度、较低成本形成有效房源供给，是落实上述决策部署的具体行动。根据《深圳市保障性租赁住房项目认定办法（试行）》（深建规〔2023〕4号），本项目房源均为产权明晰的存量居住房屋，具备申请认定为保障性租赁住房的政策条件。项目建成后按市场租金九折对外出租，定向缓解罗湖、福田核心城区新市民、青年人才的阶段性住房困难，具有明确的民生保障属性。</w:t>
      </w:r>
    </w:p>
    <w:p>
      <w:pPr>
        <w:pStyle w:val="Heading3"/>
        <w:keepNext/>
        <w:spacing w:before="160" w:after="80" w:line="360" w:lineRule="auto"/>
      </w:pPr>
      <w:r>
        <w:rPr>
          <w:b/>
          <w:bCs/>
          <w:color w:val="000000"/>
          <w:sz w:val="24"/>
          <w:szCs w:val="24"/>
          <w:rFonts w:ascii="SimSun" w:eastAsia="SimSun" w:hAnsi="SimSun" w:cs="SimSun"/>
        </w:rPr>
        <w:t xml:space="preserve">2.1.2 盘活行政事业单位闲置存量资产</w:t>
      </w:r>
    </w:p>
    <w:p>
      <w:pPr>
        <w:spacing w:before="0" w:after="0" w:line="312" w:lineRule="auto"/>
        <w:ind w:firstLine="480"/>
      </w:pPr>
      <w:r>
        <w:rPr>
          <w:color w:val="000000"/>
          <w:sz w:val="24"/>
          <w:szCs w:val="24"/>
          <w:rFonts w:ascii="SimSun" w:eastAsia="SimSun" w:hAnsi="SimSun" w:cs="SimSun"/>
        </w:rPr>
        <w:t xml:space="preserve">市税务局提供的51套存量住宅分布于银湖半山、宝泉庄、松园小区、碧波花园、愉天小区、梅兴苑等6个成熟居住小区，总建筑面积约5,621.15平方米。该批房源长期处于闲置或低效利用状态，既未能发挥居住保障功能，也增加了行政事业单位的日常维护管理负担。根据罗湖安居公司与市税务局签订的《保障性租赁住房项目合作框架协议》约定，双方通过收益分成方式开展合作，由罗湖安居公司承担改造投资和运营管理责任，将行政事业单位闲置的存量住房转化为规范运营的保障性租赁住房。这一模式既盘活了存量国有资产，避免了资源闲置浪费，又在不新增建设用地的前提下增加了保障性租赁住房供给，符合《国务院办公厅关于加快发展保障性租赁住房的意见》中关于“充分利用存量房屋和土地”的政策导向，实现了存量资产的社会效益与经济效益相统一。</w:t>
      </w:r>
    </w:p>
    <w:p>
      <w:pPr>
        <w:pStyle w:val="Heading3"/>
        <w:keepNext/>
        <w:spacing w:before="160" w:after="80" w:line="360" w:lineRule="auto"/>
      </w:pPr>
      <w:r>
        <w:rPr>
          <w:b/>
          <w:bCs/>
          <w:color w:val="000000"/>
          <w:sz w:val="24"/>
          <w:szCs w:val="24"/>
          <w:rFonts w:ascii="SimSun" w:eastAsia="SimSun" w:hAnsi="SimSun" w:cs="SimSun"/>
        </w:rPr>
        <w:t xml:space="preserve">2.1.3 履行国有资产保值增值与专营机构职责</w:t>
      </w:r>
    </w:p>
    <w:p>
      <w:pPr>
        <w:spacing w:before="0" w:after="0" w:line="312" w:lineRule="auto"/>
        <w:ind w:firstLine="480"/>
      </w:pPr>
      <w:r>
        <w:rPr>
          <w:color w:val="000000"/>
          <w:sz w:val="24"/>
          <w:szCs w:val="24"/>
          <w:rFonts w:ascii="SimSun" w:eastAsia="SimSun" w:hAnsi="SimSun" w:cs="SimSun"/>
        </w:rPr>
        <w:t xml:space="preserve">罗湖安居公司作为深圳市安居集团有限公司的控股子公司和罗湖区保障性住房专营机构，承担着区域内保障性租赁住房筹集建设、运营管理的重要职能。通过本项目实施，公司以“满租金整租经营”模式取得市税务局存量房源长期使用权，经装修改造后以市场化方式运营，在履行保障性住房供给职责的同时，获取合理的经营收益，实现国有资产的保值增值。从财务测算看，本项目全周期（2027—2039年）累计净利润约1,250.24万元，累计净现值约880.47万元，全投资内部收益率（IRR）为25.79%，项目在覆盖改造投入和运营成本的基础上能够形成可持续的良性回报，体现了国有资产专业化运营的效益要求。同时，本项目合作期限首期为12年，与保障性租赁住房的长期运营属性相匹配，有利于形成稳定、规范的租赁供给，避免行政事业单位自行出租存在的管理不规范、收益流失等问题。</w:t>
      </w:r>
    </w:p>
    <w:p>
      <w:pPr>
        <w:spacing w:before="0" w:after="0" w:line="312" w:lineRule="auto"/>
        <w:ind w:firstLine="480"/>
      </w:pPr>
      <w:r>
        <w:rPr>
          <w:color w:val="000000"/>
          <w:sz w:val="24"/>
          <w:szCs w:val="24"/>
          <w:rFonts w:ascii="SimSun" w:eastAsia="SimSun" w:hAnsi="SimSun" w:cs="SimSun"/>
        </w:rPr>
        <w:t xml:space="preserve">综上，本项目的实施既是落实国家及深圳市保障性租赁住房政策、增加核心城区小户型低租金房源供给的必要举措，也是盘活行政事业单位闲置存量住房、提升国有资产运营效益的有效路径，符合政策导向与国有资产管理要求，建设必要性充分。</w:t>
      </w:r>
    </w:p>
    <w:p>
      <w:pPr>
        <w:spacing w:before="0" w:after="0" w:line="312" w:lineRule="auto"/>
        <w:ind w:firstLine="480"/>
      </w:pPr>
      <w:r>
        <w:rPr>
          <w:b/>
          <w:bCs/>
          <w:color w:val="C62828"/>
          <w:sz w:val="24"/>
          <w:szCs w:val="24"/>
          <w:rFonts w:ascii="SimSun" w:eastAsia="SimSun" w:hAnsi="SimSun" w:cs="SimSun"/>
        </w:rPr>
        <w:t xml:space="preserve">【待补：项目运营数据、集团老旧改造指引】</w:t>
      </w:r>
    </w:p>
    <w:p>
      <w:pPr>
        <w:pStyle w:val="Heading2"/>
        <w:spacing w:before="280" w:after="160" w:line="312" w:lineRule="auto"/>
      </w:pPr>
      <w:bookmarkStart w:name="_tc1_1" w:id="1"/>
      <w:r>
        <w:rPr>
          <w:b/>
          <w:bCs/>
          <w:color w:val="000000"/>
          <w:sz w:val="28"/>
          <w:szCs w:val="28"/>
          <w:rFonts w:ascii="SimSun" w:eastAsia="SimSun" w:hAnsi="SimSun" w:cs="SimSun"/>
        </w:rPr>
        <w:t xml:space="preserve">2.2　项目改造与经济效益必要性</w:t>
      </w:r>
      <w:bookmarkEnd w:id="1"/>
    </w:p>
    <w:p>
      <w:pPr>
        <w:spacing w:before="0" w:after="0" w:line="312" w:lineRule="auto"/>
        <w:ind w:firstLine="480"/>
      </w:pPr>
      <w:r>
        <w:rPr>
          <w:color w:val="000000"/>
          <w:sz w:val="24"/>
          <w:szCs w:val="24"/>
          <w:rFonts w:ascii="SimSun" w:eastAsia="SimSun" w:hAnsi="SimSun" w:cs="SimSun"/>
        </w:rPr>
        <w:t xml:space="preserve">4. 存量房源功能老化与品质错配，亟需通过改造实现居住功能修复与保障性供给</w:t>
      </w:r>
    </w:p>
    <w:p>
      <w:pPr>
        <w:spacing w:before="0" w:after="0" w:line="312" w:lineRule="auto"/>
        <w:ind w:firstLine="480"/>
      </w:pPr>
      <w:r>
        <w:rPr>
          <w:color w:val="000000"/>
          <w:sz w:val="24"/>
          <w:szCs w:val="24"/>
          <w:rFonts w:ascii="SimSun" w:eastAsia="SimSun" w:hAnsi="SimSun" w:cs="SimSun"/>
        </w:rPr>
        <w:t xml:space="preserve">本项目涉及的51套存量住宅分布于罗湖、福田两区6个成熟居住小区，总建筑面积约5621.15平方米，均为市税务局持有的闲置居住房屋。经现场勘察，除银湖半山小区37套房源现状较好、室内为精装修外，其余14套房源（分布于宝泉庄、松园小区、碧波花园、愉天小区、梅兴苑）建成年代较早，室内装修及设施设备老化严重，部分房源因长期空置导致装修损坏，已难以满足当前市场对基本居住品质的要求</w:t>
      </w:r>
      <w:r>
        <w:rPr>
          <w:b/>
          <w:bCs/>
          <w:color w:val="C62828"/>
          <w:sz w:val="24"/>
          <w:szCs w:val="24"/>
          <w:rFonts w:ascii="SimSun" w:eastAsia="SimSun" w:hAnsi="SimSun" w:cs="SimSun"/>
        </w:rPr>
        <w:t xml:space="preserve">【待补：项目现状情况、物业设施评估报告】</w:t>
      </w:r>
      <w:r>
        <w:rPr>
          <w:color w:val="000000"/>
          <w:sz w:val="24"/>
          <w:szCs w:val="24"/>
          <w:rFonts w:ascii="SimSun" w:eastAsia="SimSun" w:hAnsi="SimSun" w:cs="SimSun"/>
        </w:rPr>
        <w:t xml:space="preserve">。若不经改造直接投放市场，不仅居住体验差、与周边存量住房品质形成明显落差，且与保障性租赁住房应具备的“拎包入住”标准存在较大差距，无法有效承接新市民、青年人等群体的租住需求。因此，通过系统性翻新改造，对房屋功能进行修复与升级，是激活存量房源保障属性、实现居住产品有效供给的必要前置条件。</w:t>
      </w:r>
    </w:p>
    <w:p>
      <w:pPr>
        <w:spacing w:before="0" w:after="0" w:line="312" w:lineRule="auto"/>
        <w:ind w:firstLine="480"/>
      </w:pPr>
      <w:r>
        <w:rPr>
          <w:color w:val="000000"/>
          <w:sz w:val="24"/>
          <w:szCs w:val="24"/>
          <w:rFonts w:ascii="SimSun" w:eastAsia="SimSun" w:hAnsi="SimSun" w:cs="SimSun"/>
        </w:rPr>
        <w:t xml:space="preserve">5. 改造是盘活行政事业单位闲置低效资产、实现国有资产保值增值的有效路径</w:t>
      </w:r>
    </w:p>
    <w:p>
      <w:pPr>
        <w:spacing w:before="0" w:after="0" w:line="312" w:lineRule="auto"/>
        <w:ind w:firstLine="480"/>
      </w:pPr>
      <w:r>
        <w:rPr>
          <w:color w:val="000000"/>
          <w:sz w:val="24"/>
          <w:szCs w:val="24"/>
          <w:rFonts w:ascii="SimSun" w:eastAsia="SimSun" w:hAnsi="SimSun" w:cs="SimSun"/>
        </w:rPr>
        <w:t xml:space="preserve">本项目房源长期处于闲置或低效利用状态，既未能发挥居住功能，也未产生任何经济收益，客观上形成了行政事业单位国有资产的低效沉淀。根据深圳市安居集团有限公司与国家税务总局深圳市税务局签订的《保障性租赁住房项目合作框架协议》约定，深圳市罗湖安居有限公司作为罗湖区保障性住房专营机构，通过收益分成方式与市税务局开展合作，负责改造投资及全周期运营管理。本项目的实施，将闲置住宅改造为市场化运营的保障性租赁住房，使“沉睡资产”转化为可持续产生租金收益的民生住房供给，既落实了党中央、国务院关于盘活存量资产和发展保障性租赁住房的决策部署，又通过政企合作机制为行政事业单位闲置房产探索出一条兼顾社会效益与经济效益的盘活路径，避免了国有资产持续闲置造成的价值损耗。</w:t>
      </w:r>
    </w:p>
    <w:p>
      <w:pPr>
        <w:spacing w:before="0" w:after="0" w:line="312" w:lineRule="auto"/>
        <w:ind w:firstLine="480"/>
      </w:pPr>
      <w:r>
        <w:rPr>
          <w:color w:val="000000"/>
          <w:sz w:val="24"/>
          <w:szCs w:val="24"/>
          <w:rFonts w:ascii="SimSun" w:eastAsia="SimSun" w:hAnsi="SimSun" w:cs="SimSun"/>
        </w:rPr>
        <w:t xml:space="preserve">6. 改造投入与运营收益具备经济可行性，是实现项目长期良性运转的效益基础</w:t>
      </w:r>
    </w:p>
    <w:p>
      <w:pPr>
        <w:spacing w:before="0" w:after="0" w:line="312" w:lineRule="auto"/>
        <w:ind w:firstLine="480"/>
      </w:pPr>
      <w:r>
        <w:rPr>
          <w:color w:val="000000"/>
          <w:sz w:val="24"/>
          <w:szCs w:val="24"/>
          <w:rFonts w:ascii="SimSun" w:eastAsia="SimSun" w:hAnsi="SimSun" w:cs="SimSun"/>
        </w:rPr>
        <w:t xml:space="preserve">本项目总投资规模为13892万元，改造内容依据房源现状差异分类实施：银湖半山小区以简单翻新及增配家具家电为主，其余小区实施室内全面翻新并配置家具家电，整体达到拎包入住标准后对外出租。项目预计2027年6月入市，按市场租金9折标准出租，平均租金约42.44元/平方米/月，平均每套约4678元/月，稳定期出租率85%。经系统测算，项目在稳定运营期内租金收入可覆盖改造投入及运营成本，并实现合理的投资回报</w:t>
      </w:r>
      <w:r>
        <w:rPr>
          <w:b/>
          <w:bCs/>
          <w:color w:val="C62828"/>
          <w:sz w:val="24"/>
          <w:szCs w:val="24"/>
          <w:rFonts w:ascii="SimSun" w:eastAsia="SimSun" w:hAnsi="SimSun" w:cs="SimSun"/>
        </w:rPr>
        <w:t xml:space="preserve">【待补：具体财务测算结果】</w:t>
      </w:r>
      <w:r>
        <w:rPr>
          <w:color w:val="000000"/>
          <w:sz w:val="24"/>
          <w:szCs w:val="24"/>
          <w:rFonts w:ascii="SimSun" w:eastAsia="SimSun" w:hAnsi="SimSun" w:cs="SimSun"/>
        </w:rPr>
        <w:t xml:space="preserve">。若不对存量房源实施改造，房屋将持续处于空置状态，不仅无法产生任何租金收益，还需承担必要的维护管理费用，从全生命周期角度看经济上明显不经济。因此，实施改造并投入保障性租赁住房运营，是该项目实现投入产出平衡、形成可持续现金流、保障政企合作长期稳定的必要经济前提。</w:t>
      </w:r>
    </w:p>
    <w:p>
      <w:pPr>
        <w:spacing w:before="0" w:after="0" w:line="312" w:lineRule="auto"/>
        <w:ind w:firstLine="480"/>
      </w:pPr>
      <w:r>
        <w:rPr>
          <w:color w:val="000000"/>
          <w:sz w:val="24"/>
          <w:szCs w:val="24"/>
          <w:rFonts w:ascii="SimSun" w:eastAsia="SimSun" w:hAnsi="SimSun" w:cs="SimSun"/>
        </w:rPr>
        <w:t xml:space="preserve">7. 从各房源点位条件看，改造后均具备支撑稳定出租的区位与需求基础</w:t>
      </w:r>
    </w:p>
    <w:p>
      <w:pPr>
        <w:spacing w:before="0" w:after="0" w:line="312" w:lineRule="auto"/>
        <w:ind w:firstLine="480"/>
      </w:pPr>
      <w:r>
        <w:rPr>
          <w:color w:val="000000"/>
          <w:sz w:val="24"/>
          <w:szCs w:val="24"/>
          <w:rFonts w:ascii="SimSun" w:eastAsia="SimSun" w:hAnsi="SimSun" w:cs="SimSun"/>
        </w:rPr>
        <w:t xml:space="preserve">从区位条件与职住匹配度看，各点位虽存在一定差异，但均具备支撑改造后稳定运营的基础条件。金湖路6号（银湖半山小区）作为房源规模最大的点位（37套、4249.9平方米，占总面积76%），周边住宅小区、企业及写字楼分布密集，轨道交通站点及公交站点均在合理步行范围内，交通可达性较好，且周边存在多个公寓类竞品，从侧面印证该片区存在一定的租住需求基础。其余点位中，松园小区（7套）、碧波花园（1套）、愉天小区（2套）均处于岗位密集区域，职住需求匹配度较高；红桂路1008号（宝泉庄，3套）紧邻教育设施及地铁站点，居住氛围成熟；梅兴苑（1套，福田区）紧邻梅村地铁站（约0.1公里），职住条件均衡。综合判断，各点位改造后均具备一定的市场需求支撑，项目整体出租率目标（稳定期85%）具有可实现性。</w:t>
      </w:r>
    </w:p>
    <w:p>
      <w:pPr>
        <w:pStyle w:val="Heading2"/>
        <w:spacing w:before="280" w:after="160" w:line="312" w:lineRule="auto"/>
      </w:pPr>
      <w:bookmarkStart w:name="_tc1_2" w:id="1"/>
      <w:r>
        <w:rPr>
          <w:b/>
          <w:bCs/>
          <w:color w:val="000000"/>
          <w:sz w:val="28"/>
          <w:szCs w:val="28"/>
          <w:rFonts w:ascii="SimSun" w:eastAsia="SimSun" w:hAnsi="SimSun" w:cs="SimSun"/>
        </w:rPr>
        <w:t xml:space="preserve">2.3　社会效益与国企责任</w:t>
      </w:r>
      <w:bookmarkEnd w:id="1"/>
    </w:p>
    <w:p>
      <w:pPr>
        <w:spacing w:before="0" w:after="0" w:line="312" w:lineRule="auto"/>
        <w:ind w:firstLine="480"/>
      </w:pPr>
      <w:r>
        <w:rPr>
          <w:color w:val="000000"/>
          <w:sz w:val="24"/>
          <w:szCs w:val="24"/>
          <w:rFonts w:ascii="SimSun" w:eastAsia="SimSun" w:hAnsi="SimSun" w:cs="SimSun"/>
        </w:rPr>
        <w:t xml:space="preserve">本项目是深圳市罗湖安居有限公司与国家税务总局深圳市税务局以政企合作方式盘活存量住宅、增加保障性租赁住房供给的实践，其社会效益集中体现为存量资源转化、新市民住房保障和国企功能履行三个层面。</w:t>
      </w:r>
    </w:p>
    <w:p>
      <w:pPr>
        <w:pStyle w:val="Heading3"/>
        <w:keepNext/>
        <w:spacing w:before="160" w:after="80" w:line="360" w:lineRule="auto"/>
      </w:pPr>
      <w:r>
        <w:rPr>
          <w:b/>
          <w:bCs/>
          <w:color w:val="000000"/>
          <w:sz w:val="24"/>
          <w:szCs w:val="24"/>
          <w:rFonts w:ascii="SimSun" w:eastAsia="SimSun" w:hAnsi="SimSun" w:cs="SimSun"/>
        </w:rPr>
        <w:t xml:space="preserve">2.3.1 盘活存量低效住房，增加核心区保障性租赁住房供给</w:t>
      </w:r>
    </w:p>
    <w:p>
      <w:pPr>
        <w:spacing w:before="0" w:after="0" w:line="312" w:lineRule="auto"/>
        <w:ind w:firstLine="480"/>
      </w:pPr>
      <w:r>
        <w:rPr>
          <w:color w:val="000000"/>
          <w:sz w:val="24"/>
          <w:szCs w:val="24"/>
          <w:rFonts w:ascii="SimSun" w:eastAsia="SimSun" w:hAnsi="SimSun" w:cs="SimSun"/>
        </w:rPr>
        <w:t xml:space="preserve">项目涉及的51套存量住宅分布于罗湖、福田两区6个小区，总建筑面积约5,621.15㎡，其中罗湖区银湖半山小区房源37套、建筑面积约4,249.9㎡，占全部房源的76%，是本次改造的主体。该类房源长期处于行政事业单位闲置或低效利用状态，未能形成有效的市场供应。通过本项目实施，在不新增建设用地的前提下，将存量住宅统一翻新后纳入保障性租赁住房体系，按市场租金一定折扣对外出租，直接增加罗湖、福田核心城区的租赁住房供给。项目改造后500套保障性租赁住房投入运营，有助于缓解片区新市民、青年人的阶段性住房困难，落实国家关于盘活存量资产扩大保障性租赁住房供给的政策导向。</w:t>
      </w:r>
    </w:p>
    <w:p>
      <w:pPr>
        <w:pStyle w:val="Heading3"/>
        <w:keepNext/>
        <w:spacing w:before="160" w:after="80" w:line="360" w:lineRule="auto"/>
      </w:pPr>
      <w:r>
        <w:rPr>
          <w:b/>
          <w:bCs/>
          <w:color w:val="000000"/>
          <w:sz w:val="24"/>
          <w:szCs w:val="24"/>
          <w:rFonts w:ascii="SimSun" w:eastAsia="SimSun" w:hAnsi="SimSun" w:cs="SimSun"/>
        </w:rPr>
        <w:t xml:space="preserve">2.3.2 服务新市民与青年人安居需求，促进住房租赁市场健康发展</w:t>
      </w:r>
    </w:p>
    <w:p>
      <w:pPr>
        <w:spacing w:before="0" w:after="0" w:line="312" w:lineRule="auto"/>
        <w:ind w:firstLine="480"/>
      </w:pPr>
      <w:r>
        <w:rPr>
          <w:color w:val="000000"/>
          <w:sz w:val="24"/>
          <w:szCs w:val="24"/>
          <w:rFonts w:ascii="SimSun" w:eastAsia="SimSun" w:hAnsi="SimSun" w:cs="SimSun"/>
        </w:rPr>
        <w:t xml:space="preserve">从区位条件看，项目房源均位于罗湖、福田核心城区城市建成区，公共交通体系较为完善。银湖半山小区周边轨道交通泥岗站约1km、罗湖北站约1.4km，公交站点罗湖区图书馆、深圳边检总站医院等均在0.5km范围内，通勤便利性较好，适合作为新市民、青年人过渡性居住选择。其余各点位在区位特征上各有侧重：宝泉庄与松园小区紧邻教育配套（红桂中学西校区约0.1km、红桂小学约0.2km），且轨道交通站点均在1km以内，适合家庭型租住需求；碧波花园、愉天小区就业密集度较高，其中愉天小区距田贝地铁站约0.3km，通勤导向特征突出；梅兴苑紧邻梅村地铁站约0.1km，跨区通勤便利。各点位虽在主导客群上存在差异，但均处于公共交通便利、生活配套成熟的城市建成区，改造后按低于同地段市场化公寓的租金水平出租，能够有效降低新市民、青年人的居住成本，体现保障性租赁住房“低租金、可负担”的基本属性。同时，项目纳入保障性租赁住房规范化管理体系后，实行统一运营、统一管理，有利于引导住房租赁市场有序发展，避免散租、群租等无序状态。</w:t>
      </w:r>
    </w:p>
    <w:p>
      <w:pPr>
        <w:pStyle w:val="Heading3"/>
        <w:keepNext/>
        <w:spacing w:before="160" w:after="80" w:line="360" w:lineRule="auto"/>
      </w:pPr>
      <w:r>
        <w:rPr>
          <w:b/>
          <w:bCs/>
          <w:color w:val="000000"/>
          <w:sz w:val="24"/>
          <w:szCs w:val="24"/>
          <w:rFonts w:ascii="SimSun" w:eastAsia="SimSun" w:hAnsi="SimSun" w:cs="SimSun"/>
        </w:rPr>
        <w:t xml:space="preserve">2.3.3 履行国企社会责任，探索政企合作盘活存量资产的新路径</w:t>
      </w:r>
    </w:p>
    <w:p>
      <w:pPr>
        <w:spacing w:before="0" w:after="0" w:line="312" w:lineRule="auto"/>
        <w:ind w:firstLine="480"/>
      </w:pPr>
      <w:r>
        <w:rPr>
          <w:color w:val="000000"/>
          <w:sz w:val="24"/>
          <w:szCs w:val="24"/>
          <w:rFonts w:ascii="SimSun" w:eastAsia="SimSun" w:hAnsi="SimSun" w:cs="SimSun"/>
        </w:rPr>
        <w:t xml:space="preserve">深圳市罗湖安居有限公司作为罗湖区保障性住房专营机构，承担本项目的改造投资、工程实施和全周期运营管理，是区政府落实住房保障任务的重要抓手。本项目通过政企合作模式，将行政事业单位闲置住房转化为保障性租赁住房，实现了国有资产保值增值与民生保障的双重目标：一方面，国家税务总局深圳市税务局闲置房产得到有效盘活，获得稳定的合作收益；另一方面，深圳市罗湖安居有限公司发挥其在保障性住房领域的专业能力，扩大保障性租赁住房筹集渠道，履行国有企业服务民生、稳定市场的功能定位（来源：《市税务局第一批合作房源改造为保障性租赁住房项目合作协议（草案）》）。从财务可持续性看，项目全周期（2027—2039年）累计净现值880.47万元，全投资内部收益率IRR为25.79%，累计净现金流于2033年（第7年）回正，表明项目在保障民生属性的同时具备商业可持续性，为国企参与存量住房改造、建立长效运营机制提供了可复制的经验。项目的社会效益还体现在：通过统一装修改造提升既有住宅的居住品质和安全性能，改善小区整体环境；通过规范化的租赁管理减少人员流动带来的社会治理难题，促进社区和谐稳定。住户满意度、租住人群结构等社会效益量化指标，有待项目投入运营后通过住户调研进一步评估</w:t>
      </w:r>
      <w:r>
        <w:rPr>
          <w:b/>
          <w:bCs/>
          <w:color w:val="C62828"/>
          <w:sz w:val="24"/>
          <w:szCs w:val="24"/>
          <w:rFonts w:ascii="SimSun" w:eastAsia="SimSun" w:hAnsi="SimSun" w:cs="SimSun"/>
        </w:rPr>
        <w:t xml:space="preserve">【待补：住户调研报告、消费者调研数据】</w:t>
      </w:r>
      <w:r>
        <w:rPr>
          <w:color w:val="000000"/>
          <w:sz w:val="24"/>
          <w:szCs w:val="24"/>
          <w:rFonts w:ascii="SimSun" w:eastAsia="SimSun" w:hAnsi="SimSun" w:cs="SimSun"/>
        </w:rPr>
        <w:t xml:space="preserve">。</w:t>
      </w:r>
    </w:p>
    <w:p>
      <w:pPr>
        <w:pStyle w:val="Heading1"/>
        <w:pageBreakBefore/>
        <w:spacing w:after="360" w:line="312" w:lineRule="auto"/>
        <w:jc w:val="center"/>
      </w:pPr>
      <w:bookmarkStart w:name="_tc2" w:id="1"/>
      <w:r>
        <w:rPr>
          <w:b/>
          <w:bCs/>
          <w:color w:val="000000"/>
          <w:sz w:val="44"/>
          <w:szCs w:val="44"/>
          <w:rFonts w:ascii="SimSun" w:eastAsia="SimSun" w:hAnsi="SimSun" w:cs="SimSun"/>
        </w:rPr>
        <w:t xml:space="preserve">第三章　项目市场分析</w:t>
      </w:r>
      <w:bookmarkEnd w:id="1"/>
    </w:p>
    <w:p>
      <w:pPr>
        <w:pStyle w:val="Heading2"/>
        <w:spacing w:before="280" w:after="160" w:line="312" w:lineRule="auto"/>
      </w:pPr>
      <w:bookmarkStart w:name="_tc2_0" w:id="1"/>
      <w:r>
        <w:rPr>
          <w:b/>
          <w:bCs/>
          <w:color w:val="000000"/>
          <w:sz w:val="28"/>
          <w:szCs w:val="28"/>
          <w:rFonts w:ascii="SimSun" w:eastAsia="SimSun" w:hAnsi="SimSun" w:cs="SimSun"/>
        </w:rPr>
        <w:t xml:space="preserve">3.1　宏观经济环境</w:t>
      </w:r>
      <w:bookmarkEnd w:id="1"/>
    </w:p>
    <w:p>
      <w:pPr>
        <w:spacing w:before="0" w:after="0" w:line="312" w:lineRule="auto"/>
        <w:ind w:firstLine="480"/>
      </w:pPr>
      <w:r>
        <w:rPr>
          <w:color w:val="000000"/>
          <w:sz w:val="24"/>
          <w:szCs w:val="24"/>
          <w:rFonts w:ascii="SimSun" w:eastAsia="SimSun" w:hAnsi="SimSun" w:cs="SimSun"/>
        </w:rPr>
        <w:t xml:space="preserve">宏观经济环境分析是判断本项目作为保障性租赁住房供给必要性与可行性的基础前提。本节从深圳市及罗湖、福田两区的宏观经济基本面、人口结构与财政收支状况出发，论证项目所在区域对保障性租赁住房的支撑能力与需求动力。分析所引数据均来源于政府统计公报及公开统计资料，统计期以各指标最新发布年度为准，因不同指标发布时点存在差异，具体统计期在表中逐项列明。</w:t>
      </w:r>
    </w:p>
    <w:p>
      <w:pPr>
        <w:pStyle w:val="Heading3"/>
        <w:keepNext/>
        <w:spacing w:before="160" w:after="80" w:line="360" w:lineRule="auto"/>
      </w:pPr>
      <w:r>
        <w:rPr>
          <w:b/>
          <w:bCs/>
          <w:color w:val="000000"/>
          <w:sz w:val="24"/>
          <w:szCs w:val="24"/>
          <w:rFonts w:ascii="SimSun" w:eastAsia="SimSun" w:hAnsi="SimSun" w:cs="SimSun"/>
        </w:rPr>
        <w:t xml:space="preserve">3.1.1 深圳市宏观经济与人口概况</w:t>
      </w:r>
    </w:p>
    <w:p>
      <w:pPr>
        <w:spacing w:before="0" w:after="0" w:line="312" w:lineRule="auto"/>
        <w:ind w:firstLine="480"/>
      </w:pPr>
      <w:r>
        <w:rPr>
          <w:color w:val="000000"/>
          <w:sz w:val="24"/>
          <w:szCs w:val="24"/>
          <w:rFonts w:ascii="SimSun" w:eastAsia="SimSun" w:hAnsi="SimSun" w:cs="SimSun"/>
        </w:rPr>
        <w:t xml:space="preserve">深圳市经济总量长期位居全国大中城市前列，产业结构以高新技术、金融服务、现代物流和文化创意为主导，人均GDP和居民可支配收入水平处于全国领先地位。雄厚的财政实力为保障性住房建设提供了持续的资金支撑，近年来深圳市多渠道筹集建设保障性租赁住房，着力解决新市民、青年人等群体的住房困难问题。从人口维度看，深圳市为典型的移民城市，常住人口持续保持净流入态势，人口结构年轻化特征显著，新市民和青年人占比较高，住房租赁需求规模庞大且具有长期稳定性。尽管近年来深圳市持续加大住房供应力度，但核心城区因土地资源紧约束，住房供需矛盾依然突出，保障性租赁住房作为缓解住房压力的重要途径，其市场空间与政策支持力度均处于上升通道。</w:t>
      </w:r>
    </w:p>
    <w:p>
      <w:pPr>
        <w:pStyle w:val="Heading3"/>
        <w:keepNext/>
        <w:spacing w:before="160" w:after="80" w:line="360" w:lineRule="auto"/>
      </w:pPr>
      <w:r>
        <w:rPr>
          <w:b/>
          <w:bCs/>
          <w:color w:val="000000"/>
          <w:sz w:val="24"/>
          <w:szCs w:val="24"/>
          <w:rFonts w:ascii="SimSun" w:eastAsia="SimSun" w:hAnsi="SimSun" w:cs="SimSun"/>
        </w:rPr>
        <w:t xml:space="preserve">3.1.2 项目所在辖区经济与人口特征</w:t>
      </w:r>
    </w:p>
    <w:p>
      <w:pPr>
        <w:spacing w:before="0" w:after="0" w:line="312" w:lineRule="auto"/>
        <w:ind w:firstLine="480"/>
      </w:pPr>
      <w:r>
        <w:rPr>
          <w:color w:val="000000"/>
          <w:sz w:val="24"/>
          <w:szCs w:val="24"/>
          <w:rFonts w:ascii="SimSun" w:eastAsia="SimSun" w:hAnsi="SimSun" w:cs="SimSun"/>
        </w:rPr>
        <w:t xml:space="preserve">本项目51套房源分布于罗湖区（50套）与福田区（1套），两区均为深圳市原特区内核心城区，城市功能完善、公共服务密集、就业岗位集中，是保障性租赁住房需求最为旺盛的区域。</w:t>
      </w:r>
    </w:p>
    <w:p>
      <w:pPr>
        <w:spacing w:before="0" w:after="0" w:line="312" w:lineRule="auto"/>
        <w:ind w:firstLine="480"/>
      </w:pPr>
      <w:r>
        <w:rPr>
          <w:color w:val="000000"/>
          <w:sz w:val="24"/>
          <w:szCs w:val="24"/>
          <w:rFonts w:ascii="SimSun" w:eastAsia="SimSun" w:hAnsi="SimSun" w:cs="SimSun"/>
        </w:rPr>
        <w:t xml:space="preserve">罗湖区作为深圳市最早的建成区和传统金融商贸中心，正依托城市更新与产业升级推动空间功能重构，辖区内金融、商贸、商务服务等现代服务业集聚，提供了大量稳定就业岗位。由于开发建设年代较早，罗湖区存量住宅中老旧小区占比偏高，高品质小户型租赁住房供给相对不足，存在明显的结构性供需错配。本项目房源位于银湖半山、宝泉庄、松园小区、碧波花园、愉天小区等成熟居住小区，周边教育、医疗、商业及轨道交通配套完善，能够有效承接周边就业人群的居住需求。</w:t>
      </w:r>
    </w:p>
    <w:p>
      <w:pPr>
        <w:spacing w:before="0" w:after="0" w:line="312" w:lineRule="auto"/>
        <w:ind w:firstLine="480"/>
      </w:pPr>
      <w:r>
        <w:rPr>
          <w:color w:val="000000"/>
          <w:sz w:val="24"/>
          <w:szCs w:val="24"/>
          <w:rFonts w:ascii="SimSun" w:eastAsia="SimSun" w:hAnsi="SimSun" w:cs="SimSun"/>
        </w:rPr>
        <w:t xml:space="preserve">福田区为深圳市行政、文化、金融与商务中心，总部经济和现代服务业高度集聚，就业密度与收入水平居全市前列，住房租赁需求以中高收入白领及专业技术人员为主体，对居住品质和通勤便利性要求较高。本项目位于福田上梅林片区的1套房源，临近地铁梅村站，交通条件优越，可依托福田中心区及梅林片区产业与就业辐射，形成有效的需求支撑。</w:t>
      </w:r>
    </w:p>
    <w:p>
      <w:pPr>
        <w:pStyle w:val="Heading3"/>
        <w:keepNext/>
        <w:spacing w:before="160" w:after="80" w:line="360" w:lineRule="auto"/>
      </w:pPr>
      <w:r>
        <w:rPr>
          <w:b/>
          <w:bCs/>
          <w:color w:val="000000"/>
          <w:sz w:val="24"/>
          <w:szCs w:val="24"/>
          <w:rFonts w:ascii="SimSun" w:eastAsia="SimSun" w:hAnsi="SimSun" w:cs="SimSun"/>
        </w:rPr>
        <w:t xml:space="preserve">3.1.3 宏观经济与人口指标汇总</w:t>
      </w:r>
    </w:p>
    <w:p>
      <w:pPr>
        <w:spacing w:before="0" w:after="0" w:line="312" w:lineRule="auto"/>
        <w:ind w:firstLine="480"/>
      </w:pPr>
      <w:r>
        <w:rPr>
          <w:color w:val="000000"/>
          <w:sz w:val="24"/>
          <w:szCs w:val="24"/>
          <w:rFonts w:ascii="SimSun" w:eastAsia="SimSun" w:hAnsi="SimSun" w:cs="SimSun"/>
        </w:rPr>
        <w:t xml:space="preserve">为统一口径、便于比较，现将深圳市及项目所在辖区的关键宏观经济与人口指标汇总如下。需要说明的是，各指标来源于政府统计部门公开发布的数据，统计期以最新可得年度为准；因统计发布节奏差异，不同指标间存在年度错位，引用时须以表中标注的统计期为准，不宜跨期直接比较增量。</w:t>
      </w:r>
    </w:p>
    <w:p>
      <w:pPr>
        <w:spacing w:before="0" w:after="0" w:line="312" w:lineRule="auto"/>
        <w:ind w:firstLine="480"/>
      </w:pPr>
      <w:r>
        <w:rPr>
          <w:color w:val="000000"/>
          <w:sz w:val="24"/>
          <w:szCs w:val="24"/>
          <w:rFonts w:ascii="SimSun" w:eastAsia="SimSun" w:hAnsi="SimSun" w:cs="SimSun"/>
        </w:rPr>
        <w:t xml:space="preserve">注：表中数据待补充政府统计公报正式发布值后填入；引用时须注明统计期与地域范围，常住人口增量不能直接等同于净迁入人口，二者口径差异需在后续分析中予以区分。</w:t>
      </w:r>
    </w:p>
    <w:p>
      <w:pPr>
        <w:pStyle w:val="Heading3"/>
        <w:keepNext/>
        <w:spacing w:before="160" w:after="80" w:line="360" w:lineRule="auto"/>
      </w:pPr>
      <w:r>
        <w:rPr>
          <w:b/>
          <w:bCs/>
          <w:color w:val="000000"/>
          <w:sz w:val="24"/>
          <w:szCs w:val="24"/>
          <w:rFonts w:ascii="SimSun" w:eastAsia="SimSun" w:hAnsi="SimSun" w:cs="SimSun"/>
        </w:rPr>
        <w:t xml:space="preserve">3.1.4 宏观环境对本项目的支撑判断</w:t>
      </w:r>
    </w:p>
    <w:p>
      <w:pPr>
        <w:spacing w:before="0" w:after="0" w:line="312" w:lineRule="auto"/>
        <w:ind w:firstLine="480"/>
      </w:pPr>
      <w:r>
        <w:rPr>
          <w:color w:val="000000"/>
          <w:sz w:val="24"/>
          <w:szCs w:val="24"/>
          <w:rFonts w:ascii="SimSun" w:eastAsia="SimSun" w:hAnsi="SimSun" w:cs="SimSun"/>
        </w:rPr>
        <w:t xml:space="preserve">综合上述分析，深圳市及项目所在辖区的宏观经济基础与人口结构对本项目建设形成如下支撑：</w:t>
      </w:r>
    </w:p>
    <w:p>
      <w:pPr>
        <w:spacing w:before="0" w:after="0" w:line="312" w:lineRule="auto"/>
        <w:ind w:firstLine="480"/>
      </w:pPr>
      <w:r>
        <w:rPr>
          <w:color w:val="000000"/>
          <w:sz w:val="24"/>
          <w:szCs w:val="24"/>
          <w:rFonts w:ascii="SimSun" w:eastAsia="SimSun" w:hAnsi="SimSun" w:cs="SimSun"/>
        </w:rPr>
        <w:t xml:space="preserve">其一，经济总量与财政实力为保障性租赁住房的持续投入和运营补贴提供了坚实保障。深圳市及罗湖、福田两区一般公共预算收入规模可观，具备对保障性租赁住房项目在税费减免、金融支持等方面的政策实施能力。</w:t>
      </w:r>
    </w:p>
    <w:p>
      <w:pPr>
        <w:spacing w:before="0" w:after="0" w:line="312" w:lineRule="auto"/>
        <w:ind w:firstLine="480"/>
      </w:pPr>
      <w:r>
        <w:rPr>
          <w:color w:val="000000"/>
          <w:sz w:val="24"/>
          <w:szCs w:val="24"/>
          <w:rFonts w:ascii="SimSun" w:eastAsia="SimSun" w:hAnsi="SimSun" w:cs="SimSun"/>
        </w:rPr>
        <w:t xml:space="preserve">其二，人口持续净流入与年轻化结构决定了住房租赁需求的长期刚性。本项目定位为市场主体组织配租的保障性租赁住房，面向新市民、青年人及各类人才群体，与深圳市人口流入结构和辖区就业特征高度契合。</w:t>
      </w:r>
    </w:p>
    <w:p>
      <w:pPr>
        <w:spacing w:before="0" w:after="0" w:line="312" w:lineRule="auto"/>
        <w:ind w:firstLine="480"/>
      </w:pPr>
      <w:r>
        <w:rPr>
          <w:color w:val="000000"/>
          <w:sz w:val="24"/>
          <w:szCs w:val="24"/>
          <w:rFonts w:ascii="SimSun" w:eastAsia="SimSun" w:hAnsi="SimSun" w:cs="SimSun"/>
        </w:rPr>
        <w:t xml:space="preserve">其三，罗湖、福田两区作为高密度建成区，新增住宅用地极为有限，盘活存量房屋改造为保障性租赁住房，是契合辖区土地资源约束的现实路径。本项目所涉房源均位于成熟居住小区，依托既有城市配套即可实现快速供应，对缓解辖区阶段性住房供需矛盾具有直接作用。</w:t>
      </w:r>
    </w:p>
    <w:p>
      <w:pPr>
        <w:spacing w:before="0" w:after="0" w:line="312" w:lineRule="auto"/>
        <w:ind w:firstLine="480"/>
      </w:pPr>
      <w:r>
        <w:rPr>
          <w:color w:val="000000"/>
          <w:sz w:val="24"/>
          <w:szCs w:val="24"/>
          <w:rFonts w:ascii="SimSun" w:eastAsia="SimSun" w:hAnsi="SimSun" w:cs="SimSun"/>
        </w:rPr>
        <w:t xml:space="preserve">需要指出的是，宏观经济与人口数据反映的是区域中长期需求基础，本项目财务可行性仍主要取决于点位周边的微观市场供需关系、租金水平及去化能力，相关内容将在后续区位分析与市场供需章节中结合实地调研数据进一步论证。本节宏观分析所依据的政府统计公报数据尚待补充，相关结论在数据填入后可进一步量化验证。</w:t>
      </w:r>
    </w:p>
    <w:p>
      <w:pPr>
        <w:keepNext/>
        <w:spacing w:before="180" w:after="100"/>
        <w:jc w:val="center"/>
      </w:pPr>
      <w:r>
        <w:rPr>
          <w:b/>
          <w:bCs/>
          <w:color w:val="000000"/>
          <w:sz w:val="22"/>
          <w:szCs w:val="22"/>
          <w:rFonts w:ascii="SimSun" w:eastAsia="SimSun" w:hAnsi="SimSun" w:cs="SimSun"/>
        </w:rPr>
        <w:t xml:space="preserve">市区宏观经济与人口指标表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2909"/>
        <w:gridCol w:w="2795"/>
        <w:gridCol w:w="2802"/>
      </w:tblGrid>
      <w:tr>
        <w:trPr>
          <w:cantSplit/>
          <w:tblHeader/>
        </w:trPr>
        <w:tc>
          <w:tcPr>
            <w:tcW w:type="dxa" w:w="2909"/>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指标</w:t>
            </w:r>
          </w:p>
        </w:tc>
        <w:tc>
          <w:tcPr>
            <w:tcW w:type="dxa" w:w="279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项目所在市（统计年）</w:t>
            </w:r>
          </w:p>
        </w:tc>
        <w:tc>
          <w:tcPr>
            <w:tcW w:type="dxa" w:w="280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项目所在区（统计年）</w:t>
            </w:r>
          </w:p>
        </w:tc>
      </w:tr>
      <w:tr>
        <w:trPr>
          <w:cantSplit/>
          <w:tblHeader w:val="false"/>
        </w:trPr>
        <w:tc>
          <w:tcPr>
            <w:tcW w:type="dxa" w:w="290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地区生产总值（亿元）</w:t>
            </w:r>
          </w:p>
        </w:tc>
        <w:tc>
          <w:tcPr>
            <w:tcW w:type="dxa" w:w="2795"/>
            <w:tcMar>
              <w:top w:type="dxa" w:w="42"/>
              <w:left w:type="dxa" w:w="55"/>
              <w:bottom w:type="dxa" w:w="42"/>
              <w:right w:type="dxa" w:w="55"/>
            </w:tcMar>
            <w:vAlign w:val="center"/>
          </w:tcPr>
          <w:p>
            <w:pPr>
              <w:spacing w:line="250" w:lineRule="auto"/>
              <w:jc w:val="center"/>
            </w:pPr>
          </w:p>
        </w:tc>
        <w:tc>
          <w:tcPr>
            <w:tcW w:type="dxa" w:w="2802"/>
            <w:tcMar>
              <w:top w:type="dxa" w:w="42"/>
              <w:left w:type="dxa" w:w="55"/>
              <w:bottom w:type="dxa" w:w="42"/>
              <w:right w:type="dxa" w:w="55"/>
            </w:tcMar>
            <w:vAlign w:val="center"/>
          </w:tcPr>
          <w:p>
            <w:pPr>
              <w:spacing w:line="250" w:lineRule="auto"/>
              <w:jc w:val="center"/>
            </w:pPr>
          </w:p>
        </w:tc>
      </w:tr>
      <w:tr>
        <w:trPr>
          <w:cantSplit/>
          <w:tblHeader w:val="false"/>
        </w:trPr>
        <w:tc>
          <w:tcPr>
            <w:tcW w:type="dxa" w:w="290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GDP同比增速（%）</w:t>
            </w:r>
          </w:p>
        </w:tc>
        <w:tc>
          <w:tcPr>
            <w:tcW w:type="dxa" w:w="2795"/>
            <w:tcMar>
              <w:top w:type="dxa" w:w="42"/>
              <w:left w:type="dxa" w:w="55"/>
              <w:bottom w:type="dxa" w:w="42"/>
              <w:right w:type="dxa" w:w="55"/>
            </w:tcMar>
            <w:vAlign w:val="center"/>
          </w:tcPr>
          <w:p>
            <w:pPr>
              <w:spacing w:line="250" w:lineRule="auto"/>
              <w:jc w:val="center"/>
            </w:pPr>
          </w:p>
        </w:tc>
        <w:tc>
          <w:tcPr>
            <w:tcW w:type="dxa" w:w="2802"/>
            <w:tcMar>
              <w:top w:type="dxa" w:w="42"/>
              <w:left w:type="dxa" w:w="55"/>
              <w:bottom w:type="dxa" w:w="42"/>
              <w:right w:type="dxa" w:w="55"/>
            </w:tcMar>
            <w:vAlign w:val="center"/>
          </w:tcPr>
          <w:p>
            <w:pPr>
              <w:spacing w:line="250" w:lineRule="auto"/>
              <w:jc w:val="center"/>
            </w:pPr>
          </w:p>
        </w:tc>
      </w:tr>
      <w:tr>
        <w:trPr>
          <w:cantSplit/>
          <w:tblHeader w:val="false"/>
        </w:trPr>
        <w:tc>
          <w:tcPr>
            <w:tcW w:type="dxa" w:w="290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三次产业结构</w:t>
            </w:r>
          </w:p>
        </w:tc>
        <w:tc>
          <w:tcPr>
            <w:tcW w:type="dxa" w:w="2795"/>
            <w:tcMar>
              <w:top w:type="dxa" w:w="42"/>
              <w:left w:type="dxa" w:w="55"/>
              <w:bottom w:type="dxa" w:w="42"/>
              <w:right w:type="dxa" w:w="55"/>
            </w:tcMar>
            <w:vAlign w:val="center"/>
          </w:tcPr>
          <w:p>
            <w:pPr>
              <w:spacing w:line="250" w:lineRule="auto"/>
              <w:jc w:val="center"/>
            </w:pPr>
          </w:p>
        </w:tc>
        <w:tc>
          <w:tcPr>
            <w:tcW w:type="dxa" w:w="2802"/>
            <w:tcMar>
              <w:top w:type="dxa" w:w="42"/>
              <w:left w:type="dxa" w:w="55"/>
              <w:bottom w:type="dxa" w:w="42"/>
              <w:right w:type="dxa" w:w="55"/>
            </w:tcMar>
            <w:vAlign w:val="center"/>
          </w:tcPr>
          <w:p>
            <w:pPr>
              <w:spacing w:line="250" w:lineRule="auto"/>
              <w:jc w:val="center"/>
            </w:pPr>
          </w:p>
        </w:tc>
      </w:tr>
      <w:tr>
        <w:trPr>
          <w:cantSplit/>
          <w:tblHeader w:val="false"/>
        </w:trPr>
        <w:tc>
          <w:tcPr>
            <w:tcW w:type="dxa" w:w="290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常住人口（万人）</w:t>
            </w:r>
          </w:p>
        </w:tc>
        <w:tc>
          <w:tcPr>
            <w:tcW w:type="dxa" w:w="2795"/>
            <w:tcMar>
              <w:top w:type="dxa" w:w="42"/>
              <w:left w:type="dxa" w:w="55"/>
              <w:bottom w:type="dxa" w:w="42"/>
              <w:right w:type="dxa" w:w="55"/>
            </w:tcMar>
            <w:vAlign w:val="center"/>
          </w:tcPr>
          <w:p>
            <w:pPr>
              <w:spacing w:line="250" w:lineRule="auto"/>
              <w:jc w:val="center"/>
            </w:pPr>
          </w:p>
        </w:tc>
        <w:tc>
          <w:tcPr>
            <w:tcW w:type="dxa" w:w="2802"/>
            <w:tcMar>
              <w:top w:type="dxa" w:w="42"/>
              <w:left w:type="dxa" w:w="55"/>
              <w:bottom w:type="dxa" w:w="42"/>
              <w:right w:type="dxa" w:w="55"/>
            </w:tcMar>
            <w:vAlign w:val="center"/>
          </w:tcPr>
          <w:p>
            <w:pPr>
              <w:spacing w:line="250" w:lineRule="auto"/>
              <w:jc w:val="center"/>
            </w:pPr>
          </w:p>
        </w:tc>
      </w:tr>
      <w:tr>
        <w:trPr>
          <w:cantSplit/>
          <w:tblHeader w:val="false"/>
        </w:trPr>
        <w:tc>
          <w:tcPr>
            <w:tcW w:type="dxa" w:w="290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人口净流入（万人）</w:t>
            </w:r>
          </w:p>
        </w:tc>
        <w:tc>
          <w:tcPr>
            <w:tcW w:type="dxa" w:w="2795"/>
            <w:tcMar>
              <w:top w:type="dxa" w:w="42"/>
              <w:left w:type="dxa" w:w="55"/>
              <w:bottom w:type="dxa" w:w="42"/>
              <w:right w:type="dxa" w:w="55"/>
            </w:tcMar>
            <w:vAlign w:val="center"/>
          </w:tcPr>
          <w:p>
            <w:pPr>
              <w:spacing w:line="250" w:lineRule="auto"/>
              <w:jc w:val="center"/>
            </w:pPr>
          </w:p>
        </w:tc>
        <w:tc>
          <w:tcPr>
            <w:tcW w:type="dxa" w:w="2802"/>
            <w:tcMar>
              <w:top w:type="dxa" w:w="42"/>
              <w:left w:type="dxa" w:w="55"/>
              <w:bottom w:type="dxa" w:w="42"/>
              <w:right w:type="dxa" w:w="55"/>
            </w:tcMar>
            <w:vAlign w:val="center"/>
          </w:tcPr>
          <w:p>
            <w:pPr>
              <w:spacing w:line="250" w:lineRule="auto"/>
              <w:jc w:val="center"/>
            </w:pPr>
          </w:p>
        </w:tc>
      </w:tr>
      <w:tr>
        <w:trPr>
          <w:cantSplit/>
          <w:tblHeader w:val="false"/>
        </w:trPr>
        <w:tc>
          <w:tcPr>
            <w:tcW w:type="dxa" w:w="2909"/>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人均可支配收入（元/年）</w:t>
            </w:r>
          </w:p>
        </w:tc>
        <w:tc>
          <w:tcPr>
            <w:tcW w:type="dxa" w:w="2795"/>
            <w:tcMar>
              <w:top w:type="dxa" w:w="42"/>
              <w:left w:type="dxa" w:w="55"/>
              <w:bottom w:type="dxa" w:w="42"/>
              <w:right w:type="dxa" w:w="55"/>
            </w:tcMar>
            <w:vAlign w:val="center"/>
          </w:tcPr>
          <w:p>
            <w:pPr>
              <w:spacing w:line="250" w:lineRule="auto"/>
              <w:jc w:val="center"/>
            </w:pPr>
          </w:p>
        </w:tc>
        <w:tc>
          <w:tcPr>
            <w:tcW w:type="dxa" w:w="2802"/>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2_1" w:id="1"/>
      <w:r>
        <w:rPr>
          <w:b/>
          <w:bCs/>
          <w:color w:val="000000"/>
          <w:sz w:val="28"/>
          <w:szCs w:val="28"/>
          <w:rFonts w:ascii="SimSun" w:eastAsia="SimSun" w:hAnsi="SimSun" w:cs="SimSun"/>
        </w:rPr>
        <w:t xml:space="preserve">3.2　需求分析：人口、就业与租赁市场基础</w:t>
      </w:r>
      <w:bookmarkEnd w:id="1"/>
    </w:p>
    <w:p>
      <w:pPr>
        <w:spacing w:before="0" w:after="0" w:line="312" w:lineRule="auto"/>
        <w:ind w:firstLine="480"/>
      </w:pPr>
      <w:r>
        <w:rPr>
          <w:color w:val="000000"/>
          <w:sz w:val="24"/>
          <w:szCs w:val="24"/>
          <w:rFonts w:ascii="SimSun" w:eastAsia="SimSun" w:hAnsi="SimSun" w:cs="SimSun"/>
        </w:rPr>
        <w:t xml:space="preserve">需求分析旨在回答三个递进问题：本项目所服务的保障性租赁住房需求是否存在、规模多大、结构如何，以及上述判断对项目定位与后续行动的含义。分析按“区域人口与就业基础—租赁需求分层—客群来源与画像”三层展开，人口净流入的历年变化由下一子节专项说明，本节不重复。</w:t>
      </w:r>
    </w:p>
    <w:p>
      <w:pPr>
        <w:pStyle w:val="Heading3"/>
        <w:keepNext/>
        <w:spacing w:before="160" w:after="80" w:line="360" w:lineRule="auto"/>
      </w:pPr>
      <w:r>
        <w:rPr>
          <w:b/>
          <w:bCs/>
          <w:color w:val="000000"/>
          <w:sz w:val="24"/>
          <w:szCs w:val="24"/>
          <w:rFonts w:ascii="SimSun" w:eastAsia="SimSun" w:hAnsi="SimSun" w:cs="SimSun"/>
        </w:rPr>
        <w:t xml:space="preserve">3.2.1 分析口径与数据基础</w:t>
      </w:r>
    </w:p>
    <w:p>
      <w:pPr>
        <w:spacing w:before="0" w:after="0" w:line="312" w:lineRule="auto"/>
        <w:ind w:firstLine="480"/>
      </w:pPr>
      <w:r>
        <w:rPr>
          <w:color w:val="000000"/>
          <w:sz w:val="24"/>
          <w:szCs w:val="24"/>
          <w:rFonts w:ascii="SimSun" w:eastAsia="SimSun" w:hAnsi="SimSun" w:cs="SimSun"/>
        </w:rPr>
        <w:t xml:space="preserve">本节人口与就业分析以深圳市罗湖区、福田区为区域背景，以各房源点位3公里范围为项目直接影响圈层。需要说明的是，本项目51套房源分布于罗湖区银湖半山、宝泉庄、松园小区、碧波花园、愉天小区及福田区梅兴苑等6个居住小区，虽同属中心城区，但各点位所处的街道单元在人口密度、就业集聚程度和租赁需求结构上存在差异，故在统一分析框架下对实质差异作对照说明。</w:t>
      </w:r>
    </w:p>
    <w:p>
      <w:pPr>
        <w:spacing w:before="0" w:after="0" w:line="312" w:lineRule="auto"/>
        <w:ind w:firstLine="480"/>
      </w:pPr>
      <w:r>
        <w:rPr>
          <w:color w:val="000000"/>
          <w:sz w:val="24"/>
          <w:szCs w:val="24"/>
          <w:rFonts w:ascii="SimSun" w:eastAsia="SimSun" w:hAnsi="SimSun" w:cs="SimSun"/>
        </w:rPr>
        <w:t xml:space="preserve">本节所依据的人口、就业数据应以政府统计公报及原始发布机构数据为准，统计期、地域范围和计量单位须保持一致。</w:t>
      </w:r>
      <w:r>
        <w:rPr>
          <w:b/>
          <w:bCs/>
          <w:color w:val="C62828"/>
          <w:sz w:val="24"/>
          <w:szCs w:val="24"/>
          <w:rFonts w:ascii="SimSun" w:eastAsia="SimSun" w:hAnsi="SimSun" w:cs="SimSun"/>
        </w:rPr>
        <w:t xml:space="preserve">【待补：政府统计公报、原始发布机构、已审核资料库及真实市场调研；注明统计期、地域范围、计量单位、样本与来源】</w:t>
      </w:r>
      <w:r>
        <w:rPr>
          <w:color w:val="000000"/>
          <w:sz w:val="24"/>
          <w:szCs w:val="24"/>
          <w:rFonts w:ascii="SimSun" w:eastAsia="SimSun" w:hAnsi="SimSun" w:cs="SimSun"/>
        </w:rPr>
        <w:t xml:space="preserve">项目内部事实（房源分布、建筑面积、户型结构）取自《市税务局第一批合作房源改造为保障性租赁住房项目合作协议（草案）》及《关于罗湖公司申请市税务局第一批合作房源改造为保租房项目投资立项的请示》，已确认无误。</w:t>
      </w:r>
    </w:p>
    <w:p>
      <w:pPr>
        <w:pStyle w:val="Heading3"/>
        <w:keepNext/>
        <w:spacing w:before="160" w:after="80" w:line="360" w:lineRule="auto"/>
      </w:pPr>
      <w:r>
        <w:rPr>
          <w:b/>
          <w:bCs/>
          <w:color w:val="000000"/>
          <w:sz w:val="24"/>
          <w:szCs w:val="24"/>
          <w:rFonts w:ascii="SimSun" w:eastAsia="SimSun" w:hAnsi="SimSun" w:cs="SimSun"/>
        </w:rPr>
        <w:t xml:space="preserve">3.2.2 区域人口与就业基础</w:t>
      </w:r>
    </w:p>
    <w:p>
      <w:pPr>
        <w:spacing w:before="0" w:after="0" w:line="312" w:lineRule="auto"/>
        <w:ind w:firstLine="480"/>
      </w:pPr>
      <w:r>
        <w:rPr>
          <w:color w:val="000000"/>
          <w:sz w:val="24"/>
          <w:szCs w:val="24"/>
          <w:rFonts w:ascii="SimSun" w:eastAsia="SimSun" w:hAnsi="SimSun" w:cs="SimSun"/>
        </w:rPr>
        <w:t xml:space="preserve">罗湖区作为深圳市开发最早、配套最成熟的中心城区之一，人口基数大、老龄化程度相对较高，存量住宅密集；福田区为深圳市行政、金融、商务功能核心区，就业岗位高度集聚。两区均为典型的“职住高密度叠加”区域，存量住房供应以20世纪90年代至2000年代建成的住宅小区为主，户型偏大、房龄偏长，与当前新市民、青年人为主的租赁需求在户型匹配度上存在结构性错位。</w:t>
      </w:r>
    </w:p>
    <w:p>
      <w:pPr>
        <w:spacing w:before="0" w:after="0" w:line="312" w:lineRule="auto"/>
        <w:ind w:firstLine="480"/>
      </w:pPr>
      <w:r>
        <w:rPr>
          <w:color w:val="000000"/>
          <w:sz w:val="24"/>
          <w:szCs w:val="24"/>
          <w:rFonts w:ascii="SimSun" w:eastAsia="SimSun" w:hAnsi="SimSun" w:cs="SimSun"/>
        </w:rPr>
        <w:t xml:space="preserve">从各房源点位3公里范围的就业集聚特征看，六个点位呈现明显的梯度差异。银湖半山、松园小区、愉天小区、碧波花园及梅兴苑周边均分布有较为密集的企业、写字楼及产业园类设施，就业吸纳能力较强；其中愉天小区周边就业类设施占比最高，且紧邻田贝地铁站（约0.3km）与洪湖地铁站（约0.5km），通勤可达性优越；梅兴苑紧邻梅村地铁站（约0.1km），处于福田—龙华交界地带，承接福田中心区就业人口外溢居住需求的条件较好。宝泉庄点位周边以居住功能和公共服务设施为主，就业类设施分布相对较少，其租赁需求更多依赖轨道交通向周边就业中心延伸覆盖。上述判断系基于周边设施分布密度的代理指标，非官方职住比数据，仅用于定性判断各点位的需求来源结构差异，不据此量化职住平衡水平。</w:t>
      </w:r>
      <w:r>
        <w:rPr>
          <w:b/>
          <w:bCs/>
          <w:color w:val="C62828"/>
          <w:sz w:val="24"/>
          <w:szCs w:val="24"/>
          <w:rFonts w:ascii="SimSun" w:eastAsia="SimSun" w:hAnsi="SimSun" w:cs="SimSun"/>
        </w:rPr>
        <w:t xml:space="preserve">【待补：以真实人口口径计算的职住比数据】</w:t>
      </w:r>
    </w:p>
    <w:p>
      <w:pPr>
        <w:pStyle w:val="Heading3"/>
        <w:keepNext/>
        <w:spacing w:before="160" w:after="80" w:line="360" w:lineRule="auto"/>
      </w:pPr>
      <w:r>
        <w:rPr>
          <w:b/>
          <w:bCs/>
          <w:color w:val="000000"/>
          <w:sz w:val="24"/>
          <w:szCs w:val="24"/>
          <w:rFonts w:ascii="SimSun" w:eastAsia="SimSun" w:hAnsi="SimSun" w:cs="SimSun"/>
        </w:rPr>
        <w:t xml:space="preserve">3.2.3 租赁需求分层分析</w:t>
      </w:r>
    </w:p>
    <w:p>
      <w:pPr>
        <w:spacing w:before="0" w:after="0" w:line="312" w:lineRule="auto"/>
        <w:ind w:firstLine="480"/>
      </w:pPr>
      <w:r>
        <w:rPr>
          <w:color w:val="000000"/>
          <w:sz w:val="24"/>
          <w:szCs w:val="24"/>
          <w:rFonts w:ascii="SimSun" w:eastAsia="SimSun" w:hAnsi="SimSun" w:cs="SimSun"/>
        </w:rPr>
        <w:t xml:space="preserve">保障性租赁住房的需求主体为在本市无自有住房的新市民、青年人及基本公共服务一线从业人员。结合本项目房源区位特征和产品定位，将需求对象按支付能力与居住诉求分为三个层次，各层次需求规模、租金承受力及对本项目的匹配度如下表所示。</w:t>
      </w:r>
    </w:p>
    <w:p>
      <w:pPr>
        <w:spacing w:before="0" w:after="0" w:line="312" w:lineRule="auto"/>
        <w:ind w:firstLine="480"/>
      </w:pPr>
      <w:r>
        <w:rPr>
          <w:color w:val="000000"/>
          <w:sz w:val="24"/>
          <w:szCs w:val="24"/>
          <w:rFonts w:ascii="SimSun" w:eastAsia="SimSun" w:hAnsi="SimSun" w:cs="SimSun"/>
        </w:rPr>
        <w:t xml:space="preserve">从供需匹配角度看，本项目房源全部为住宅用途，原始户型以74.25—147.62平方米的2—4房为主，单套面积偏大，与主力层客群“独立居住”的需求存在户型错位。松园小区已有2套房源拆分为4套一房户型，表明通过内部分隔提升小户型供给比例是适配需求的有效路径。其余房源在改造设计中亦需结合目标客群结构，合理确定户型拆分方案，以提升产品与需求的匹配度。</w:t>
      </w:r>
    </w:p>
    <w:p>
      <w:pPr>
        <w:pStyle w:val="Heading3"/>
        <w:keepNext/>
        <w:spacing w:before="160" w:after="80" w:line="360" w:lineRule="auto"/>
      </w:pPr>
      <w:r>
        <w:rPr>
          <w:b/>
          <w:bCs/>
          <w:color w:val="000000"/>
          <w:sz w:val="24"/>
          <w:szCs w:val="24"/>
          <w:rFonts w:ascii="SimSun" w:eastAsia="SimSun" w:hAnsi="SimSun" w:cs="SimSun"/>
        </w:rPr>
        <w:t xml:space="preserve">3.2.4 客群来源与典型画像</w:t>
      </w:r>
    </w:p>
    <w:p>
      <w:pPr>
        <w:spacing w:before="0" w:after="0" w:line="312" w:lineRule="auto"/>
        <w:ind w:firstLine="480"/>
      </w:pPr>
      <w:r>
        <w:rPr>
          <w:color w:val="000000"/>
          <w:sz w:val="24"/>
          <w:szCs w:val="24"/>
          <w:rFonts w:ascii="SimSun" w:eastAsia="SimSun" w:hAnsi="SimSun" w:cs="SimSun"/>
        </w:rPr>
        <w:t xml:space="preserve">基于上述需求分层，本项目客群来源可归纳为核心、重要、补充三个圈层，各圈层的来源结构、需求动因及与本项目的关系如下表所示。</w:t>
      </w:r>
    </w:p>
    <w:p>
      <w:pPr>
        <w:spacing w:before="0" w:after="0" w:line="312" w:lineRule="auto"/>
        <w:ind w:firstLine="480"/>
      </w:pPr>
      <w:r>
        <w:rPr>
          <w:color w:val="000000"/>
          <w:sz w:val="24"/>
          <w:szCs w:val="24"/>
          <w:rFonts w:ascii="SimSun" w:eastAsia="SimSun" w:hAnsi="SimSun" w:cs="SimSun"/>
        </w:rPr>
        <w:t xml:space="preserve">详见第5.1节“目标客群定位表”。</w:t>
      </w:r>
    </w:p>
    <w:p>
      <w:pPr>
        <w:spacing w:before="0" w:after="0" w:line="312" w:lineRule="auto"/>
        <w:ind w:firstLine="480"/>
      </w:pPr>
      <w:r>
        <w:rPr>
          <w:color w:val="000000"/>
          <w:sz w:val="24"/>
          <w:szCs w:val="24"/>
          <w:rFonts w:ascii="SimSun" w:eastAsia="SimSun" w:hAnsi="SimSun" w:cs="SimSun"/>
        </w:rPr>
        <w:t xml:space="preserve">典型客群画像方面，核心客群以25—35岁为主，多为在罗湖、福田从事金融、专业服务、商贸、科技等行业的单身青年或年轻夫妻，家庭年收入约</w:t>
      </w:r>
      <w:r>
        <w:rPr>
          <w:b/>
          <w:bCs/>
          <w:color w:val="C62828"/>
          <w:sz w:val="24"/>
          <w:szCs w:val="24"/>
          <w:rFonts w:ascii="SimSun" w:eastAsia="SimSun" w:hAnsi="SimSun" w:cs="SimSun"/>
        </w:rPr>
        <w:t xml:space="preserve">【待补：真实市场调研数据】</w:t>
      </w:r>
      <w:r>
        <w:rPr>
          <w:color w:val="000000"/>
          <w:sz w:val="24"/>
          <w:szCs w:val="24"/>
          <w:rFonts w:ascii="SimSun" w:eastAsia="SimSun" w:hAnsi="SimSun" w:cs="SimSun"/>
        </w:rPr>
        <w:t xml:space="preserve">万元，月租金预算约</w:t>
      </w:r>
      <w:r>
        <w:rPr>
          <w:b/>
          <w:bCs/>
          <w:color w:val="C62828"/>
          <w:sz w:val="24"/>
          <w:szCs w:val="24"/>
          <w:rFonts w:ascii="SimSun" w:eastAsia="SimSun" w:hAnsi="SimSun" w:cs="SimSun"/>
        </w:rPr>
        <w:t xml:space="preserve">【待补：真实市场调研数据】</w:t>
      </w:r>
      <w:r>
        <w:rPr>
          <w:color w:val="000000"/>
          <w:sz w:val="24"/>
          <w:szCs w:val="24"/>
          <w:rFonts w:ascii="SimSun" w:eastAsia="SimSun" w:hAnsi="SimSun" w:cs="SimSun"/>
        </w:rPr>
        <w:t xml:space="preserve">元，通勤时间接受上限约40—50分钟，生活偏好上重视轨道交通可达性、社区安全性与周边生活配套便利度，预期租期1—3年。重要客群的通勤半径略长，对租金敏感度更高，倾向选择小户型或合租形式。补充客群则以家庭为单位，租期相对较长，对户型面积、教育配套和居住品质的要求高于前两类客群。上述画像中收入、租金预算等量化指标须以真实市场调研数据校准后方可作为定价与产品设计的依据。</w:t>
      </w:r>
      <w:r>
        <w:rPr>
          <w:b/>
          <w:bCs/>
          <w:color w:val="C62828"/>
          <w:sz w:val="24"/>
          <w:szCs w:val="24"/>
          <w:rFonts w:ascii="SimSun" w:eastAsia="SimSun" w:hAnsi="SimSun" w:cs="SimSun"/>
        </w:rPr>
        <w:t xml:space="preserve">【待补：真实市场调研数据】</w:t>
      </w:r>
    </w:p>
    <w:p>
      <w:pPr>
        <w:pStyle w:val="Heading3"/>
        <w:keepNext/>
        <w:spacing w:before="160" w:after="80" w:line="360" w:lineRule="auto"/>
      </w:pPr>
      <w:r>
        <w:rPr>
          <w:b/>
          <w:bCs/>
          <w:color w:val="000000"/>
          <w:sz w:val="24"/>
          <w:szCs w:val="24"/>
          <w:rFonts w:ascii="SimSun" w:eastAsia="SimSun" w:hAnsi="SimSun" w:cs="SimSun"/>
        </w:rPr>
        <w:t xml:space="preserve">3.2.5 事实、判断与行动含义</w:t>
      </w:r>
    </w:p>
    <w:p>
      <w:pPr>
        <w:spacing w:before="0" w:after="0" w:line="312" w:lineRule="auto"/>
        <w:ind w:firstLine="480"/>
      </w:pPr>
      <w:r>
        <w:rPr>
          <w:color w:val="000000"/>
          <w:sz w:val="24"/>
          <w:szCs w:val="24"/>
          <w:rFonts w:ascii="SimSun" w:eastAsia="SimSun" w:hAnsi="SimSun" w:cs="SimSun"/>
        </w:rPr>
        <w:t xml:space="preserve">本节可确认的项目事实为：51套房源分布于罗湖、福田两区6个小区，总建筑面积约5621.15平方米，全部为住宅用途，原始户型以中大户型为主（来源：《市税务局第一批合作房源改造为保障性租赁住房项目合作协议（草案）》《关于罗湖公司申请市税务局第一批合作房源改造为保租房项目投资立项的请示》）。基于上述事实可形成三点判断：</w:t>
      </w:r>
    </w:p>
    <w:p>
      <w:pPr>
        <w:spacing w:before="0" w:after="0" w:line="312" w:lineRule="auto"/>
        <w:ind w:firstLine="480"/>
      </w:pPr>
      <w:r>
        <w:rPr>
          <w:color w:val="000000"/>
          <w:sz w:val="24"/>
          <w:szCs w:val="24"/>
          <w:rFonts w:ascii="SimSun" w:eastAsia="SimSun" w:hAnsi="SimSun" w:cs="SimSun"/>
        </w:rPr>
        <w:t xml:space="preserve">其一，项目地处深圳市人口与就业最为密集的中心城区，租赁需求基数大、来源多元，需求基础具备可靠性，但该判断目前主要依赖区位定性分析，尚需以政府统计公报人口数据和市场调研租赁需求数据加以量化验证。</w:t>
      </w:r>
    </w:p>
    <w:p>
      <w:pPr>
        <w:spacing w:before="0" w:after="0" w:line="312" w:lineRule="auto"/>
        <w:ind w:firstLine="480"/>
      </w:pPr>
      <w:r>
        <w:rPr>
          <w:color w:val="000000"/>
          <w:sz w:val="24"/>
          <w:szCs w:val="24"/>
          <w:rFonts w:ascii="SimSun" w:eastAsia="SimSun" w:hAnsi="SimSun" w:cs="SimSun"/>
        </w:rPr>
        <w:t xml:space="preserve">其二，需求结构与房源现状存在户型错位——主力客群以小户型独立居住需求为主，而房源原始户型偏大，改造环节的户型拆分方案是决定项目需求匹配度的关键变量。</w:t>
      </w:r>
    </w:p>
    <w:p>
      <w:pPr>
        <w:spacing w:before="0" w:after="0" w:line="312" w:lineRule="auto"/>
        <w:ind w:firstLine="480"/>
      </w:pPr>
      <w:r>
        <w:rPr>
          <w:color w:val="000000"/>
          <w:sz w:val="24"/>
          <w:szCs w:val="24"/>
          <w:rFonts w:ascii="SimSun" w:eastAsia="SimSun" w:hAnsi="SimSun" w:cs="SimSun"/>
        </w:rPr>
        <w:t xml:space="preserve">其三，各点位需求来源结构存在差异，愉天小区、松园小区等就业密集点位以职住平衡型需求为主，宝泉庄等居住功能主导点位则更依赖轨道交通延伸覆盖的通勤需求，这一差异对后续客群定位与户型配比具有指导意义，但不改变项目整体以中心城区新市民、青年人为核心客群的统一判断。</w:t>
      </w:r>
    </w:p>
    <w:p>
      <w:pPr>
        <w:spacing w:before="0" w:after="0" w:line="312" w:lineRule="auto"/>
        <w:ind w:firstLine="480"/>
      </w:pPr>
      <w:r>
        <w:rPr>
          <w:color w:val="000000"/>
          <w:sz w:val="24"/>
          <w:szCs w:val="24"/>
          <w:rFonts w:ascii="SimSun" w:eastAsia="SimSun" w:hAnsi="SimSun" w:cs="SimSun"/>
        </w:rPr>
        <w:t xml:space="preserve">上述判断对下一步行动的指向为：一是尽快补充政府统计公报人口数据及3公里范围真实市场调研，将需求分析从定性判断推进到定量测算；二是在改造方案设计中，将户型拆分比例作为衔接需求与供给的核心技术参数，结合目标客群结构确定；三是以本节确认的主力客群租金承受力为基准，衔接后续租金定价分析。本节分析所依据的人口与就业数据缺口，不影响项目需求基础的方向性判断，但制约需求规模的精确量化，须在可行性研究阶段予以补足。</w:t>
      </w:r>
    </w:p>
    <w:p>
      <w:pPr>
        <w:spacing w:before="0" w:after="0" w:line="312" w:lineRule="auto"/>
        <w:ind w:firstLine="480"/>
      </w:pPr>
      <w:r>
        <w:rPr>
          <w:color w:val="000000"/>
          <w:sz w:val="24"/>
          <w:szCs w:val="24"/>
          <w:rFonts w:ascii="SimSun" w:eastAsia="SimSun" w:hAnsi="SimSun" w:cs="SimSun"/>
        </w:rPr>
        <w:t xml:space="preserve">资料待补提示</w:t>
      </w:r>
    </w:p>
    <w:p>
      <w:pPr>
        <w:spacing w:before="0" w:after="0" w:line="312" w:lineRule="auto"/>
        <w:ind w:firstLine="480"/>
      </w:pPr>
      <w:r>
        <w:rPr>
          <w:b/>
          <w:bCs/>
          <w:color w:val="C62828"/>
          <w:sz w:val="24"/>
          <w:szCs w:val="24"/>
          <w:rFonts w:ascii="SimSun" w:eastAsia="SimSun" w:hAnsi="SimSun" w:cs="SimSun"/>
        </w:rPr>
        <w:t xml:space="preserve">【待补：政府统计公报、原始发布机构、已审核资料库及真实市场调研；注明统计期、地域范围、计量单位、样本与来源；项目内部事实取已确认材料。】</w:t>
      </w:r>
    </w:p>
    <w:p>
      <w:pPr>
        <w:keepNext/>
        <w:spacing w:before="180" w:after="100"/>
        <w:jc w:val="center"/>
      </w:pPr>
      <w:r>
        <w:rPr>
          <w:b/>
          <w:bCs/>
          <w:color w:val="000000"/>
          <w:sz w:val="22"/>
          <w:szCs w:val="22"/>
          <w:rFonts w:ascii="SimSun" w:eastAsia="SimSun" w:hAnsi="SimSun" w:cs="SimSun"/>
        </w:rPr>
        <w:t xml:space="preserve">住房租赁供需分层分析表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分析主题</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核心指标</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行政区</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街道</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项目3公里</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数据时点与来源</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基础层</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客群构成：刚毕业大学生、基层公共服务人员、产业一线员工；需求特征：单人或合租为主，对租金敏感，追求通勤效率与基本居住品质；租金承受力：较低，倾向小户型、低租金；与本项目匹配度：需通过拆分户型或合租形式适配</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主力层</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客群构成：工作3—8年白领、中小企业技术及管理人员；需求特征：独立居住需求为主，注重通勤便利、社区环境与居住稳定性；租金承受力：中等，可承受市场租金80%—100%；与本项目匹配度：高度匹配，为本项目核心客群</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改善层</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客群构成：家庭型租户、因子女教育或职住平衡选择租住的中高收入群体；需求特征：对户型面积、社区品质、周边教育医疗配套有较高要求；租金承受力：较高，可承受市场租金100%—120%；与本项目匹配度：部分匹配，需结合具体户型判断</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2_2" w:id="1"/>
      <w:r>
        <w:rPr>
          <w:b/>
          <w:bCs/>
          <w:color w:val="000000"/>
          <w:sz w:val="28"/>
          <w:szCs w:val="28"/>
          <w:rFonts w:ascii="SimSun" w:eastAsia="SimSun" w:hAnsi="SimSun" w:cs="SimSun"/>
        </w:rPr>
        <w:t xml:space="preserve">3.3　需求分析：职住关系与产业分析</w:t>
      </w:r>
      <w:bookmarkEnd w:id="1"/>
    </w:p>
    <w:p>
      <w:pPr>
        <w:spacing w:before="0" w:after="0" w:line="312" w:lineRule="auto"/>
        <w:ind w:firstLine="480"/>
      </w:pPr>
      <w:r>
        <w:rPr>
          <w:color w:val="000000"/>
          <w:sz w:val="24"/>
          <w:szCs w:val="24"/>
          <w:rFonts w:ascii="SimSun" w:eastAsia="SimSun" w:hAnsi="SimSun" w:cs="SimSun"/>
        </w:rPr>
        <w:t xml:space="preserve">本项目51套房源分布于罗湖区银湖半山（金湖路6号，37套）、宝泉庄（红桂路1008号，3套）、松园小区（松园西街52号，7套）、碧波花园（1套）、愉天小区（田贝四路，2套）及福田区梅兴苑（梅华路126号，1套）6个居住小区，总建筑面积5,621.15㎡。房源全部位于罗湖、福田核心城区成熟居住板块，周边产业与就业人口基础直接决定保障性租赁住房的需求规模与结构。本节以行政区、街道及项目3公里范围两个空间层次，分析常住人口与就业人口基础、职住关系特征及由此形成的租赁需求，为后续客群定位与产品定位提供依据。</w:t>
      </w:r>
    </w:p>
    <w:p>
      <w:pPr>
        <w:spacing w:before="0" w:after="0" w:line="312" w:lineRule="auto"/>
        <w:ind w:firstLine="480"/>
      </w:pPr>
      <w:r>
        <w:rPr>
          <w:color w:val="000000"/>
          <w:sz w:val="24"/>
          <w:szCs w:val="24"/>
          <w:rFonts w:ascii="SimSun" w:eastAsia="SimSun" w:hAnsi="SimSun" w:cs="SimSun"/>
        </w:rPr>
        <w:t xml:space="preserve">一、区域人口与就业基础</w:t>
      </w:r>
    </w:p>
    <w:p>
      <w:pPr>
        <w:spacing w:before="0" w:after="0" w:line="312" w:lineRule="auto"/>
        <w:ind w:firstLine="480"/>
      </w:pPr>
      <w:r>
        <w:rPr>
          <w:color w:val="000000"/>
          <w:sz w:val="24"/>
          <w:szCs w:val="24"/>
          <w:rFonts w:ascii="SimSun" w:eastAsia="SimSun" w:hAnsi="SimSun" w:cs="SimSun"/>
        </w:rPr>
        <w:t xml:space="preserve">罗湖区作为深圳最早建成区，常住人口密度居全市前列，城区更新持续推进带动就业岗位与居住需求同步增长。福田区为深圳行政、金融与商务中心，就业岗位高度集聚。本项目房源所在的金湖路6号、红桂路1008号、松园西街52号、田贝四路、梅华路126号等点位，均处于罗湖或福田建成度较高的居住与就业混合区域，周边人口与岗位密度具备保障性租赁住房需求基础。</w:t>
      </w:r>
    </w:p>
    <w:p>
      <w:pPr>
        <w:spacing w:before="0" w:after="0" w:line="312" w:lineRule="auto"/>
        <w:ind w:firstLine="480"/>
      </w:pPr>
      <w:r>
        <w:rPr>
          <w:color w:val="000000"/>
          <w:sz w:val="24"/>
          <w:szCs w:val="24"/>
          <w:rFonts w:ascii="SimSun" w:eastAsia="SimSun" w:hAnsi="SimSun" w:cs="SimSun"/>
        </w:rPr>
        <w:t xml:space="preserve">从街道层面看，各房源所在街道的常住人口规模、年龄结构与就业特征存在差异，但均属中心城区人口高度集聚区域。项目3公里范围内，住宅小区与就业场所交错分布，形成典型的职住混合空间形态。需要说明的是，受公开统计口径限制，街道及3公里尺度的常住人口、就业人口精确数据尚无法从政府统计公报中直接获取，需通过后续人口与产业专项调研补充</w:t>
      </w:r>
      <w:r>
        <w:rPr>
          <w:b/>
          <w:bCs/>
          <w:color w:val="C62828"/>
          <w:sz w:val="24"/>
          <w:szCs w:val="24"/>
          <w:rFonts w:ascii="SimSun" w:eastAsia="SimSun" w:hAnsi="SimSun" w:cs="SimSun"/>
        </w:rPr>
        <w:t xml:space="preserve">【待补：政府统计公报、原始发布机构、已审核资料库及真实市场调研；注明统计期、地域范围、计量单位、样本与来源】</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二、职住关系特征分析</w:t>
      </w:r>
    </w:p>
    <w:p>
      <w:pPr>
        <w:spacing w:before="0" w:after="0" w:line="312" w:lineRule="auto"/>
        <w:ind w:firstLine="480"/>
      </w:pPr>
      <w:r>
        <w:rPr>
          <w:color w:val="000000"/>
          <w:sz w:val="24"/>
          <w:szCs w:val="24"/>
          <w:rFonts w:ascii="SimSun" w:eastAsia="SimSun" w:hAnsi="SimSun" w:cs="SimSun"/>
        </w:rPr>
        <w:t xml:space="preserve">本项目房源分布于多个居住小区，各点位周边职住关系存在结构性差异，但整体呈现中心城区职住平衡度较高、租赁需求以通勤便利为导向的共同特征。</w:t>
      </w:r>
    </w:p>
    <w:p>
      <w:pPr>
        <w:spacing w:before="0" w:after="0" w:line="312" w:lineRule="auto"/>
        <w:ind w:firstLine="480"/>
      </w:pPr>
      <w:r>
        <w:rPr>
          <w:color w:val="000000"/>
          <w:sz w:val="24"/>
          <w:szCs w:val="24"/>
          <w:rFonts w:ascii="SimSun" w:eastAsia="SimSun" w:hAnsi="SimSun" w:cs="SimSun"/>
        </w:rPr>
        <w:t xml:space="preserve">金湖路6号（银湖半山）位于罗湖区北部，3公里范围内住宅小区与就业场所数量大体相当，就业岗位类设施占比约50%（口径说明：该比例为基于地图POI密度的代理指标，非官方职住比，仅用于反映周边就业场所的相对丰富程度）。该片区紧邻泥岗、罗湖北等轨道站点，公交站点密集，具备较好的对外通勤条件。片区周边居住社区成熟，同时分布一定规模的企业与办公场所，就业人群与居住人群相互交织，租赁需求既来自片区内就业人口的就近居住需求，也来自依托轨道交通导入的外围通勤人群。</w:t>
      </w:r>
    </w:p>
    <w:p>
      <w:pPr>
        <w:spacing w:before="0" w:after="0" w:line="312" w:lineRule="auto"/>
        <w:ind w:firstLine="480"/>
      </w:pPr>
      <w:r>
        <w:rPr>
          <w:color w:val="000000"/>
          <w:sz w:val="24"/>
          <w:szCs w:val="24"/>
          <w:rFonts w:ascii="SimSun" w:eastAsia="SimSun" w:hAnsi="SimSun" w:cs="SimSun"/>
        </w:rPr>
        <w:t xml:space="preserve">红桂路1008号（宝泉庄）与松园西街52号（松园小区）位于罗湖区中部，属传统建成区。松园小区周边就业场所密度较高，就业岗位类设施占比约67%（口径同上），红桂路周边以居住功能为主，就业场所密度相对较低。两处点位相距较近，共享红岭、园岭、大塘龙等轨道站点，周边教育、医疗配套完善，居住成熟度高。该区域租赁需求主要来自周边就业人口及因子女教育、生活便利性而选择就近租住的家庭群体。</w:t>
      </w:r>
    </w:p>
    <w:p>
      <w:pPr>
        <w:spacing w:before="0" w:after="0" w:line="312" w:lineRule="auto"/>
        <w:ind w:firstLine="480"/>
      </w:pPr>
      <w:r>
        <w:rPr>
          <w:color w:val="000000"/>
          <w:sz w:val="24"/>
          <w:szCs w:val="24"/>
          <w:rFonts w:ascii="SimSun" w:eastAsia="SimSun" w:hAnsi="SimSun" w:cs="SimSun"/>
        </w:rPr>
        <w:t xml:space="preserve">田贝四路（愉天小区）周边就业场所高度密集，就业岗位类设施占比约100%（口径同上，该指标仅反映3公里范围内POI构成中就业类设施占绝对主导，不表示实际就业人口全部集中于该范围），且紧邻田贝、洪湖轨道站点，属典型就业集聚区域。该片区居住类小区相对较少，存量住宅供给有限，就业人口就近居住需求与住宅供给之间的匹配度较低，租赁需求存在一定缺口。</w:t>
      </w:r>
    </w:p>
    <w:p>
      <w:pPr>
        <w:spacing w:before="0" w:after="0" w:line="312" w:lineRule="auto"/>
        <w:ind w:firstLine="480"/>
      </w:pPr>
      <w:r>
        <w:rPr>
          <w:color w:val="000000"/>
          <w:sz w:val="24"/>
          <w:szCs w:val="24"/>
          <w:rFonts w:ascii="SimSun" w:eastAsia="SimSun" w:hAnsi="SimSun" w:cs="SimSun"/>
        </w:rPr>
        <w:t xml:space="preserve">碧波花园位于罗湖区东部，周边就业岗位类设施占比约76%（口径同上），临近怡景轨道站点，居住与就业功能兼有。梅兴苑位于福田区上梅林片区，周边就业岗位类设施占比约55%（口径同上），紧邻梅村轨道站点，属福田北部居住与就业混合区域，承接福田中心区外溢居住需求。</w:t>
      </w:r>
    </w:p>
    <w:p>
      <w:pPr>
        <w:spacing w:before="0" w:after="0" w:line="312" w:lineRule="auto"/>
        <w:ind w:firstLine="480"/>
      </w:pPr>
      <w:r>
        <w:rPr>
          <w:color w:val="000000"/>
          <w:sz w:val="24"/>
          <w:szCs w:val="24"/>
          <w:rFonts w:ascii="SimSun" w:eastAsia="SimSun" w:hAnsi="SimSun" w:cs="SimSun"/>
        </w:rPr>
        <w:t xml:space="preserve">综合来看，本项目各房源点位均处于就业岗位相对丰富或轨道通勤便利的区域，职住关系总体协调，租赁需求具备稳定来源。各点位间差异主要体现在：松园小区、愉天小区、碧波花园周边就业密度更高，需求以就近就业人群为主；金湖路6号、梅兴苑、红桂路1008号周边居住功能相对突出，需求兼顾就近就业与轨道通勤人群。</w:t>
      </w:r>
    </w:p>
    <w:p>
      <w:pPr>
        <w:spacing w:before="0" w:after="0" w:line="312" w:lineRule="auto"/>
        <w:ind w:firstLine="480"/>
      </w:pPr>
      <w:r>
        <w:rPr>
          <w:color w:val="000000"/>
          <w:sz w:val="24"/>
          <w:szCs w:val="24"/>
          <w:rFonts w:ascii="SimSun" w:eastAsia="SimSun" w:hAnsi="SimSun" w:cs="SimSun"/>
        </w:rPr>
        <w:t xml:space="preserve">三、租赁需求规模与结构判断</w:t>
      </w:r>
    </w:p>
    <w:p>
      <w:pPr>
        <w:spacing w:before="0" w:after="0" w:line="312" w:lineRule="auto"/>
        <w:ind w:firstLine="480"/>
      </w:pPr>
      <w:r>
        <w:rPr>
          <w:color w:val="000000"/>
          <w:sz w:val="24"/>
          <w:szCs w:val="24"/>
          <w:rFonts w:ascii="SimSun" w:eastAsia="SimSun" w:hAnsi="SimSun" w:cs="SimSun"/>
        </w:rPr>
        <w:t xml:space="preserve">基于上述人口与职住关系分析，本项目租赁需求可从总量与结构两个层面判断：</w:t>
      </w:r>
    </w:p>
    <w:p>
      <w:pPr>
        <w:spacing w:before="0" w:after="0" w:line="312" w:lineRule="auto"/>
        <w:ind w:firstLine="480"/>
      </w:pPr>
      <w:r>
        <w:rPr>
          <w:color w:val="000000"/>
          <w:sz w:val="24"/>
          <w:szCs w:val="24"/>
          <w:rFonts w:ascii="SimSun" w:eastAsia="SimSun" w:hAnsi="SimSun" w:cs="SimSun"/>
        </w:rPr>
        <w:t xml:space="preserve">总量层面，本项目房源分散于6个成熟居住小区，单点房源数量有限（1—37套不等），总体规模较小。以各点位所在片区的人口与就业基数衡量，51套房源对应市场需求而言供给量有限，去化压力总体可控。但需注意，各点位周边租赁市场供需状况存在差异，愉天小区、松园小区等就业密度较高片区，保障性租赁住房需求相对旺盛；碧波花园、梅兴苑等单套房源点位，需依托片区整体租赁需求消化。</w:t>
      </w:r>
    </w:p>
    <w:p>
      <w:pPr>
        <w:spacing w:before="0" w:after="0" w:line="312" w:lineRule="auto"/>
        <w:ind w:firstLine="480"/>
      </w:pPr>
      <w:r>
        <w:rPr>
          <w:color w:val="000000"/>
          <w:sz w:val="24"/>
          <w:szCs w:val="24"/>
          <w:rFonts w:ascii="SimSun" w:eastAsia="SimSun" w:hAnsi="SimSun" w:cs="SimSun"/>
        </w:rPr>
        <w:t xml:space="preserve">结构层面，本项目房源以90—148㎡的2—4房大户型为主（占比约九成），目标客群并非以单身青年为主体的典型保障性租赁住房人群，而更可能对应以下三类需求：其一，因职住平衡需要就近租住的家庭型租户，该类客群对户型面积要求较高，对租金敏感度相对适中；其二，因子女教育、就医便利等生活配套需求选择在中心城区租住的家庭；其三，因阶段性住房过渡需要租住大户型的企业中高层员工或引进人才。上述客群的收入水平、租金承受能力及租期稳定性，需通过后续市场调研进一步验证</w:t>
      </w:r>
      <w:r>
        <w:rPr>
          <w:b/>
          <w:bCs/>
          <w:color w:val="C62828"/>
          <w:sz w:val="24"/>
          <w:szCs w:val="24"/>
          <w:rFonts w:ascii="SimSun" w:eastAsia="SimSun" w:hAnsi="SimSun" w:cs="SimSun"/>
        </w:rPr>
        <w:t xml:space="preserve">【待补：真实市场调研数据，含样本量、统计期与调研方法】</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四、产业基础与就业人群特征</w:t>
      </w:r>
    </w:p>
    <w:p>
      <w:pPr>
        <w:spacing w:before="0" w:after="0" w:line="312" w:lineRule="auto"/>
        <w:ind w:firstLine="480"/>
      </w:pPr>
      <w:r>
        <w:rPr>
          <w:color w:val="000000"/>
          <w:sz w:val="24"/>
          <w:szCs w:val="24"/>
          <w:rFonts w:ascii="SimSun" w:eastAsia="SimSun" w:hAnsi="SimSun" w:cs="SimSun"/>
        </w:rPr>
        <w:t xml:space="preserve">本项目房源所在区域产业构成以现代服务业为主。罗湖区以金融、商贸、商务服务为支柱产业，红岭北路沿线集聚金融及类金融机构，笋岗片区正推进商贸与创意产业升级；福田区为深圳金融中心与总部经济集聚区，上梅林片区承接中心区产业外溢，分布科技、文化创意及专业服务机构。上述产业就业人群以白领及管理人员为主体，收入水平处于深圳市中上区间，对居住品质、通勤效率及生活配套有明确要求，是保障性租赁住房的主力需求群体。</w:t>
      </w:r>
    </w:p>
    <w:p>
      <w:pPr>
        <w:spacing w:before="0" w:after="0" w:line="312" w:lineRule="auto"/>
        <w:ind w:firstLine="480"/>
      </w:pPr>
      <w:r>
        <w:rPr>
          <w:color w:val="000000"/>
          <w:sz w:val="24"/>
          <w:szCs w:val="24"/>
          <w:rFonts w:ascii="SimSun" w:eastAsia="SimSun" w:hAnsi="SimSun" w:cs="SimSun"/>
        </w:rPr>
        <w:t xml:space="preserve">本项目按市场租金9折定价，平均租金约42.44元/㎡/月，低于同区域市场化租赁住房租金水平，对周边就业人群具有一定吸引力。但需注意，本项目房源以中大户型为主，单套月租金约4,678元，对租户家庭月收入有一定门槛要求。目标客群的收入分布、租金支出占比及支付意愿，需结合专项调研数据进一步明确</w:t>
      </w:r>
      <w:r>
        <w:rPr>
          <w:b/>
          <w:bCs/>
          <w:color w:val="C62828"/>
          <w:sz w:val="24"/>
          <w:szCs w:val="24"/>
          <w:rFonts w:ascii="SimSun" w:eastAsia="SimSun" w:hAnsi="SimSun" w:cs="SimSun"/>
        </w:rPr>
        <w:t xml:space="preserve">【待补：真实市场调研数据】</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五、年龄学历收入分布</w:t>
      </w:r>
    </w:p>
    <w:p>
      <w:pPr>
        <w:spacing w:before="0" w:after="0" w:line="312" w:lineRule="auto"/>
        <w:ind w:firstLine="480"/>
      </w:pPr>
      <w:r>
        <w:rPr>
          <w:color w:val="000000"/>
          <w:sz w:val="24"/>
          <w:szCs w:val="24"/>
          <w:rFonts w:ascii="SimSun" w:eastAsia="SimSun" w:hAnsi="SimSun" w:cs="SimSun"/>
        </w:rPr>
        <w:t xml:space="preserve">保障性租赁住房需求人群的年龄、学历与收入结构，是判断产品适配性与租金承受能力的基础。本项目周边就业人群以现代服务业从业人员为主体，年龄结构相对年轻，学历水平总体较高，收入分布呈中间大、两头小的形态。具体分布如下表所示：</w:t>
      </w:r>
    </w:p>
    <w:p>
      <w:pPr>
        <w:spacing w:before="0" w:after="0" w:line="312" w:lineRule="auto"/>
        <w:ind w:firstLine="480"/>
      </w:pPr>
      <w:r>
        <w:rPr>
          <w:color w:val="000000"/>
          <w:sz w:val="24"/>
          <w:szCs w:val="24"/>
          <w:rFonts w:ascii="SimSun" w:eastAsia="SimSun" w:hAnsi="SimSun" w:cs="SimSun"/>
        </w:rPr>
        <w:t xml:space="preserve">注：表中数据待通过专项市场调研获取，调研范围覆盖项目3公里内就业人群及周边租赁住房租户，统计期与样本量以调研方案为准。数据获取后，应结合本项目单套月租金水平（平均约4,678元/月）校核目标客群的租金支付能力。</w:t>
      </w:r>
    </w:p>
    <w:p>
      <w:pPr>
        <w:spacing w:before="0" w:after="0" w:line="312" w:lineRule="auto"/>
        <w:ind w:firstLine="480"/>
      </w:pPr>
      <w:r>
        <w:rPr>
          <w:color w:val="000000"/>
          <w:sz w:val="24"/>
          <w:szCs w:val="24"/>
          <w:rFonts w:ascii="SimSun" w:eastAsia="SimSun" w:hAnsi="SimSun" w:cs="SimSun"/>
        </w:rPr>
        <w:t xml:space="preserve">六、需求分析结论</w:t>
      </w:r>
    </w:p>
    <w:p>
      <w:pPr>
        <w:spacing w:before="0" w:after="0" w:line="312" w:lineRule="auto"/>
        <w:ind w:firstLine="480"/>
      </w:pPr>
      <w:r>
        <w:rPr>
          <w:color w:val="000000"/>
          <w:sz w:val="24"/>
          <w:szCs w:val="24"/>
          <w:rFonts w:ascii="SimSun" w:eastAsia="SimSun" w:hAnsi="SimSun" w:cs="SimSun"/>
        </w:rPr>
        <w:t xml:space="preserve">综合上述分析，本项目租赁需求可归纳为以下三点：</w:t>
      </w:r>
    </w:p>
    <w:p>
      <w:pPr>
        <w:spacing w:before="0" w:after="0" w:line="312" w:lineRule="auto"/>
        <w:ind w:firstLine="480"/>
      </w:pPr>
      <w:r>
        <w:rPr>
          <w:color w:val="000000"/>
          <w:sz w:val="24"/>
          <w:szCs w:val="24"/>
          <w:rFonts w:ascii="SimSun" w:eastAsia="SimSun" w:hAnsi="SimSun" w:cs="SimSun"/>
        </w:rPr>
        <w:t xml:space="preserve">第一，需求总量有保障。房源全部位于罗湖、福田核心城区成熟居住板块，周边常住人口密集、就业岗位丰富，51套供应规模相对区域租赁需求总量占比极小，去化压力总体可控。</w:t>
      </w:r>
    </w:p>
    <w:p>
      <w:pPr>
        <w:spacing w:before="0" w:after="0" w:line="312" w:lineRule="auto"/>
        <w:ind w:firstLine="480"/>
      </w:pPr>
      <w:r>
        <w:rPr>
          <w:color w:val="000000"/>
          <w:sz w:val="24"/>
          <w:szCs w:val="24"/>
          <w:rFonts w:ascii="SimSun" w:eastAsia="SimSun" w:hAnsi="SimSun" w:cs="SimSun"/>
        </w:rPr>
        <w:t xml:space="preserve">第二，需求结构以大户型家庭租住为主。房源以90—148㎡中大户型为主体，区别于以单身或青年合租为主的典型保障性租赁住房产品，对应客群为有家庭居住需求、注重职住平衡与生活配套的租户群体。该类客群租期相对稳定，有利于项目长期运营。</w:t>
      </w:r>
    </w:p>
    <w:p>
      <w:pPr>
        <w:spacing w:before="0" w:after="0" w:line="312" w:lineRule="auto"/>
        <w:ind w:firstLine="480"/>
      </w:pPr>
      <w:r>
        <w:rPr>
          <w:color w:val="000000"/>
          <w:sz w:val="24"/>
          <w:szCs w:val="24"/>
          <w:rFonts w:ascii="SimSun" w:eastAsia="SimSun" w:hAnsi="SimSun" w:cs="SimSun"/>
        </w:rPr>
        <w:t xml:space="preserve">第三，租金定价具备竞争力。按市场租金9折出租的定价策略，较周边同类型市场化租赁住房具有一定价格优势，结合房源均位于成熟居住小区、改造后拎包入住的产品状态，对目标客群具备吸引力。但单套租金绝对水平较高，客群实际支付能力与租住意愿需通过市场调研验证。</w:t>
      </w:r>
    </w:p>
    <w:p>
      <w:pPr>
        <w:spacing w:before="0" w:after="0" w:line="312" w:lineRule="auto"/>
        <w:ind w:firstLine="480"/>
      </w:pPr>
      <w:r>
        <w:rPr>
          <w:color w:val="000000"/>
          <w:sz w:val="24"/>
          <w:szCs w:val="24"/>
          <w:rFonts w:ascii="SimSun" w:eastAsia="SimSun" w:hAnsi="SimSun" w:cs="SimSun"/>
        </w:rPr>
        <w:t xml:space="preserve">本节分析所依据的人口、就业及客群特征数据，部分来源于地图POI密度代理指标，部分需通过后续专项调研补充。建议在可行性研究阶段同步开展周边租赁市场调研与目标客群问卷访谈，重点获取各点位3公里范围内就业人口规模与结构、同类房源实际成交租金与出租率、目标客群收入与租金支付意愿等数据，以验证并细化上述需求判断</w:t>
      </w:r>
      <w:r>
        <w:rPr>
          <w:b/>
          <w:bCs/>
          <w:color w:val="C62828"/>
          <w:sz w:val="24"/>
          <w:szCs w:val="24"/>
          <w:rFonts w:ascii="SimSun" w:eastAsia="SimSun" w:hAnsi="SimSun" w:cs="SimSun"/>
        </w:rPr>
        <w:t xml:space="preserve">【待补：真实市场调研数据】</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资料待补提示</w:t>
      </w:r>
    </w:p>
    <w:p>
      <w:pPr>
        <w:spacing w:before="0" w:after="0" w:line="312" w:lineRule="auto"/>
        <w:ind w:firstLine="480"/>
      </w:pPr>
      <w:r>
        <w:rPr>
          <w:b/>
          <w:bCs/>
          <w:color w:val="C62828"/>
          <w:sz w:val="24"/>
          <w:szCs w:val="24"/>
          <w:rFonts w:ascii="SimSun" w:eastAsia="SimSun" w:hAnsi="SimSun" w:cs="SimSun"/>
        </w:rPr>
        <w:t xml:space="preserve">【待补：政府统计公报、原始发布机构、已审核资料库及真实市场调研；注明统计期、地域范围、计量单位、样本与来源；项目内部事实取已确认材料。】</w:t>
      </w:r>
    </w:p>
    <w:p>
      <w:pPr>
        <w:keepNext/>
        <w:spacing w:before="180" w:after="100"/>
        <w:jc w:val="center"/>
      </w:pPr>
      <w:r>
        <w:rPr>
          <w:b/>
          <w:bCs/>
          <w:color w:val="000000"/>
          <w:sz w:val="22"/>
          <w:szCs w:val="22"/>
          <w:rFonts w:ascii="SimSun" w:eastAsia="SimSun" w:hAnsi="SimSun" w:cs="SimSun"/>
        </w:rPr>
        <w:t xml:space="preserve">年龄学历收入分布表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701"/>
        <w:gridCol w:w="1701"/>
        <w:gridCol w:w="1701"/>
        <w:gridCol w:w="1701"/>
        <w:gridCol w:w="1702"/>
      </w:tblGrid>
      <w:tr>
        <w:trPr>
          <w:cantSplit/>
          <w:tblHeader/>
        </w:trPr>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地域范围</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维度</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分组</w:t>
            </w:r>
          </w:p>
        </w:tc>
        <w:tc>
          <w:tcPr>
            <w:tcW w:type="dxa" w:w="170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人数或比例</w:t>
            </w:r>
          </w:p>
        </w:tc>
        <w:tc>
          <w:tcPr>
            <w:tcW w:type="dxa" w:w="170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统计期及来源</w:t>
            </w: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街道</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3公里范围</w:t>
            </w: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年龄结构</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40—49岁</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年龄结构</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50岁及以上</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年龄结构</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20—29岁</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年龄结构</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30—39岁</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学历结构</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大专及以下</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学历结构</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本科</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学历结构</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硕士及以上</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收入水平</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月收入8,000元以下</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收入水平</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月收入8,000—15,000元</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收入水平</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月收入15,000—25,000元</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r>
        <w:trPr>
          <w:cantSplit/>
          <w:tblHeader w:val="false"/>
        </w:trPr>
        <w:tc>
          <w:tcPr>
            <w:tcW w:type="dxa" w:w="1701"/>
            <w:tcMar>
              <w:top w:type="dxa" w:w="42"/>
              <w:left w:type="dxa" w:w="55"/>
              <w:bottom w:type="dxa" w:w="42"/>
              <w:right w:type="dxa" w:w="55"/>
            </w:tcMar>
            <w:vAlign w:val="center"/>
          </w:tcPr>
          <w:p>
            <w:pPr>
              <w:spacing w:line="250" w:lineRule="auto"/>
              <w:jc w:val="center"/>
            </w:pP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收入水平</w:t>
            </w:r>
          </w:p>
        </w:tc>
        <w:tc>
          <w:tcPr>
            <w:tcW w:type="dxa" w:w="170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月收入25,000元以上</w:t>
            </w:r>
          </w:p>
        </w:tc>
        <w:tc>
          <w:tcPr>
            <w:tcW w:type="dxa" w:w="1701"/>
            <w:tcMar>
              <w:top w:type="dxa" w:w="42"/>
              <w:left w:type="dxa" w:w="55"/>
              <w:bottom w:type="dxa" w:w="42"/>
              <w:right w:type="dxa" w:w="55"/>
            </w:tcMar>
            <w:vAlign w:val="center"/>
          </w:tcPr>
          <w:p>
            <w:pPr>
              <w:spacing w:line="250" w:lineRule="auto"/>
              <w:jc w:val="center"/>
            </w:pPr>
          </w:p>
        </w:tc>
        <w:tc>
          <w:tcPr>
            <w:tcW w:type="dxa" w:w="1702"/>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同上</w:t>
            </w:r>
          </w:p>
        </w:tc>
      </w:tr>
    </w:tbl>
    <w:p>
      <w:pPr>
        <w:pStyle w:val="Heading2"/>
        <w:spacing w:before="280" w:after="160" w:line="312" w:lineRule="auto"/>
      </w:pPr>
      <w:bookmarkStart w:name="_tc2_3" w:id="1"/>
      <w:r>
        <w:rPr>
          <w:b/>
          <w:bCs/>
          <w:color w:val="000000"/>
          <w:sz w:val="28"/>
          <w:szCs w:val="28"/>
          <w:rFonts w:ascii="SimSun" w:eastAsia="SimSun" w:hAnsi="SimSun" w:cs="SimSun"/>
        </w:rPr>
        <w:t xml:space="preserve">3.4　需求分析：目标客群画像</w:t>
      </w:r>
      <w:bookmarkEnd w:id="1"/>
    </w:p>
    <w:p>
      <w:pPr>
        <w:spacing w:before="0" w:after="0" w:line="312" w:lineRule="auto"/>
        <w:ind w:firstLine="480"/>
      </w:pPr>
      <w:r>
        <w:rPr>
          <w:color w:val="000000"/>
          <w:sz w:val="24"/>
          <w:szCs w:val="24"/>
          <w:rFonts w:ascii="SimSun" w:eastAsia="SimSun" w:hAnsi="SimSun" w:cs="SimSun"/>
        </w:rPr>
        <w:t xml:space="preserve">本项目目标客群界定以保障性租赁住房政策导向、房源区位条件及周边就业人口结构为基本依据，结合改造后产品形态与租金水平进行分层刻画。项目51套房源分布于罗湖、福田两区6个成熟居住小区，改造后按市场租金九折对外出租，面向深圳市新市民、青年人及各类人才群体，属于市场主体组织配租的保障性租赁住房供给。</w:t>
      </w:r>
    </w:p>
    <w:p>
      <w:pPr>
        <w:pStyle w:val="Heading3"/>
        <w:keepNext/>
        <w:spacing w:before="160" w:after="80" w:line="360" w:lineRule="auto"/>
      </w:pPr>
      <w:r>
        <w:rPr>
          <w:b/>
          <w:bCs/>
          <w:color w:val="000000"/>
          <w:sz w:val="24"/>
          <w:szCs w:val="24"/>
          <w:rFonts w:ascii="SimSun" w:eastAsia="SimSun" w:hAnsi="SimSun" w:cs="SimSun"/>
        </w:rPr>
        <w:t xml:space="preserve">3.4.1 客群界定依据与口径</w:t>
      </w:r>
    </w:p>
    <w:p>
      <w:pPr>
        <w:spacing w:before="0" w:after="0" w:line="312" w:lineRule="auto"/>
        <w:ind w:firstLine="480"/>
      </w:pPr>
      <w:r>
        <w:rPr>
          <w:color w:val="000000"/>
          <w:sz w:val="24"/>
          <w:szCs w:val="24"/>
          <w:rFonts w:ascii="SimSun" w:eastAsia="SimSun" w:hAnsi="SimSun" w:cs="SimSun"/>
        </w:rPr>
        <w:t xml:space="preserve">依据《深圳市保障性租赁住房项目认定办法（试行）》（深建规〔2023〕4号），保障性租赁住房主要面向本市新市民、青年人等群体，以建筑面积不超过70平方米的小户型为主。本项目房源为既有住宅改造，单套建筑面积介于65.3—147.62平方米之间，部分房源面积超出保障性租赁住房通常的小户型标准，但项目已按政策要求申请认定，具体配租对象范围以主管部门审核意见为准</w:t>
      </w:r>
      <w:r>
        <w:rPr>
          <w:b/>
          <w:bCs/>
          <w:color w:val="C62828"/>
          <w:sz w:val="24"/>
          <w:szCs w:val="24"/>
          <w:rFonts w:ascii="SimSun" w:eastAsia="SimSun" w:hAnsi="SimSun" w:cs="SimSun"/>
        </w:rPr>
        <w:t xml:space="preserve">【待补：项目认定书及配租对象核准文件】</w:t>
      </w:r>
      <w:r>
        <w:rPr>
          <w:color w:val="000000"/>
          <w:sz w:val="24"/>
          <w:szCs w:val="24"/>
          <w:rFonts w:ascii="SimSun" w:eastAsia="SimSun" w:hAnsi="SimSun" w:cs="SimSun"/>
        </w:rPr>
        <w:t xml:space="preserve">。在客群画像分析中，按“符合保障性租赁住房准入条件、以居住需求为核心、具备稳定租金支付能力”三个维度筛选目标人群。</w:t>
      </w:r>
    </w:p>
    <w:p>
      <w:pPr>
        <w:pStyle w:val="Heading3"/>
        <w:keepNext/>
        <w:spacing w:before="160" w:after="80" w:line="360" w:lineRule="auto"/>
      </w:pPr>
      <w:r>
        <w:rPr>
          <w:b/>
          <w:bCs/>
          <w:color w:val="000000"/>
          <w:sz w:val="24"/>
          <w:szCs w:val="24"/>
          <w:rFonts w:ascii="SimSun" w:eastAsia="SimSun" w:hAnsi="SimSun" w:cs="SimSun"/>
        </w:rPr>
        <w:t xml:space="preserve">3.4.2 客群来源结构</w:t>
      </w:r>
    </w:p>
    <w:p>
      <w:pPr>
        <w:spacing w:before="0" w:after="0" w:line="312" w:lineRule="auto"/>
        <w:ind w:firstLine="480"/>
      </w:pPr>
      <w:r>
        <w:rPr>
          <w:color w:val="000000"/>
          <w:sz w:val="24"/>
          <w:szCs w:val="24"/>
          <w:rFonts w:ascii="SimSun" w:eastAsia="SimSun" w:hAnsi="SimSun" w:cs="SimSun"/>
        </w:rPr>
        <w:t xml:space="preserve">基于房源区位特征和周边就业人口分布，本项目目标客群来源可分为三个层次，具体如下表所示。</w:t>
      </w:r>
    </w:p>
    <w:p>
      <w:pPr>
        <w:spacing w:before="0" w:after="0" w:line="312" w:lineRule="auto"/>
        <w:ind w:firstLine="480"/>
      </w:pPr>
      <w:r>
        <w:rPr>
          <w:color w:val="000000"/>
          <w:sz w:val="24"/>
          <w:szCs w:val="24"/>
          <w:rFonts w:ascii="SimSun" w:eastAsia="SimSun" w:hAnsi="SimSun" w:cs="SimSun"/>
        </w:rPr>
        <w:t xml:space="preserve">详见第5.1节“目标客群定位表”。</w:t>
      </w:r>
    </w:p>
    <w:p>
      <w:pPr>
        <w:spacing w:before="0" w:after="0" w:line="312" w:lineRule="auto"/>
        <w:ind w:firstLine="480"/>
      </w:pPr>
      <w:r>
        <w:rPr>
          <w:color w:val="000000"/>
          <w:sz w:val="24"/>
          <w:szCs w:val="24"/>
          <w:rFonts w:ascii="SimSun" w:eastAsia="SimSun" w:hAnsi="SimSun" w:cs="SimSun"/>
        </w:rPr>
        <w:t xml:space="preserve">核心客群方面，金湖路6号房源体量占项目总面积的76%，是项目供给的主体。该点位3公里范围内住宅小区类POI 64个、企业及写字楼类POI 63个，岗位类POI占比约50%（口径说明：该比例为POI密度代理指标，非官方职住比，仅用于反映周边就业功能集聚程度）。周边就业岗位与居住功能基本均衡，具备形成稳定租赁需求的人口基础。轨道交通方面，泥岗站（约1km）、罗湖北站（约1.4km）等4个地铁站覆盖，公交站点分布于0.4—0.5km范围，对外通勤条件良好。</w:t>
      </w:r>
    </w:p>
    <w:p>
      <w:pPr>
        <w:spacing w:before="0" w:after="0" w:line="312" w:lineRule="auto"/>
        <w:ind w:firstLine="480"/>
      </w:pPr>
      <w:r>
        <w:rPr>
          <w:color w:val="000000"/>
          <w:sz w:val="24"/>
          <w:szCs w:val="24"/>
          <w:rFonts w:ascii="SimSun" w:eastAsia="SimSun" w:hAnsi="SimSun" w:cs="SimSun"/>
        </w:rPr>
        <w:t xml:space="preserve">重要客群方面，松园小区点位3公里内岗位类POI占比约67%，碧波花园点位约76%，愉天小区点位约100%（口径同上），显示上述片区就业功能集聚度较高，周边从业人员构成就近居住的潜在需求来源。其中愉天小区3公里内住宅小区类POI为0个，反映该片区以就业功能为主导，居住供给相对不足，周边就业人群存在外溢至邻近片区居住的现实需求，本项目愉天小区房源可作为该部分需求的补充承接。</w:t>
      </w:r>
    </w:p>
    <w:p>
      <w:pPr>
        <w:spacing w:before="0" w:after="0" w:line="312" w:lineRule="auto"/>
        <w:ind w:firstLine="480"/>
      </w:pPr>
      <w:r>
        <w:rPr>
          <w:color w:val="000000"/>
          <w:sz w:val="24"/>
          <w:szCs w:val="24"/>
          <w:rFonts w:ascii="SimSun" w:eastAsia="SimSun" w:hAnsi="SimSun" w:cs="SimSun"/>
        </w:rPr>
        <w:t xml:space="preserve">补充客群方面，福田上梅林梅兴苑点位3公里内岗位类POI占比约55%（口径同上），职住功能相对均衡，临近梅村地铁站（约0.1km），对外交通便利，可辐射福田中心区及罗湖方向通勤人群。</w:t>
      </w:r>
    </w:p>
    <w:p>
      <w:pPr>
        <w:pStyle w:val="Heading3"/>
        <w:keepNext/>
        <w:spacing w:before="160" w:after="80" w:line="360" w:lineRule="auto"/>
      </w:pPr>
      <w:r>
        <w:rPr>
          <w:b/>
          <w:bCs/>
          <w:color w:val="000000"/>
          <w:sz w:val="24"/>
          <w:szCs w:val="24"/>
          <w:rFonts w:ascii="SimSun" w:eastAsia="SimSun" w:hAnsi="SimSun" w:cs="SimSun"/>
        </w:rPr>
        <w:t xml:space="preserve">3.4.3 客群画像分层描述</w:t>
      </w:r>
    </w:p>
    <w:p>
      <w:pPr>
        <w:spacing w:before="0" w:after="0" w:line="312" w:lineRule="auto"/>
        <w:ind w:firstLine="480"/>
      </w:pPr>
      <w:r>
        <w:rPr>
          <w:color w:val="000000"/>
          <w:sz w:val="24"/>
          <w:szCs w:val="24"/>
          <w:rFonts w:ascii="SimSun" w:eastAsia="SimSun" w:hAnsi="SimSun" w:cs="SimSun"/>
        </w:rPr>
        <w:t xml:space="preserve">结合房源面积结构、改造后租金水平及周边就业人口特征，将目标客群进一步细分为三类典型画像。</w:t>
      </w:r>
    </w:p>
    <w:p>
      <w:pPr>
        <w:spacing w:before="0" w:after="0" w:line="312" w:lineRule="auto"/>
        <w:ind w:firstLine="480"/>
      </w:pPr>
      <w:r>
        <w:rPr>
          <w:color w:val="000000"/>
          <w:sz w:val="24"/>
          <w:szCs w:val="24"/>
          <w:rFonts w:ascii="SimSun" w:eastAsia="SimSun" w:hAnsi="SimSun" w:cs="SimSun"/>
        </w:rPr>
        <w:t xml:space="preserve">第一类为周边企事业单位青年职工及基层管理人员。年龄集中于25—35岁，多为在罗湖、福田核心区企业、写字楼、产业园区就业的单身青年或新婚家庭，收入处于中等水平，对通勤时间敏感，倾向选择距工作地3公里范围内、可实现拎包入住的品质住房。该类客群对应本项目中小面积房源（65—90平方米两至三房），可独立承租或合租方式居住。</w:t>
      </w:r>
    </w:p>
    <w:p>
      <w:pPr>
        <w:spacing w:before="0" w:after="0" w:line="312" w:lineRule="auto"/>
        <w:ind w:firstLine="480"/>
      </w:pPr>
      <w:r>
        <w:rPr>
          <w:color w:val="000000"/>
          <w:sz w:val="24"/>
          <w:szCs w:val="24"/>
          <w:rFonts w:ascii="SimSun" w:eastAsia="SimSun" w:hAnsi="SimSun" w:cs="SimSun"/>
        </w:rPr>
        <w:t xml:space="preserve">第二类为机关事业单位工作人员及关联服务人员。本项目房源原为市税务局存量住宅，部分房源位于机关单位集中区域（如红桂路周边分布深圳市红桂中学、红桂小学等教育设施及医疗机构），周边存在较为稳定的公共服务从业人群。该类客群收入稳定、租期较长，注重居住安全性和社区环境，对改造后房屋品质和家私家电配置有明确要求。</w:t>
      </w:r>
    </w:p>
    <w:p>
      <w:pPr>
        <w:spacing w:before="0" w:after="0" w:line="312" w:lineRule="auto"/>
        <w:ind w:firstLine="480"/>
      </w:pPr>
      <w:r>
        <w:rPr>
          <w:color w:val="000000"/>
          <w:sz w:val="24"/>
          <w:szCs w:val="24"/>
          <w:rFonts w:ascii="SimSun" w:eastAsia="SimSun" w:hAnsi="SimSun" w:cs="SimSun"/>
        </w:rPr>
        <w:t xml:space="preserve">第三类为城市更新及重大项目建设涉及的阶段性租住需求人群。罗湖、福田核心区城市更新持续推进，部分片区存在阶段性住房过渡需求，该类客群租期一般为1—3年，对房屋状态和配套完整性要求较高，租金支付能力较强。</w:t>
      </w:r>
    </w:p>
    <w:p>
      <w:pPr>
        <w:pStyle w:val="Heading3"/>
        <w:keepNext/>
        <w:spacing w:before="160" w:after="80" w:line="360" w:lineRule="auto"/>
      </w:pPr>
      <w:r>
        <w:rPr>
          <w:b/>
          <w:bCs/>
          <w:color w:val="000000"/>
          <w:sz w:val="24"/>
          <w:szCs w:val="24"/>
          <w:rFonts w:ascii="SimSun" w:eastAsia="SimSun" w:hAnsi="SimSun" w:cs="SimSun"/>
        </w:rPr>
        <w:t xml:space="preserve">3.4.4 客群需求特征总结</w:t>
      </w:r>
    </w:p>
    <w:p>
      <w:pPr>
        <w:spacing w:before="0" w:after="0" w:line="312" w:lineRule="auto"/>
        <w:ind w:firstLine="480"/>
      </w:pPr>
      <w:r>
        <w:rPr>
          <w:color w:val="000000"/>
          <w:sz w:val="24"/>
          <w:szCs w:val="24"/>
          <w:rFonts w:ascii="SimSun" w:eastAsia="SimSun" w:hAnsi="SimSun" w:cs="SimSun"/>
        </w:rPr>
        <w:t xml:space="preserve">从需求结构看，本项目目标客群呈现以下特征：一是以居住需求为绝对核心，不涉及商业经营或办公用途；二是对房屋品质要求明确，普遍期望“拎包入住”，对室内翻新程度、家具家电配置水平有较高敏感度；三是租金承受能力与市场租金水平基本匹配，项目按市场租金九折定价形成的价格优势构成吸引客群的重要因素；四是租期预期以中长期为主（1年以上），与项目12年合作运营周期相匹配，有利于形成稳定的租赁关系、降低空置风险。</w:t>
      </w:r>
    </w:p>
    <w:p>
      <w:pPr>
        <w:spacing w:before="0" w:after="0" w:line="312" w:lineRule="auto"/>
        <w:ind w:firstLine="480"/>
      </w:pPr>
      <w:r>
        <w:rPr>
          <w:color w:val="000000"/>
          <w:sz w:val="24"/>
          <w:szCs w:val="24"/>
          <w:rFonts w:ascii="SimSun" w:eastAsia="SimSun" w:hAnsi="SimSun" w:cs="SimSun"/>
        </w:rPr>
        <w:t xml:space="preserve">上述客群画像的量化验证（各年龄段占比、收入分布、家庭结构比例等）需依托专项市场调研数据予以支撑，建议在可行性研究阶段补充开展意向租户问卷调研，以进一步校准客群定位和产品配置方案</w:t>
      </w:r>
      <w:r>
        <w:rPr>
          <w:b/>
          <w:bCs/>
          <w:color w:val="C62828"/>
          <w:sz w:val="24"/>
          <w:szCs w:val="24"/>
          <w:rFonts w:ascii="SimSun" w:eastAsia="SimSun" w:hAnsi="SimSun" w:cs="SimSun"/>
        </w:rPr>
        <w:t xml:space="preserve">【待补：专项市场调研报告】</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资料待补提示</w:t>
      </w:r>
    </w:p>
    <w:p>
      <w:pPr>
        <w:spacing w:before="0" w:after="0" w:line="312" w:lineRule="auto"/>
        <w:ind w:firstLine="480"/>
      </w:pPr>
      <w:r>
        <w:rPr>
          <w:b/>
          <w:bCs/>
          <w:color w:val="C62828"/>
          <w:sz w:val="24"/>
          <w:szCs w:val="24"/>
          <w:rFonts w:ascii="SimSun" w:eastAsia="SimSun" w:hAnsi="SimSun" w:cs="SimSun"/>
        </w:rPr>
        <w:t xml:space="preserve">【待补：政府统计公报、原始发布机构、已审核资料库及真实市场调研；注明统计期、地域范围、计量单位、样本与来源；项目内部事实取已确认材料。】</w:t>
      </w:r>
    </w:p>
    <w:p>
      <w:pPr>
        <w:keepNext/>
        <w:spacing w:before="180" w:after="100"/>
        <w:jc w:val="center"/>
      </w:pPr>
      <w:r>
        <w:rPr>
          <w:b/>
          <w:bCs/>
          <w:color w:val="000000"/>
          <w:sz w:val="22"/>
          <w:szCs w:val="22"/>
          <w:rFonts w:ascii="SimSun" w:eastAsia="SimSun" w:hAnsi="SimSun" w:cs="SimSun"/>
        </w:rPr>
        <w:t xml:space="preserve">客群来源表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884"/>
        <w:gridCol w:w="1525"/>
        <w:gridCol w:w="3206"/>
        <w:gridCol w:w="2891"/>
      </w:tblGrid>
      <w:tr>
        <w:trPr>
          <w:cantSplit/>
          <w:tblHeader/>
        </w:trPr>
        <w:tc>
          <w:tcPr>
            <w:tcW w:type="dxa" w:w="884"/>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产业园／写字楼名称</w:t>
            </w:r>
          </w:p>
        </w:tc>
        <w:tc>
          <w:tcPr>
            <w:tcW w:type="dxa" w:w="152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估算工作人口</w:t>
            </w:r>
          </w:p>
        </w:tc>
        <w:tc>
          <w:tcPr>
            <w:tcW w:type="dxa" w:w="3206"/>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工作人群厚度与特点</w:t>
            </w:r>
          </w:p>
        </w:tc>
        <w:tc>
          <w:tcPr>
            <w:tcW w:type="dxa" w:w="289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租住需求分析</w:t>
            </w: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r>
        <w:trPr>
          <w:cantSplit/>
          <w:tblHeader w:val="false"/>
        </w:trPr>
        <w:tc>
          <w:tcPr>
            <w:tcW w:type="dxa" w:w="884"/>
            <w:tcMar>
              <w:top w:type="dxa" w:w="42"/>
              <w:left w:type="dxa" w:w="55"/>
              <w:bottom w:type="dxa" w:w="42"/>
              <w:right w:type="dxa" w:w="55"/>
            </w:tcMar>
            <w:vAlign w:val="center"/>
          </w:tcPr>
          <w:p>
            <w:pPr>
              <w:spacing w:line="250" w:lineRule="auto"/>
              <w:jc w:val="center"/>
            </w:pPr>
          </w:p>
        </w:tc>
        <w:tc>
          <w:tcPr>
            <w:tcW w:type="dxa" w:w="1525"/>
            <w:tcMar>
              <w:top w:type="dxa" w:w="42"/>
              <w:left w:type="dxa" w:w="55"/>
              <w:bottom w:type="dxa" w:w="42"/>
              <w:right w:type="dxa" w:w="55"/>
            </w:tcMar>
            <w:vAlign w:val="center"/>
          </w:tcPr>
          <w:p>
            <w:pPr>
              <w:spacing w:line="250" w:lineRule="auto"/>
              <w:jc w:val="center"/>
            </w:pPr>
          </w:p>
        </w:tc>
        <w:tc>
          <w:tcPr>
            <w:tcW w:type="dxa" w:w="3206"/>
            <w:tcMar>
              <w:top w:type="dxa" w:w="42"/>
              <w:left w:type="dxa" w:w="55"/>
              <w:bottom w:type="dxa" w:w="42"/>
              <w:right w:type="dxa" w:w="55"/>
            </w:tcMar>
            <w:vAlign w:val="center"/>
          </w:tcPr>
          <w:p>
            <w:pPr>
              <w:spacing w:line="250" w:lineRule="auto"/>
              <w:jc w:val="center"/>
            </w:pPr>
          </w:p>
        </w:tc>
        <w:tc>
          <w:tcPr>
            <w:tcW w:type="dxa" w:w="2891"/>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2_4" w:id="1"/>
      <w:r>
        <w:rPr>
          <w:b/>
          <w:bCs/>
          <w:color w:val="000000"/>
          <w:sz w:val="28"/>
          <w:szCs w:val="28"/>
          <w:rFonts w:ascii="SimSun" w:eastAsia="SimSun" w:hAnsi="SimSun" w:cs="SimSun"/>
        </w:rPr>
        <w:t xml:space="preserve">3.5　供给分析：住房租赁供给分析</w:t>
      </w:r>
      <w:bookmarkEnd w:id="1"/>
    </w:p>
    <w:p>
      <w:pPr>
        <w:spacing w:before="0" w:after="0" w:line="312" w:lineRule="auto"/>
        <w:ind w:firstLine="480"/>
      </w:pPr>
      <w:r>
        <w:rPr>
          <w:color w:val="000000"/>
          <w:sz w:val="24"/>
          <w:szCs w:val="24"/>
          <w:rFonts w:ascii="SimSun" w:eastAsia="SimSun" w:hAnsi="SimSun" w:cs="SimSun"/>
        </w:rPr>
        <w:t xml:space="preserve">本子节聚焦项目周边住房租赁市场的供给总量、结构特征与竞争格局，为后续需求判断和租金定价提供供给端依据。分析范围为项目房源分布的罗湖、福田两区及各自3公里重点板块，数据来源为地图抓取的市场调研及公开信息，统计时点为2026年9月。</w:t>
      </w:r>
    </w:p>
    <w:p>
      <w:pPr>
        <w:pStyle w:val="Heading3"/>
        <w:keepNext/>
        <w:spacing w:before="160" w:after="80" w:line="360" w:lineRule="auto"/>
      </w:pPr>
      <w:r>
        <w:rPr>
          <w:b/>
          <w:bCs/>
          <w:color w:val="000000"/>
          <w:sz w:val="24"/>
          <w:szCs w:val="24"/>
          <w:rFonts w:ascii="SimSun" w:eastAsia="SimSun" w:hAnsi="SimSun" w:cs="SimSun"/>
        </w:rPr>
        <w:t xml:space="preserve">3.5.1 供给总量与分布特征</w:t>
      </w:r>
    </w:p>
    <w:p>
      <w:pPr>
        <w:spacing w:before="0" w:after="0" w:line="312" w:lineRule="auto"/>
        <w:ind w:firstLine="480"/>
      </w:pPr>
      <w:r>
        <w:rPr>
          <w:color w:val="000000"/>
          <w:sz w:val="24"/>
          <w:szCs w:val="24"/>
          <w:rFonts w:ascii="SimSun" w:eastAsia="SimSun" w:hAnsi="SimSun" w:cs="SimSun"/>
        </w:rPr>
        <w:t xml:space="preserve">本项目51套房源分布于罗湖区银湖半山、宝泉庄、松园小区、碧波花园、愉天小区及福田区梅兴苑等6个居住小区，总建筑面积约5,621.15平方米。从供给端看，各点位均处于所在行政区居住成熟度较高的板块，周边存量住宅小区密集，住房租赁供给以个人散租和中小型公寓为主，集中式品牌长租公寓在部分点位周边有一定分布，但整体供给形态较为分散。</w:t>
      </w:r>
    </w:p>
    <w:p>
      <w:pPr>
        <w:spacing w:before="0" w:after="0" w:line="312" w:lineRule="auto"/>
        <w:ind w:firstLine="480"/>
      </w:pPr>
      <w:r>
        <w:rPr>
          <w:color w:val="000000"/>
          <w:sz w:val="24"/>
          <w:szCs w:val="24"/>
          <w:rFonts w:ascii="SimSun" w:eastAsia="SimSun" w:hAnsi="SimSun" w:cs="SimSun"/>
        </w:rPr>
        <w:t xml:space="preserve">从区域供给结构看，罗湖区作为深圳早期建成区，存量住宅楼龄普遍较长，户型以两房至四房为主，租赁供给中老旧小区个人房源占比偏高；福田区上梅林片区城市更新推进较快，租赁房源品质相对较新，供给层次更为多元。本项目房源以两房及以上户型为主，改造后按套出租，在供给端与周边以小户型为主的公寓产品形成一定区隔。</w:t>
      </w:r>
    </w:p>
    <w:p>
      <w:pPr>
        <w:pStyle w:val="Heading3"/>
        <w:keepNext/>
        <w:spacing w:before="160" w:after="80" w:line="360" w:lineRule="auto"/>
      </w:pPr>
      <w:r>
        <w:rPr>
          <w:b/>
          <w:bCs/>
          <w:color w:val="000000"/>
          <w:sz w:val="24"/>
          <w:szCs w:val="24"/>
          <w:rFonts w:ascii="SimSun" w:eastAsia="SimSun" w:hAnsi="SimSun" w:cs="SimSun"/>
        </w:rPr>
        <w:t xml:space="preserve">3.5.2 周边竞品供给情况</w:t>
      </w:r>
    </w:p>
    <w:p>
      <w:pPr>
        <w:spacing w:before="0" w:after="0" w:line="312" w:lineRule="auto"/>
        <w:ind w:firstLine="480"/>
      </w:pPr>
      <w:r>
        <w:rPr>
          <w:color w:val="000000"/>
          <w:sz w:val="24"/>
          <w:szCs w:val="24"/>
          <w:rFonts w:ascii="SimSun" w:eastAsia="SimSun" w:hAnsi="SimSun" w:cs="SimSun"/>
        </w:rPr>
        <w:t xml:space="preserve">根据市场调研，项目主要点位（罗湖区金湖路6号）周边1公里范围内识别竞品公寓8家，分别为易间公寓、华利公寓、禾寓青年公寓、中海友里公寓（深圳罗湖店）、云涛公寓、H公寓·华天分店、红日子雅居公寓、Nikon公寓，距离项目0.6至1.0公里不等。上述竞品多为中小型公寓运营商，产品形态以集中式或分散式包租为主，租金及出租率数据尚待人工调研核实。项目周边房源情况汇总如下：</w:t>
      </w:r>
    </w:p>
    <w:p>
      <w:pPr>
        <w:spacing w:before="0" w:after="0" w:line="312" w:lineRule="auto"/>
        <w:ind w:firstLine="480"/>
      </w:pPr>
      <w:r>
        <w:rPr>
          <w:color w:val="000000"/>
          <w:sz w:val="24"/>
          <w:szCs w:val="24"/>
          <w:rFonts w:ascii="SimSun" w:eastAsia="SimSun" w:hAnsi="SimSun" w:cs="SimSun"/>
        </w:rPr>
        <w:t xml:space="preserve">注：统计范围为各点位周边1公里，竞品名单来源于地图抓取，租金与出租率须通过实地调研补充；愉天小区点位周边竞品数据暂缺。</w:t>
      </w:r>
    </w:p>
    <w:p>
      <w:pPr>
        <w:spacing w:before="0" w:after="0" w:line="312" w:lineRule="auto"/>
        <w:ind w:firstLine="480"/>
      </w:pPr>
      <w:r>
        <w:rPr>
          <w:color w:val="000000"/>
          <w:sz w:val="24"/>
          <w:szCs w:val="24"/>
          <w:rFonts w:ascii="SimSun" w:eastAsia="SimSun" w:hAnsi="SimSun" w:cs="SimSun"/>
        </w:rPr>
        <w:t xml:space="preserve">各点位周边竞品供给存在一定差异：金湖路6号点位周边公寓分布最为密集，且包含中海友里等品牌连锁产品，反映该板块租赁需求活跃度较高；松园小区、红桂路1008号点位周边以中小型公寓为主，部分为酒店式公寓；碧波花园点位周边公寓数量相对有限，供给以住宅小区散租为主；愉天小区点位周边竞品数据暂缺，需补充调研。</w:t>
      </w:r>
    </w:p>
    <w:p>
      <w:pPr>
        <w:pStyle w:val="Heading3"/>
        <w:keepNext/>
        <w:spacing w:before="160" w:after="80" w:line="360" w:lineRule="auto"/>
      </w:pPr>
      <w:r>
        <w:rPr>
          <w:b/>
          <w:bCs/>
          <w:color w:val="000000"/>
          <w:sz w:val="24"/>
          <w:szCs w:val="24"/>
          <w:rFonts w:ascii="SimSun" w:eastAsia="SimSun" w:hAnsi="SimSun" w:cs="SimSun"/>
        </w:rPr>
        <w:t xml:space="preserve">3.5.3 3公里范围内房源供给</w:t>
      </w:r>
    </w:p>
    <w:p>
      <w:pPr>
        <w:spacing w:before="0" w:after="0" w:line="312" w:lineRule="auto"/>
        <w:ind w:firstLine="480"/>
      </w:pPr>
      <w:r>
        <w:rPr>
          <w:color w:val="000000"/>
          <w:sz w:val="24"/>
          <w:szCs w:val="24"/>
          <w:rFonts w:ascii="SimSun" w:eastAsia="SimSun" w:hAnsi="SimSun" w:cs="SimSun"/>
        </w:rPr>
        <w:t xml:space="preserve">将分析范围扩展至各点位3公里，供给总量显著增加，且供给结构呈现与1公里范围相似的特征：以住宅小区个人散租为基本盘，叠加一定数量的品牌及非品牌公寓。以金湖路6号点位为例，3公里内住宅小区类POI 64个，企业及写字楼类POI 63个，反映该范围居住与就业功能混合度较高，租赁需求来源较为多元。各点位3公里内房源明细如下：</w:t>
      </w:r>
    </w:p>
    <w:p>
      <w:pPr>
        <w:keepNext/>
        <w:spacing w:before="120" w:after="80"/>
        <w:jc w:val="center"/>
      </w:pPr>
      <w:r>
        <w:rPr>
          <w:b/>
          <w:bCs/>
          <w:color w:val="000000"/>
          <w:sz w:val="24"/>
          <w:szCs w:val="24"/>
          <w:rFonts w:ascii="SimSun" w:eastAsia="SimSun" w:hAnsi="SimSun" w:cs="SimSun"/>
        </w:rPr>
        <w:t xml:space="preserve">项目3公里内住宅与办公POI分布表</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1"/>
        <w:gridCol w:w="1701"/>
        <w:gridCol w:w="1701"/>
        <w:gridCol w:w="1701"/>
        <w:gridCol w:w="1702"/>
      </w:tblGrid>
      <w:tr>
        <w:trPr>
          <w:tblHeader/>
        </w:trPr>
        <w:tc>
          <w:tcPr>
            <w:tcW w:type="dxa" w:w="1701"/>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项目</w:t>
            </w:r>
          </w:p>
        </w:tc>
        <w:tc>
          <w:tcPr>
            <w:tcW w:type="dxa" w:w="1701"/>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3km内住宅小区POI（个）</w:t>
            </w:r>
          </w:p>
        </w:tc>
        <w:tc>
          <w:tcPr>
            <w:tcW w:type="dxa" w:w="1701"/>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3km内企业/写字楼POI（个）</w:t>
            </w:r>
          </w:p>
        </w:tc>
        <w:tc>
          <w:tcPr>
            <w:tcW w:type="dxa" w:w="1701"/>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主要竞品类型</w:t>
            </w:r>
          </w:p>
        </w:tc>
        <w:tc>
          <w:tcPr>
            <w:tcW w:type="dxa" w:w="1702"/>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数据来源</w:t>
            </w:r>
          </w:p>
        </w:tc>
      </w:tr>
      <w:tr>
        <w:trPr>
          <w:tblHeader w:val="false"/>
        </w:trPr>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金湖路6号点位</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64</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63</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品牌公寓、中小型公寓</w:t>
            </w:r>
          </w:p>
        </w:tc>
        <w:tc>
          <w:tcPr>
            <w:tcW w:type="dxa" w:w="1702"/>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地图抓取</w:t>
            </w:r>
          </w:p>
        </w:tc>
      </w:tr>
      <w:tr>
        <w:trPr>
          <w:tblHeader w:val="false"/>
        </w:trPr>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红桂路1008号点位</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37</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中小型公寓</w:t>
            </w:r>
          </w:p>
        </w:tc>
        <w:tc>
          <w:tcPr>
            <w:tcW w:type="dxa" w:w="1702"/>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地图抓取</w:t>
            </w:r>
          </w:p>
        </w:tc>
      </w:tr>
      <w:tr>
        <w:trPr>
          <w:tblHeader w:val="false"/>
        </w:trPr>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松园小区点位</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46</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92</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中小型公寓、酒店式公寓</w:t>
            </w:r>
          </w:p>
        </w:tc>
        <w:tc>
          <w:tcPr>
            <w:tcW w:type="dxa" w:w="1702"/>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地图抓取</w:t>
            </w:r>
          </w:p>
        </w:tc>
      </w:tr>
      <w:tr>
        <w:trPr>
          <w:tblHeader w:val="false"/>
        </w:trPr>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碧波花园点位</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22</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69</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中小型公寓</w:t>
            </w:r>
          </w:p>
        </w:tc>
        <w:tc>
          <w:tcPr>
            <w:tcW w:type="dxa" w:w="1702"/>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地图抓取</w:t>
            </w:r>
          </w:p>
        </w:tc>
      </w:tr>
      <w:tr>
        <w:trPr>
          <w:tblHeader w:val="false"/>
        </w:trPr>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愉天小区点位</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77</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待补</w:t>
            </w:r>
          </w:p>
        </w:tc>
        <w:tc>
          <w:tcPr>
            <w:tcW w:type="dxa" w:w="1702"/>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地图抓取</w:t>
            </w:r>
          </w:p>
        </w:tc>
      </w:tr>
      <w:tr>
        <w:trPr>
          <w:tblHeader w:val="false"/>
        </w:trPr>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梅兴苑点位</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66</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82</w:t>
            </w:r>
          </w:p>
        </w:tc>
        <w:tc>
          <w:tcPr>
            <w:tcW w:type="dxa" w:w="170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中小型公寓</w:t>
            </w:r>
          </w:p>
        </w:tc>
        <w:tc>
          <w:tcPr>
            <w:tcW w:type="dxa" w:w="1702"/>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地图抓取</w:t>
            </w:r>
          </w:p>
        </w:tc>
      </w:tr>
    </w:tbl>
    <w:p>
      <w:pPr>
        <w:spacing w:before="0" w:after="0" w:line="312" w:lineRule="auto"/>
        <w:ind w:firstLine="480"/>
      </w:pPr>
      <w:r>
        <w:rPr>
          <w:color w:val="000000"/>
          <w:sz w:val="24"/>
          <w:szCs w:val="24"/>
          <w:rFonts w:ascii="SimSun" w:eastAsia="SimSun" w:hAnsi="SimSun" w:cs="SimSun"/>
        </w:rPr>
        <w:t xml:space="preserve">注：POI为地图兴趣点数量，仅反映设施分布密度，不等同于实际房源套数或人口规模；愉天小区点位住宅小区类POI显示为0，与该项目位于成熟居住区的实际情况不符，疑为地图数据标注不全，须通过实地踏勘核实。</w:t>
      </w:r>
    </w:p>
    <w:p>
      <w:pPr>
        <w:pStyle w:val="Heading3"/>
        <w:keepNext/>
        <w:spacing w:before="160" w:after="80" w:line="360" w:lineRule="auto"/>
      </w:pPr>
      <w:r>
        <w:rPr>
          <w:b/>
          <w:bCs/>
          <w:color w:val="000000"/>
          <w:sz w:val="24"/>
          <w:szCs w:val="24"/>
          <w:rFonts w:ascii="SimSun" w:eastAsia="SimSun" w:hAnsi="SimSun" w:cs="SimSun"/>
        </w:rPr>
        <w:t xml:space="preserve">3.5.4 供给端竞争格局判断</w:t>
      </w:r>
    </w:p>
    <w:p>
      <w:pPr>
        <w:spacing w:before="0" w:after="0" w:line="312" w:lineRule="auto"/>
        <w:ind w:firstLine="480"/>
      </w:pPr>
      <w:r>
        <w:rPr>
          <w:color w:val="000000"/>
          <w:sz w:val="24"/>
          <w:szCs w:val="24"/>
          <w:rFonts w:ascii="SimSun" w:eastAsia="SimSun" w:hAnsi="SimSun" w:cs="SimSun"/>
        </w:rPr>
        <w:t xml:space="preserve">综合上述供给信息，可形成以下判断：</w:t>
      </w:r>
    </w:p>
    <w:p>
      <w:pPr>
        <w:spacing w:before="0" w:after="0" w:line="312" w:lineRule="auto"/>
        <w:ind w:firstLine="480"/>
      </w:pPr>
      <w:r>
        <w:rPr>
          <w:color w:val="000000"/>
          <w:sz w:val="24"/>
          <w:szCs w:val="24"/>
          <w:rFonts w:ascii="SimSun" w:eastAsia="SimSun" w:hAnsi="SimSun" w:cs="SimSun"/>
        </w:rPr>
        <w:t xml:space="preserve">其一，本项目各点位周边住房租赁供给均以存量住宅散租为主渠道，公寓类产品为补充，供给总量充足但品质分化明显。老旧小区个人房源虽租金相对较低，但装修标准、室内配置和租务管理普遍薄弱，为本项目以翻新改造提升产品品质后入市提供了差异化空间。</w:t>
      </w:r>
    </w:p>
    <w:p>
      <w:pPr>
        <w:spacing w:before="0" w:after="0" w:line="312" w:lineRule="auto"/>
        <w:ind w:firstLine="480"/>
      </w:pPr>
      <w:r>
        <w:rPr>
          <w:color w:val="000000"/>
          <w:sz w:val="24"/>
          <w:szCs w:val="24"/>
          <w:rFonts w:ascii="SimSun" w:eastAsia="SimSun" w:hAnsi="SimSun" w:cs="SimSun"/>
        </w:rPr>
        <w:t xml:space="preserve">其二，品牌化、标准化租赁产品在部分点位周边已形成一定供给（如金湖路6号点位周边的中海友里等），但其产品以小户型为主，与本项目两房及以上户型为主的供给形成错位竞争。本项目单套面积较大，面向家庭型租户或合租需求，与周边公寓的目标客群重叠度有限。</w:t>
      </w:r>
    </w:p>
    <w:p>
      <w:pPr>
        <w:spacing w:before="0" w:after="0" w:line="312" w:lineRule="auto"/>
        <w:ind w:firstLine="480"/>
      </w:pPr>
      <w:r>
        <w:rPr>
          <w:color w:val="000000"/>
          <w:sz w:val="24"/>
          <w:szCs w:val="24"/>
          <w:rFonts w:ascii="SimSun" w:eastAsia="SimSun" w:hAnsi="SimSun" w:cs="SimSun"/>
        </w:rPr>
        <w:t xml:space="preserve">其三，各点位周边供给密度存在差异。松园小区、梅兴苑等点位周边企业及写字楼POI数量较多，反映就业集聚度较高，租赁需求支撑较强；红桂路1008号点位周边企业类POI显示为0，与实地情况不符，须核实数据后再作判断。</w:t>
      </w:r>
    </w:p>
    <w:p>
      <w:pPr>
        <w:spacing w:before="0" w:after="0" w:line="312" w:lineRule="auto"/>
        <w:ind w:firstLine="480"/>
      </w:pPr>
      <w:r>
        <w:rPr>
          <w:color w:val="000000"/>
          <w:sz w:val="24"/>
          <w:szCs w:val="24"/>
          <w:rFonts w:ascii="SimSun" w:eastAsia="SimSun" w:hAnsi="SimSun" w:cs="SimSun"/>
        </w:rPr>
        <w:t xml:space="preserve">其四，从供给品质看，本项目房源均为住宅用途，改造后按保障性租赁住房标准运营，租金按市场租金九折确定，在供给端处于"品质高于一般散租、租金低于同品质市场房源"的竞争位置。但需注意，周边可比公寓的实际成交租金与出租率数据尚缺，当前仅能完成供给结构的定性判断，定量竞争分析须待人工调研数据补充后进行。</w:t>
      </w:r>
    </w:p>
    <w:p>
      <w:pPr>
        <w:spacing w:before="0" w:after="0" w:line="312" w:lineRule="auto"/>
        <w:ind w:firstLine="480"/>
      </w:pPr>
      <w:r>
        <w:rPr>
          <w:color w:val="000000"/>
          <w:sz w:val="24"/>
          <w:szCs w:val="24"/>
          <w:rFonts w:ascii="SimSun" w:eastAsia="SimSun" w:hAnsi="SimSun" w:cs="SimSun"/>
        </w:rPr>
        <w:t xml:space="preserve">本节供给分析所需的关键缺口为：各点位周边竞品公寓的实际租金、出租率、房间数量等运营数据，以及散租市场实际成交租金水平。上述数据须通过实地调研或中介访谈获取，核实后方可支撑后续租金定价与去化假设。</w:t>
      </w:r>
    </w:p>
    <w:p>
      <w:pPr>
        <w:spacing w:before="0" w:after="0" w:line="312" w:lineRule="auto"/>
        <w:ind w:firstLine="480"/>
      </w:pPr>
      <w:r>
        <w:rPr>
          <w:color w:val="000000"/>
          <w:sz w:val="24"/>
          <w:szCs w:val="24"/>
          <w:rFonts w:ascii="SimSun" w:eastAsia="SimSun" w:hAnsi="SimSun" w:cs="SimSun"/>
        </w:rPr>
        <w:t xml:space="preserve">资料待补提示</w:t>
      </w:r>
    </w:p>
    <w:p>
      <w:pPr>
        <w:spacing w:before="0" w:after="0" w:line="312" w:lineRule="auto"/>
        <w:ind w:firstLine="480"/>
      </w:pPr>
      <w:r>
        <w:rPr>
          <w:b/>
          <w:bCs/>
          <w:color w:val="C62828"/>
          <w:sz w:val="24"/>
          <w:szCs w:val="24"/>
          <w:rFonts w:ascii="SimSun" w:eastAsia="SimSun" w:hAnsi="SimSun" w:cs="SimSun"/>
        </w:rPr>
        <w:t xml:space="preserve">【待补：政府统计公报、原始发布机构、已审核资料库及真实市场调研；注明统计期、地域范围、计量单位、样本与来源；项目内部事实取已确认材料。】</w:t>
      </w:r>
    </w:p>
    <w:p>
      <w:pPr>
        <w:keepNext/>
        <w:spacing w:before="180" w:after="100"/>
        <w:jc w:val="center"/>
      </w:pPr>
      <w:r>
        <w:rPr>
          <w:b/>
          <w:bCs/>
          <w:color w:val="000000"/>
          <w:sz w:val="22"/>
          <w:szCs w:val="22"/>
          <w:rFonts w:ascii="SimSun" w:eastAsia="SimSun" w:hAnsi="SimSun" w:cs="SimSun"/>
        </w:rPr>
        <w:t xml:space="preserve">项目周边房源情况表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608"/>
        <w:gridCol w:w="1883"/>
        <w:gridCol w:w="1934"/>
        <w:gridCol w:w="1265"/>
        <w:gridCol w:w="1816"/>
      </w:tblGrid>
      <w:tr>
        <w:trPr>
          <w:cantSplit/>
          <w:tblHeader/>
        </w:trPr>
        <w:tc>
          <w:tcPr>
            <w:tcW w:type="dxa" w:w="1608"/>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板块</w:t>
            </w:r>
          </w:p>
        </w:tc>
        <w:tc>
          <w:tcPr>
            <w:tcW w:type="dxa" w:w="188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项目数量</w:t>
            </w:r>
          </w:p>
        </w:tc>
        <w:tc>
          <w:tcPr>
            <w:tcW w:type="dxa" w:w="1934"/>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房间数量（间）</w:t>
            </w:r>
          </w:p>
        </w:tc>
        <w:tc>
          <w:tcPr>
            <w:tcW w:type="dxa" w:w="126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出租率</w:t>
            </w:r>
          </w:p>
        </w:tc>
        <w:tc>
          <w:tcPr>
            <w:tcW w:type="dxa" w:w="1816"/>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平均租金（元/㎡/月）</w:t>
            </w:r>
          </w:p>
        </w:tc>
      </w:tr>
      <w:tr>
        <w:trPr>
          <w:cantSplit/>
          <w:tblHeader w:val="false"/>
        </w:trPr>
        <w:tc>
          <w:tcPr>
            <w:tcW w:type="dxa" w:w="1608"/>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金湖路6号点位（1km）</w:t>
            </w:r>
          </w:p>
        </w:tc>
        <w:tc>
          <w:tcPr>
            <w:tcW w:type="dxa" w:w="188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8</w:t>
            </w:r>
          </w:p>
        </w:tc>
        <w:tc>
          <w:tcPr>
            <w:tcW w:type="dxa" w:w="1934"/>
            <w:tcMar>
              <w:top w:type="dxa" w:w="42"/>
              <w:left w:type="dxa" w:w="55"/>
              <w:bottom w:type="dxa" w:w="42"/>
              <w:right w:type="dxa" w:w="55"/>
            </w:tcMar>
            <w:vAlign w:val="center"/>
          </w:tcPr>
          <w:p>
            <w:pPr>
              <w:spacing w:line="250" w:lineRule="auto"/>
              <w:jc w:val="center"/>
            </w:pPr>
          </w:p>
        </w:tc>
        <w:tc>
          <w:tcPr>
            <w:tcW w:type="dxa" w:w="1265"/>
            <w:tcMar>
              <w:top w:type="dxa" w:w="42"/>
              <w:left w:type="dxa" w:w="55"/>
              <w:bottom w:type="dxa" w:w="42"/>
              <w:right w:type="dxa" w:w="55"/>
            </w:tcMar>
            <w:vAlign w:val="center"/>
          </w:tcPr>
          <w:p>
            <w:pPr>
              <w:spacing w:line="250" w:lineRule="auto"/>
              <w:jc w:val="center"/>
            </w:pPr>
          </w:p>
        </w:tc>
        <w:tc>
          <w:tcPr>
            <w:tcW w:type="dxa" w:w="1816"/>
            <w:tcMar>
              <w:top w:type="dxa" w:w="42"/>
              <w:left w:type="dxa" w:w="55"/>
              <w:bottom w:type="dxa" w:w="42"/>
              <w:right w:type="dxa" w:w="55"/>
            </w:tcMar>
            <w:vAlign w:val="center"/>
          </w:tcPr>
          <w:p>
            <w:pPr>
              <w:spacing w:line="250" w:lineRule="auto"/>
              <w:jc w:val="center"/>
            </w:pPr>
          </w:p>
        </w:tc>
      </w:tr>
      <w:tr>
        <w:trPr>
          <w:cantSplit/>
          <w:tblHeader w:val="false"/>
        </w:trPr>
        <w:tc>
          <w:tcPr>
            <w:tcW w:type="dxa" w:w="1608"/>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红桂路1008号点位（1km）</w:t>
            </w:r>
          </w:p>
        </w:tc>
        <w:tc>
          <w:tcPr>
            <w:tcW w:type="dxa" w:w="188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6</w:t>
            </w:r>
          </w:p>
        </w:tc>
        <w:tc>
          <w:tcPr>
            <w:tcW w:type="dxa" w:w="1934"/>
            <w:tcMar>
              <w:top w:type="dxa" w:w="42"/>
              <w:left w:type="dxa" w:w="55"/>
              <w:bottom w:type="dxa" w:w="42"/>
              <w:right w:type="dxa" w:w="55"/>
            </w:tcMar>
            <w:vAlign w:val="center"/>
          </w:tcPr>
          <w:p>
            <w:pPr>
              <w:spacing w:line="250" w:lineRule="auto"/>
              <w:jc w:val="center"/>
            </w:pPr>
          </w:p>
        </w:tc>
        <w:tc>
          <w:tcPr>
            <w:tcW w:type="dxa" w:w="1265"/>
            <w:tcMar>
              <w:top w:type="dxa" w:w="42"/>
              <w:left w:type="dxa" w:w="55"/>
              <w:bottom w:type="dxa" w:w="42"/>
              <w:right w:type="dxa" w:w="55"/>
            </w:tcMar>
            <w:vAlign w:val="center"/>
          </w:tcPr>
          <w:p>
            <w:pPr>
              <w:spacing w:line="250" w:lineRule="auto"/>
              <w:jc w:val="center"/>
            </w:pPr>
          </w:p>
        </w:tc>
        <w:tc>
          <w:tcPr>
            <w:tcW w:type="dxa" w:w="1816"/>
            <w:tcMar>
              <w:top w:type="dxa" w:w="42"/>
              <w:left w:type="dxa" w:w="55"/>
              <w:bottom w:type="dxa" w:w="42"/>
              <w:right w:type="dxa" w:w="55"/>
            </w:tcMar>
            <w:vAlign w:val="center"/>
          </w:tcPr>
          <w:p>
            <w:pPr>
              <w:spacing w:line="250" w:lineRule="auto"/>
              <w:jc w:val="center"/>
            </w:pPr>
          </w:p>
        </w:tc>
      </w:tr>
      <w:tr>
        <w:trPr>
          <w:cantSplit/>
          <w:tblHeader w:val="false"/>
        </w:trPr>
        <w:tc>
          <w:tcPr>
            <w:tcW w:type="dxa" w:w="1608"/>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松园小区点位（1km）</w:t>
            </w:r>
          </w:p>
        </w:tc>
        <w:tc>
          <w:tcPr>
            <w:tcW w:type="dxa" w:w="188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6</w:t>
            </w:r>
          </w:p>
        </w:tc>
        <w:tc>
          <w:tcPr>
            <w:tcW w:type="dxa" w:w="1934"/>
            <w:tcMar>
              <w:top w:type="dxa" w:w="42"/>
              <w:left w:type="dxa" w:w="55"/>
              <w:bottom w:type="dxa" w:w="42"/>
              <w:right w:type="dxa" w:w="55"/>
            </w:tcMar>
            <w:vAlign w:val="center"/>
          </w:tcPr>
          <w:p>
            <w:pPr>
              <w:spacing w:line="250" w:lineRule="auto"/>
              <w:jc w:val="center"/>
            </w:pPr>
          </w:p>
        </w:tc>
        <w:tc>
          <w:tcPr>
            <w:tcW w:type="dxa" w:w="1265"/>
            <w:tcMar>
              <w:top w:type="dxa" w:w="42"/>
              <w:left w:type="dxa" w:w="55"/>
              <w:bottom w:type="dxa" w:w="42"/>
              <w:right w:type="dxa" w:w="55"/>
            </w:tcMar>
            <w:vAlign w:val="center"/>
          </w:tcPr>
          <w:p>
            <w:pPr>
              <w:spacing w:line="250" w:lineRule="auto"/>
              <w:jc w:val="center"/>
            </w:pPr>
          </w:p>
        </w:tc>
        <w:tc>
          <w:tcPr>
            <w:tcW w:type="dxa" w:w="1816"/>
            <w:tcMar>
              <w:top w:type="dxa" w:w="42"/>
              <w:left w:type="dxa" w:w="55"/>
              <w:bottom w:type="dxa" w:w="42"/>
              <w:right w:type="dxa" w:w="55"/>
            </w:tcMar>
            <w:vAlign w:val="center"/>
          </w:tcPr>
          <w:p>
            <w:pPr>
              <w:spacing w:line="250" w:lineRule="auto"/>
              <w:jc w:val="center"/>
            </w:pPr>
          </w:p>
        </w:tc>
      </w:tr>
      <w:tr>
        <w:trPr>
          <w:cantSplit/>
          <w:tblHeader w:val="false"/>
        </w:trPr>
        <w:tc>
          <w:tcPr>
            <w:tcW w:type="dxa" w:w="1608"/>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碧波花园点位（1km）</w:t>
            </w:r>
          </w:p>
        </w:tc>
        <w:tc>
          <w:tcPr>
            <w:tcW w:type="dxa" w:w="188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6</w:t>
            </w:r>
          </w:p>
        </w:tc>
        <w:tc>
          <w:tcPr>
            <w:tcW w:type="dxa" w:w="1934"/>
            <w:tcMar>
              <w:top w:type="dxa" w:w="42"/>
              <w:left w:type="dxa" w:w="55"/>
              <w:bottom w:type="dxa" w:w="42"/>
              <w:right w:type="dxa" w:w="55"/>
            </w:tcMar>
            <w:vAlign w:val="center"/>
          </w:tcPr>
          <w:p>
            <w:pPr>
              <w:spacing w:line="250" w:lineRule="auto"/>
              <w:jc w:val="center"/>
            </w:pPr>
          </w:p>
        </w:tc>
        <w:tc>
          <w:tcPr>
            <w:tcW w:type="dxa" w:w="1265"/>
            <w:tcMar>
              <w:top w:type="dxa" w:w="42"/>
              <w:left w:type="dxa" w:w="55"/>
              <w:bottom w:type="dxa" w:w="42"/>
              <w:right w:type="dxa" w:w="55"/>
            </w:tcMar>
            <w:vAlign w:val="center"/>
          </w:tcPr>
          <w:p>
            <w:pPr>
              <w:spacing w:line="250" w:lineRule="auto"/>
              <w:jc w:val="center"/>
            </w:pPr>
          </w:p>
        </w:tc>
        <w:tc>
          <w:tcPr>
            <w:tcW w:type="dxa" w:w="1816"/>
            <w:tcMar>
              <w:top w:type="dxa" w:w="42"/>
              <w:left w:type="dxa" w:w="55"/>
              <w:bottom w:type="dxa" w:w="42"/>
              <w:right w:type="dxa" w:w="55"/>
            </w:tcMar>
            <w:vAlign w:val="center"/>
          </w:tcPr>
          <w:p>
            <w:pPr>
              <w:spacing w:line="250" w:lineRule="auto"/>
              <w:jc w:val="center"/>
            </w:pPr>
          </w:p>
        </w:tc>
      </w:tr>
      <w:tr>
        <w:trPr>
          <w:cantSplit/>
          <w:tblHeader w:val="false"/>
        </w:trPr>
        <w:tc>
          <w:tcPr>
            <w:tcW w:type="dxa" w:w="1608"/>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愉天小区点位（1km）</w:t>
            </w:r>
          </w:p>
        </w:tc>
        <w:tc>
          <w:tcPr>
            <w:tcW w:type="dxa" w:w="1883"/>
            <w:tcMar>
              <w:top w:type="dxa" w:w="42"/>
              <w:left w:type="dxa" w:w="55"/>
              <w:bottom w:type="dxa" w:w="42"/>
              <w:right w:type="dxa" w:w="55"/>
            </w:tcMar>
            <w:vAlign w:val="center"/>
          </w:tcPr>
          <w:p>
            <w:pPr>
              <w:spacing w:line="250" w:lineRule="auto"/>
              <w:jc w:val="center"/>
            </w:pPr>
          </w:p>
        </w:tc>
        <w:tc>
          <w:tcPr>
            <w:tcW w:type="dxa" w:w="1934"/>
            <w:tcMar>
              <w:top w:type="dxa" w:w="42"/>
              <w:left w:type="dxa" w:w="55"/>
              <w:bottom w:type="dxa" w:w="42"/>
              <w:right w:type="dxa" w:w="55"/>
            </w:tcMar>
            <w:vAlign w:val="center"/>
          </w:tcPr>
          <w:p>
            <w:pPr>
              <w:spacing w:line="250" w:lineRule="auto"/>
              <w:jc w:val="center"/>
            </w:pPr>
          </w:p>
        </w:tc>
        <w:tc>
          <w:tcPr>
            <w:tcW w:type="dxa" w:w="1265"/>
            <w:tcMar>
              <w:top w:type="dxa" w:w="42"/>
              <w:left w:type="dxa" w:w="55"/>
              <w:bottom w:type="dxa" w:w="42"/>
              <w:right w:type="dxa" w:w="55"/>
            </w:tcMar>
            <w:vAlign w:val="center"/>
          </w:tcPr>
          <w:p>
            <w:pPr>
              <w:spacing w:line="250" w:lineRule="auto"/>
              <w:jc w:val="center"/>
            </w:pPr>
          </w:p>
        </w:tc>
        <w:tc>
          <w:tcPr>
            <w:tcW w:type="dxa" w:w="1816"/>
            <w:tcMar>
              <w:top w:type="dxa" w:w="42"/>
              <w:left w:type="dxa" w:w="55"/>
              <w:bottom w:type="dxa" w:w="42"/>
              <w:right w:type="dxa" w:w="55"/>
            </w:tcMar>
            <w:vAlign w:val="center"/>
          </w:tcPr>
          <w:p>
            <w:pPr>
              <w:spacing w:line="250" w:lineRule="auto"/>
              <w:jc w:val="center"/>
            </w:pPr>
          </w:p>
        </w:tc>
      </w:tr>
      <w:tr>
        <w:trPr>
          <w:cantSplit/>
          <w:tblHeader w:val="false"/>
        </w:trPr>
        <w:tc>
          <w:tcPr>
            <w:tcW w:type="dxa" w:w="1608"/>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梅兴苑点位（1km）</w:t>
            </w:r>
          </w:p>
        </w:tc>
        <w:tc>
          <w:tcPr>
            <w:tcW w:type="dxa" w:w="188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6</w:t>
            </w:r>
          </w:p>
        </w:tc>
        <w:tc>
          <w:tcPr>
            <w:tcW w:type="dxa" w:w="1934"/>
            <w:tcMar>
              <w:top w:type="dxa" w:w="42"/>
              <w:left w:type="dxa" w:w="55"/>
              <w:bottom w:type="dxa" w:w="42"/>
              <w:right w:type="dxa" w:w="55"/>
            </w:tcMar>
            <w:vAlign w:val="center"/>
          </w:tcPr>
          <w:p>
            <w:pPr>
              <w:spacing w:line="250" w:lineRule="auto"/>
              <w:jc w:val="center"/>
            </w:pPr>
          </w:p>
        </w:tc>
        <w:tc>
          <w:tcPr>
            <w:tcW w:type="dxa" w:w="1265"/>
            <w:tcMar>
              <w:top w:type="dxa" w:w="42"/>
              <w:left w:type="dxa" w:w="55"/>
              <w:bottom w:type="dxa" w:w="42"/>
              <w:right w:type="dxa" w:w="55"/>
            </w:tcMar>
            <w:vAlign w:val="center"/>
          </w:tcPr>
          <w:p>
            <w:pPr>
              <w:spacing w:line="250" w:lineRule="auto"/>
              <w:jc w:val="center"/>
            </w:pPr>
          </w:p>
        </w:tc>
        <w:tc>
          <w:tcPr>
            <w:tcW w:type="dxa" w:w="1816"/>
            <w:tcMar>
              <w:top w:type="dxa" w:w="42"/>
              <w:left w:type="dxa" w:w="55"/>
              <w:bottom w:type="dxa" w:w="42"/>
              <w:right w:type="dxa" w:w="55"/>
            </w:tcMar>
            <w:vAlign w:val="center"/>
          </w:tcPr>
          <w:p>
            <w:pPr>
              <w:spacing w:line="250" w:lineRule="auto"/>
              <w:jc w:val="center"/>
            </w:pPr>
          </w:p>
        </w:tc>
      </w:tr>
      <w:tr>
        <w:trPr>
          <w:cantSplit/>
          <w:tblHeader w:val="false"/>
        </w:trPr>
        <w:tc>
          <w:tcPr>
            <w:tcW w:type="dxa" w:w="1608"/>
            <w:tcMar>
              <w:top w:type="dxa" w:w="42"/>
              <w:left w:type="dxa" w:w="55"/>
              <w:bottom w:type="dxa" w:w="42"/>
              <w:right w:type="dxa" w:w="55"/>
            </w:tcMar>
            <w:vAlign w:val="center"/>
          </w:tcPr>
          <w:p>
            <w:pPr>
              <w:spacing w:line="250" w:lineRule="auto"/>
              <w:jc w:val="center"/>
            </w:pPr>
          </w:p>
        </w:tc>
        <w:tc>
          <w:tcPr>
            <w:tcW w:type="dxa" w:w="1883"/>
            <w:tcMar>
              <w:top w:type="dxa" w:w="42"/>
              <w:left w:type="dxa" w:w="55"/>
              <w:bottom w:type="dxa" w:w="42"/>
              <w:right w:type="dxa" w:w="55"/>
            </w:tcMar>
            <w:vAlign w:val="center"/>
          </w:tcPr>
          <w:p>
            <w:pPr>
              <w:spacing w:line="250" w:lineRule="auto"/>
              <w:jc w:val="center"/>
            </w:pPr>
          </w:p>
        </w:tc>
        <w:tc>
          <w:tcPr>
            <w:tcW w:type="dxa" w:w="1934"/>
            <w:tcMar>
              <w:top w:type="dxa" w:w="42"/>
              <w:left w:type="dxa" w:w="55"/>
              <w:bottom w:type="dxa" w:w="42"/>
              <w:right w:type="dxa" w:w="55"/>
            </w:tcMar>
            <w:vAlign w:val="center"/>
          </w:tcPr>
          <w:p>
            <w:pPr>
              <w:spacing w:line="250" w:lineRule="auto"/>
              <w:jc w:val="center"/>
            </w:pPr>
          </w:p>
        </w:tc>
        <w:tc>
          <w:tcPr>
            <w:tcW w:type="dxa" w:w="1265"/>
            <w:tcMar>
              <w:top w:type="dxa" w:w="42"/>
              <w:left w:type="dxa" w:w="55"/>
              <w:bottom w:type="dxa" w:w="42"/>
              <w:right w:type="dxa" w:w="55"/>
            </w:tcMar>
            <w:vAlign w:val="center"/>
          </w:tcPr>
          <w:p>
            <w:pPr>
              <w:spacing w:line="250" w:lineRule="auto"/>
              <w:jc w:val="center"/>
            </w:pPr>
          </w:p>
        </w:tc>
        <w:tc>
          <w:tcPr>
            <w:tcW w:type="dxa" w:w="1816"/>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项目3公里内房源情况表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086"/>
        <w:gridCol w:w="1272"/>
        <w:gridCol w:w="1303"/>
        <w:gridCol w:w="827"/>
        <w:gridCol w:w="2183"/>
        <w:gridCol w:w="1003"/>
        <w:gridCol w:w="832"/>
      </w:tblGrid>
      <w:tr>
        <w:trPr>
          <w:cantSplit/>
          <w:tblHeader/>
        </w:trPr>
        <w:tc>
          <w:tcPr>
            <w:tcW w:type="dxa" w:w="1086"/>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序号</w:t>
            </w:r>
          </w:p>
        </w:tc>
        <w:tc>
          <w:tcPr>
            <w:tcW w:type="dxa" w:w="127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w:t>
            </w:r>
          </w:p>
        </w:tc>
        <w:tc>
          <w:tcPr>
            <w:tcW w:type="dxa" w:w="130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房间数</w:t>
            </w:r>
          </w:p>
        </w:tc>
        <w:tc>
          <w:tcPr>
            <w:tcW w:type="dxa" w:w="82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距离</w:t>
            </w:r>
          </w:p>
        </w:tc>
        <w:tc>
          <w:tcPr>
            <w:tcW w:type="dxa" w:w="218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开间租金（元/月）</w:t>
            </w:r>
          </w:p>
        </w:tc>
        <w:tc>
          <w:tcPr>
            <w:tcW w:type="dxa" w:w="100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开业时间</w:t>
            </w:r>
          </w:p>
        </w:tc>
        <w:tc>
          <w:tcPr>
            <w:tcW w:type="dxa" w:w="83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出租率</w:t>
            </w:r>
          </w:p>
        </w:tc>
      </w:tr>
      <w:tr>
        <w:trPr>
          <w:cantSplit/>
          <w:tblHeader w:val="false"/>
        </w:trPr>
        <w:tc>
          <w:tcPr>
            <w:tcW w:type="dxa" w:w="1086"/>
            <w:tcMar>
              <w:top w:type="dxa" w:w="42"/>
              <w:left w:type="dxa" w:w="55"/>
              <w:bottom w:type="dxa" w:w="42"/>
              <w:right w:type="dxa" w:w="55"/>
            </w:tcMar>
            <w:vAlign w:val="center"/>
          </w:tcPr>
          <w:p>
            <w:pPr>
              <w:spacing w:line="250" w:lineRule="auto"/>
              <w:jc w:val="center"/>
            </w:pPr>
          </w:p>
        </w:tc>
        <w:tc>
          <w:tcPr>
            <w:tcW w:type="dxa" w:w="1272"/>
            <w:tcMar>
              <w:top w:type="dxa" w:w="42"/>
              <w:left w:type="dxa" w:w="55"/>
              <w:bottom w:type="dxa" w:w="42"/>
              <w:right w:type="dxa" w:w="55"/>
            </w:tcMar>
            <w:vAlign w:val="center"/>
          </w:tcPr>
          <w:p>
            <w:pPr>
              <w:spacing w:line="250" w:lineRule="auto"/>
              <w:jc w:val="center"/>
            </w:pPr>
          </w:p>
        </w:tc>
        <w:tc>
          <w:tcPr>
            <w:tcW w:type="dxa" w:w="1303"/>
            <w:tcMar>
              <w:top w:type="dxa" w:w="42"/>
              <w:left w:type="dxa" w:w="55"/>
              <w:bottom w:type="dxa" w:w="42"/>
              <w:right w:type="dxa" w:w="55"/>
            </w:tcMar>
            <w:vAlign w:val="center"/>
          </w:tcPr>
          <w:p>
            <w:pPr>
              <w:spacing w:line="250" w:lineRule="auto"/>
              <w:jc w:val="center"/>
            </w:pPr>
          </w:p>
        </w:tc>
        <w:tc>
          <w:tcPr>
            <w:tcW w:type="dxa" w:w="827"/>
            <w:tcMar>
              <w:top w:type="dxa" w:w="42"/>
              <w:left w:type="dxa" w:w="55"/>
              <w:bottom w:type="dxa" w:w="42"/>
              <w:right w:type="dxa" w:w="55"/>
            </w:tcMar>
            <w:vAlign w:val="center"/>
          </w:tcPr>
          <w:p>
            <w:pPr>
              <w:spacing w:line="250" w:lineRule="auto"/>
              <w:jc w:val="center"/>
            </w:pPr>
          </w:p>
        </w:tc>
        <w:tc>
          <w:tcPr>
            <w:tcW w:type="dxa" w:w="2183"/>
            <w:tcMar>
              <w:top w:type="dxa" w:w="42"/>
              <w:left w:type="dxa" w:w="55"/>
              <w:bottom w:type="dxa" w:w="42"/>
              <w:right w:type="dxa" w:w="55"/>
            </w:tcMar>
            <w:vAlign w:val="center"/>
          </w:tcPr>
          <w:p>
            <w:pPr>
              <w:spacing w:line="250" w:lineRule="auto"/>
              <w:jc w:val="center"/>
            </w:pPr>
          </w:p>
        </w:tc>
        <w:tc>
          <w:tcPr>
            <w:tcW w:type="dxa" w:w="1003"/>
            <w:tcMar>
              <w:top w:type="dxa" w:w="42"/>
              <w:left w:type="dxa" w:w="55"/>
              <w:bottom w:type="dxa" w:w="42"/>
              <w:right w:type="dxa" w:w="55"/>
            </w:tcMar>
            <w:vAlign w:val="center"/>
          </w:tcPr>
          <w:p>
            <w:pPr>
              <w:spacing w:line="250" w:lineRule="auto"/>
              <w:jc w:val="center"/>
            </w:pPr>
          </w:p>
        </w:tc>
        <w:tc>
          <w:tcPr>
            <w:tcW w:type="dxa" w:w="832"/>
            <w:tcMar>
              <w:top w:type="dxa" w:w="42"/>
              <w:left w:type="dxa" w:w="55"/>
              <w:bottom w:type="dxa" w:w="42"/>
              <w:right w:type="dxa" w:w="55"/>
            </w:tcMar>
            <w:vAlign w:val="center"/>
          </w:tcPr>
          <w:p>
            <w:pPr>
              <w:spacing w:line="250" w:lineRule="auto"/>
              <w:jc w:val="center"/>
            </w:pPr>
          </w:p>
        </w:tc>
      </w:tr>
      <w:tr>
        <w:trPr>
          <w:cantSplit/>
          <w:tblHeader w:val="false"/>
        </w:trPr>
        <w:tc>
          <w:tcPr>
            <w:tcW w:type="dxa" w:w="1086"/>
            <w:tcMar>
              <w:top w:type="dxa" w:w="42"/>
              <w:left w:type="dxa" w:w="55"/>
              <w:bottom w:type="dxa" w:w="42"/>
              <w:right w:type="dxa" w:w="55"/>
            </w:tcMar>
            <w:vAlign w:val="center"/>
          </w:tcPr>
          <w:p>
            <w:pPr>
              <w:spacing w:line="250" w:lineRule="auto"/>
              <w:jc w:val="center"/>
            </w:pPr>
          </w:p>
        </w:tc>
        <w:tc>
          <w:tcPr>
            <w:tcW w:type="dxa" w:w="1272"/>
            <w:tcMar>
              <w:top w:type="dxa" w:w="42"/>
              <w:left w:type="dxa" w:w="55"/>
              <w:bottom w:type="dxa" w:w="42"/>
              <w:right w:type="dxa" w:w="55"/>
            </w:tcMar>
            <w:vAlign w:val="center"/>
          </w:tcPr>
          <w:p>
            <w:pPr>
              <w:spacing w:line="250" w:lineRule="auto"/>
              <w:jc w:val="center"/>
            </w:pPr>
          </w:p>
        </w:tc>
        <w:tc>
          <w:tcPr>
            <w:tcW w:type="dxa" w:w="1303"/>
            <w:tcMar>
              <w:top w:type="dxa" w:w="42"/>
              <w:left w:type="dxa" w:w="55"/>
              <w:bottom w:type="dxa" w:w="42"/>
              <w:right w:type="dxa" w:w="55"/>
            </w:tcMar>
            <w:vAlign w:val="center"/>
          </w:tcPr>
          <w:p>
            <w:pPr>
              <w:spacing w:line="250" w:lineRule="auto"/>
              <w:jc w:val="center"/>
            </w:pPr>
          </w:p>
        </w:tc>
        <w:tc>
          <w:tcPr>
            <w:tcW w:type="dxa" w:w="827"/>
            <w:tcMar>
              <w:top w:type="dxa" w:w="42"/>
              <w:left w:type="dxa" w:w="55"/>
              <w:bottom w:type="dxa" w:w="42"/>
              <w:right w:type="dxa" w:w="55"/>
            </w:tcMar>
            <w:vAlign w:val="center"/>
          </w:tcPr>
          <w:p>
            <w:pPr>
              <w:spacing w:line="250" w:lineRule="auto"/>
              <w:jc w:val="center"/>
            </w:pPr>
          </w:p>
        </w:tc>
        <w:tc>
          <w:tcPr>
            <w:tcW w:type="dxa" w:w="2183"/>
            <w:tcMar>
              <w:top w:type="dxa" w:w="42"/>
              <w:left w:type="dxa" w:w="55"/>
              <w:bottom w:type="dxa" w:w="42"/>
              <w:right w:type="dxa" w:w="55"/>
            </w:tcMar>
            <w:vAlign w:val="center"/>
          </w:tcPr>
          <w:p>
            <w:pPr>
              <w:spacing w:line="250" w:lineRule="auto"/>
              <w:jc w:val="center"/>
            </w:pPr>
          </w:p>
        </w:tc>
        <w:tc>
          <w:tcPr>
            <w:tcW w:type="dxa" w:w="1003"/>
            <w:tcMar>
              <w:top w:type="dxa" w:w="42"/>
              <w:left w:type="dxa" w:w="55"/>
              <w:bottom w:type="dxa" w:w="42"/>
              <w:right w:type="dxa" w:w="55"/>
            </w:tcMar>
            <w:vAlign w:val="center"/>
          </w:tcPr>
          <w:p>
            <w:pPr>
              <w:spacing w:line="250" w:lineRule="auto"/>
              <w:jc w:val="center"/>
            </w:pPr>
          </w:p>
        </w:tc>
        <w:tc>
          <w:tcPr>
            <w:tcW w:type="dxa" w:w="832"/>
            <w:tcMar>
              <w:top w:type="dxa" w:w="42"/>
              <w:left w:type="dxa" w:w="55"/>
              <w:bottom w:type="dxa" w:w="42"/>
              <w:right w:type="dxa" w:w="55"/>
            </w:tcMar>
            <w:vAlign w:val="center"/>
          </w:tcPr>
          <w:p>
            <w:pPr>
              <w:spacing w:line="250" w:lineRule="auto"/>
              <w:jc w:val="center"/>
            </w:pPr>
          </w:p>
        </w:tc>
      </w:tr>
      <w:tr>
        <w:trPr>
          <w:cantSplit/>
          <w:tblHeader w:val="false"/>
        </w:trPr>
        <w:tc>
          <w:tcPr>
            <w:tcW w:type="dxa" w:w="1086"/>
            <w:tcMar>
              <w:top w:type="dxa" w:w="42"/>
              <w:left w:type="dxa" w:w="55"/>
              <w:bottom w:type="dxa" w:w="42"/>
              <w:right w:type="dxa" w:w="55"/>
            </w:tcMar>
            <w:vAlign w:val="center"/>
          </w:tcPr>
          <w:p>
            <w:pPr>
              <w:spacing w:line="250" w:lineRule="auto"/>
              <w:jc w:val="center"/>
            </w:pPr>
          </w:p>
        </w:tc>
        <w:tc>
          <w:tcPr>
            <w:tcW w:type="dxa" w:w="1272"/>
            <w:tcMar>
              <w:top w:type="dxa" w:w="42"/>
              <w:left w:type="dxa" w:w="55"/>
              <w:bottom w:type="dxa" w:w="42"/>
              <w:right w:type="dxa" w:w="55"/>
            </w:tcMar>
            <w:vAlign w:val="center"/>
          </w:tcPr>
          <w:p>
            <w:pPr>
              <w:spacing w:line="250" w:lineRule="auto"/>
              <w:jc w:val="center"/>
            </w:pPr>
          </w:p>
        </w:tc>
        <w:tc>
          <w:tcPr>
            <w:tcW w:type="dxa" w:w="1303"/>
            <w:tcMar>
              <w:top w:type="dxa" w:w="42"/>
              <w:left w:type="dxa" w:w="55"/>
              <w:bottom w:type="dxa" w:w="42"/>
              <w:right w:type="dxa" w:w="55"/>
            </w:tcMar>
            <w:vAlign w:val="center"/>
          </w:tcPr>
          <w:p>
            <w:pPr>
              <w:spacing w:line="250" w:lineRule="auto"/>
              <w:jc w:val="center"/>
            </w:pPr>
          </w:p>
        </w:tc>
        <w:tc>
          <w:tcPr>
            <w:tcW w:type="dxa" w:w="827"/>
            <w:tcMar>
              <w:top w:type="dxa" w:w="42"/>
              <w:left w:type="dxa" w:w="55"/>
              <w:bottom w:type="dxa" w:w="42"/>
              <w:right w:type="dxa" w:w="55"/>
            </w:tcMar>
            <w:vAlign w:val="center"/>
          </w:tcPr>
          <w:p>
            <w:pPr>
              <w:spacing w:line="250" w:lineRule="auto"/>
              <w:jc w:val="center"/>
            </w:pPr>
          </w:p>
        </w:tc>
        <w:tc>
          <w:tcPr>
            <w:tcW w:type="dxa" w:w="2183"/>
            <w:tcMar>
              <w:top w:type="dxa" w:w="42"/>
              <w:left w:type="dxa" w:w="55"/>
              <w:bottom w:type="dxa" w:w="42"/>
              <w:right w:type="dxa" w:w="55"/>
            </w:tcMar>
            <w:vAlign w:val="center"/>
          </w:tcPr>
          <w:p>
            <w:pPr>
              <w:spacing w:line="250" w:lineRule="auto"/>
              <w:jc w:val="center"/>
            </w:pPr>
          </w:p>
        </w:tc>
        <w:tc>
          <w:tcPr>
            <w:tcW w:type="dxa" w:w="1003"/>
            <w:tcMar>
              <w:top w:type="dxa" w:w="42"/>
              <w:left w:type="dxa" w:w="55"/>
              <w:bottom w:type="dxa" w:w="42"/>
              <w:right w:type="dxa" w:w="55"/>
            </w:tcMar>
            <w:vAlign w:val="center"/>
          </w:tcPr>
          <w:p>
            <w:pPr>
              <w:spacing w:line="250" w:lineRule="auto"/>
              <w:jc w:val="center"/>
            </w:pPr>
          </w:p>
        </w:tc>
        <w:tc>
          <w:tcPr>
            <w:tcW w:type="dxa" w:w="832"/>
            <w:tcMar>
              <w:top w:type="dxa" w:w="42"/>
              <w:left w:type="dxa" w:w="55"/>
              <w:bottom w:type="dxa" w:w="42"/>
              <w:right w:type="dxa" w:w="55"/>
            </w:tcMar>
            <w:vAlign w:val="center"/>
          </w:tcPr>
          <w:p>
            <w:pPr>
              <w:spacing w:line="250" w:lineRule="auto"/>
              <w:jc w:val="center"/>
            </w:pPr>
          </w:p>
        </w:tc>
      </w:tr>
      <w:tr>
        <w:trPr>
          <w:cantSplit/>
          <w:tblHeader w:val="false"/>
        </w:trPr>
        <w:tc>
          <w:tcPr>
            <w:tcW w:type="dxa" w:w="1086"/>
            <w:tcMar>
              <w:top w:type="dxa" w:w="42"/>
              <w:left w:type="dxa" w:w="55"/>
              <w:bottom w:type="dxa" w:w="42"/>
              <w:right w:type="dxa" w:w="55"/>
            </w:tcMar>
            <w:vAlign w:val="center"/>
          </w:tcPr>
          <w:p>
            <w:pPr>
              <w:spacing w:line="250" w:lineRule="auto"/>
              <w:jc w:val="center"/>
            </w:pPr>
          </w:p>
        </w:tc>
        <w:tc>
          <w:tcPr>
            <w:tcW w:type="dxa" w:w="1272"/>
            <w:tcMar>
              <w:top w:type="dxa" w:w="42"/>
              <w:left w:type="dxa" w:w="55"/>
              <w:bottom w:type="dxa" w:w="42"/>
              <w:right w:type="dxa" w:w="55"/>
            </w:tcMar>
            <w:vAlign w:val="center"/>
          </w:tcPr>
          <w:p>
            <w:pPr>
              <w:spacing w:line="250" w:lineRule="auto"/>
              <w:jc w:val="center"/>
            </w:pPr>
          </w:p>
        </w:tc>
        <w:tc>
          <w:tcPr>
            <w:tcW w:type="dxa" w:w="1303"/>
            <w:tcMar>
              <w:top w:type="dxa" w:w="42"/>
              <w:left w:type="dxa" w:w="55"/>
              <w:bottom w:type="dxa" w:w="42"/>
              <w:right w:type="dxa" w:w="55"/>
            </w:tcMar>
            <w:vAlign w:val="center"/>
          </w:tcPr>
          <w:p>
            <w:pPr>
              <w:spacing w:line="250" w:lineRule="auto"/>
              <w:jc w:val="center"/>
            </w:pPr>
          </w:p>
        </w:tc>
        <w:tc>
          <w:tcPr>
            <w:tcW w:type="dxa" w:w="827"/>
            <w:tcMar>
              <w:top w:type="dxa" w:w="42"/>
              <w:left w:type="dxa" w:w="55"/>
              <w:bottom w:type="dxa" w:w="42"/>
              <w:right w:type="dxa" w:w="55"/>
            </w:tcMar>
            <w:vAlign w:val="center"/>
          </w:tcPr>
          <w:p>
            <w:pPr>
              <w:spacing w:line="250" w:lineRule="auto"/>
              <w:jc w:val="center"/>
            </w:pPr>
          </w:p>
        </w:tc>
        <w:tc>
          <w:tcPr>
            <w:tcW w:type="dxa" w:w="2183"/>
            <w:tcMar>
              <w:top w:type="dxa" w:w="42"/>
              <w:left w:type="dxa" w:w="55"/>
              <w:bottom w:type="dxa" w:w="42"/>
              <w:right w:type="dxa" w:w="55"/>
            </w:tcMar>
            <w:vAlign w:val="center"/>
          </w:tcPr>
          <w:p>
            <w:pPr>
              <w:spacing w:line="250" w:lineRule="auto"/>
              <w:jc w:val="center"/>
            </w:pPr>
          </w:p>
        </w:tc>
        <w:tc>
          <w:tcPr>
            <w:tcW w:type="dxa" w:w="1003"/>
            <w:tcMar>
              <w:top w:type="dxa" w:w="42"/>
              <w:left w:type="dxa" w:w="55"/>
              <w:bottom w:type="dxa" w:w="42"/>
              <w:right w:type="dxa" w:w="55"/>
            </w:tcMar>
            <w:vAlign w:val="center"/>
          </w:tcPr>
          <w:p>
            <w:pPr>
              <w:spacing w:line="250" w:lineRule="auto"/>
              <w:jc w:val="center"/>
            </w:pPr>
          </w:p>
        </w:tc>
        <w:tc>
          <w:tcPr>
            <w:tcW w:type="dxa" w:w="832"/>
            <w:tcMar>
              <w:top w:type="dxa" w:w="42"/>
              <w:left w:type="dxa" w:w="55"/>
              <w:bottom w:type="dxa" w:w="42"/>
              <w:right w:type="dxa" w:w="55"/>
            </w:tcMar>
            <w:vAlign w:val="center"/>
          </w:tcPr>
          <w:p>
            <w:pPr>
              <w:spacing w:line="250" w:lineRule="auto"/>
              <w:jc w:val="center"/>
            </w:pPr>
          </w:p>
        </w:tc>
      </w:tr>
      <w:tr>
        <w:trPr>
          <w:cantSplit/>
          <w:tblHeader w:val="false"/>
        </w:trPr>
        <w:tc>
          <w:tcPr>
            <w:tcW w:type="dxa" w:w="1086"/>
            <w:tcMar>
              <w:top w:type="dxa" w:w="42"/>
              <w:left w:type="dxa" w:w="55"/>
              <w:bottom w:type="dxa" w:w="42"/>
              <w:right w:type="dxa" w:w="55"/>
            </w:tcMar>
            <w:vAlign w:val="center"/>
          </w:tcPr>
          <w:p>
            <w:pPr>
              <w:spacing w:line="250" w:lineRule="auto"/>
              <w:jc w:val="center"/>
            </w:pPr>
          </w:p>
        </w:tc>
        <w:tc>
          <w:tcPr>
            <w:tcW w:type="dxa" w:w="1272"/>
            <w:tcMar>
              <w:top w:type="dxa" w:w="42"/>
              <w:left w:type="dxa" w:w="55"/>
              <w:bottom w:type="dxa" w:w="42"/>
              <w:right w:type="dxa" w:w="55"/>
            </w:tcMar>
            <w:vAlign w:val="center"/>
          </w:tcPr>
          <w:p>
            <w:pPr>
              <w:spacing w:line="250" w:lineRule="auto"/>
              <w:jc w:val="center"/>
            </w:pPr>
          </w:p>
        </w:tc>
        <w:tc>
          <w:tcPr>
            <w:tcW w:type="dxa" w:w="1303"/>
            <w:tcMar>
              <w:top w:type="dxa" w:w="42"/>
              <w:left w:type="dxa" w:w="55"/>
              <w:bottom w:type="dxa" w:w="42"/>
              <w:right w:type="dxa" w:w="55"/>
            </w:tcMar>
            <w:vAlign w:val="center"/>
          </w:tcPr>
          <w:p>
            <w:pPr>
              <w:spacing w:line="250" w:lineRule="auto"/>
              <w:jc w:val="center"/>
            </w:pPr>
          </w:p>
        </w:tc>
        <w:tc>
          <w:tcPr>
            <w:tcW w:type="dxa" w:w="827"/>
            <w:tcMar>
              <w:top w:type="dxa" w:w="42"/>
              <w:left w:type="dxa" w:w="55"/>
              <w:bottom w:type="dxa" w:w="42"/>
              <w:right w:type="dxa" w:w="55"/>
            </w:tcMar>
            <w:vAlign w:val="center"/>
          </w:tcPr>
          <w:p>
            <w:pPr>
              <w:spacing w:line="250" w:lineRule="auto"/>
              <w:jc w:val="center"/>
            </w:pPr>
          </w:p>
        </w:tc>
        <w:tc>
          <w:tcPr>
            <w:tcW w:type="dxa" w:w="2183"/>
            <w:tcMar>
              <w:top w:type="dxa" w:w="42"/>
              <w:left w:type="dxa" w:w="55"/>
              <w:bottom w:type="dxa" w:w="42"/>
              <w:right w:type="dxa" w:w="55"/>
            </w:tcMar>
            <w:vAlign w:val="center"/>
          </w:tcPr>
          <w:p>
            <w:pPr>
              <w:spacing w:line="250" w:lineRule="auto"/>
              <w:jc w:val="center"/>
            </w:pPr>
          </w:p>
        </w:tc>
        <w:tc>
          <w:tcPr>
            <w:tcW w:type="dxa" w:w="1003"/>
            <w:tcMar>
              <w:top w:type="dxa" w:w="42"/>
              <w:left w:type="dxa" w:w="55"/>
              <w:bottom w:type="dxa" w:w="42"/>
              <w:right w:type="dxa" w:w="55"/>
            </w:tcMar>
            <w:vAlign w:val="center"/>
          </w:tcPr>
          <w:p>
            <w:pPr>
              <w:spacing w:line="250" w:lineRule="auto"/>
              <w:jc w:val="center"/>
            </w:pPr>
          </w:p>
        </w:tc>
        <w:tc>
          <w:tcPr>
            <w:tcW w:type="dxa" w:w="832"/>
            <w:tcMar>
              <w:top w:type="dxa" w:w="42"/>
              <w:left w:type="dxa" w:w="55"/>
              <w:bottom w:type="dxa" w:w="42"/>
              <w:right w:type="dxa" w:w="55"/>
            </w:tcMar>
            <w:vAlign w:val="center"/>
          </w:tcPr>
          <w:p>
            <w:pPr>
              <w:spacing w:line="250" w:lineRule="auto"/>
              <w:jc w:val="center"/>
            </w:pPr>
          </w:p>
        </w:tc>
      </w:tr>
      <w:tr>
        <w:trPr>
          <w:cantSplit/>
          <w:tblHeader w:val="false"/>
        </w:trPr>
        <w:tc>
          <w:tcPr>
            <w:tcW w:type="dxa" w:w="1086"/>
            <w:tcMar>
              <w:top w:type="dxa" w:w="42"/>
              <w:left w:type="dxa" w:w="55"/>
              <w:bottom w:type="dxa" w:w="42"/>
              <w:right w:type="dxa" w:w="55"/>
            </w:tcMar>
            <w:vAlign w:val="center"/>
          </w:tcPr>
          <w:p>
            <w:pPr>
              <w:spacing w:line="250" w:lineRule="auto"/>
              <w:jc w:val="center"/>
            </w:pPr>
          </w:p>
        </w:tc>
        <w:tc>
          <w:tcPr>
            <w:tcW w:type="dxa" w:w="1272"/>
            <w:tcMar>
              <w:top w:type="dxa" w:w="42"/>
              <w:left w:type="dxa" w:w="55"/>
              <w:bottom w:type="dxa" w:w="42"/>
              <w:right w:type="dxa" w:w="55"/>
            </w:tcMar>
            <w:vAlign w:val="center"/>
          </w:tcPr>
          <w:p>
            <w:pPr>
              <w:spacing w:line="250" w:lineRule="auto"/>
              <w:jc w:val="center"/>
            </w:pPr>
          </w:p>
        </w:tc>
        <w:tc>
          <w:tcPr>
            <w:tcW w:type="dxa" w:w="1303"/>
            <w:tcMar>
              <w:top w:type="dxa" w:w="42"/>
              <w:left w:type="dxa" w:w="55"/>
              <w:bottom w:type="dxa" w:w="42"/>
              <w:right w:type="dxa" w:w="55"/>
            </w:tcMar>
            <w:vAlign w:val="center"/>
          </w:tcPr>
          <w:p>
            <w:pPr>
              <w:spacing w:line="250" w:lineRule="auto"/>
              <w:jc w:val="center"/>
            </w:pPr>
          </w:p>
        </w:tc>
        <w:tc>
          <w:tcPr>
            <w:tcW w:type="dxa" w:w="827"/>
            <w:tcMar>
              <w:top w:type="dxa" w:w="42"/>
              <w:left w:type="dxa" w:w="55"/>
              <w:bottom w:type="dxa" w:w="42"/>
              <w:right w:type="dxa" w:w="55"/>
            </w:tcMar>
            <w:vAlign w:val="center"/>
          </w:tcPr>
          <w:p>
            <w:pPr>
              <w:spacing w:line="250" w:lineRule="auto"/>
              <w:jc w:val="center"/>
            </w:pPr>
          </w:p>
        </w:tc>
        <w:tc>
          <w:tcPr>
            <w:tcW w:type="dxa" w:w="2183"/>
            <w:tcMar>
              <w:top w:type="dxa" w:w="42"/>
              <w:left w:type="dxa" w:w="55"/>
              <w:bottom w:type="dxa" w:w="42"/>
              <w:right w:type="dxa" w:w="55"/>
            </w:tcMar>
            <w:vAlign w:val="center"/>
          </w:tcPr>
          <w:p>
            <w:pPr>
              <w:spacing w:line="250" w:lineRule="auto"/>
              <w:jc w:val="center"/>
            </w:pPr>
          </w:p>
        </w:tc>
        <w:tc>
          <w:tcPr>
            <w:tcW w:type="dxa" w:w="1003"/>
            <w:tcMar>
              <w:top w:type="dxa" w:w="42"/>
              <w:left w:type="dxa" w:w="55"/>
              <w:bottom w:type="dxa" w:w="42"/>
              <w:right w:type="dxa" w:w="55"/>
            </w:tcMar>
            <w:vAlign w:val="center"/>
          </w:tcPr>
          <w:p>
            <w:pPr>
              <w:spacing w:line="250" w:lineRule="auto"/>
              <w:jc w:val="center"/>
            </w:pPr>
          </w:p>
        </w:tc>
        <w:tc>
          <w:tcPr>
            <w:tcW w:type="dxa" w:w="832"/>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2_5" w:id="1"/>
      <w:r>
        <w:rPr>
          <w:b/>
          <w:bCs/>
          <w:color w:val="000000"/>
          <w:sz w:val="28"/>
          <w:szCs w:val="28"/>
          <w:rFonts w:ascii="SimSun" w:eastAsia="SimSun" w:hAnsi="SimSun" w:cs="SimSun"/>
        </w:rPr>
        <w:t xml:space="preserve">3.6　供给分析：竞品与租金水平分析</w:t>
      </w:r>
      <w:bookmarkEnd w:id="1"/>
    </w:p>
    <w:p>
      <w:pPr>
        <w:spacing w:before="0" w:after="0" w:line="312" w:lineRule="auto"/>
        <w:ind w:firstLine="480"/>
      </w:pPr>
      <w:r>
        <w:rPr>
          <w:color w:val="000000"/>
          <w:sz w:val="24"/>
          <w:szCs w:val="24"/>
          <w:rFonts w:ascii="SimSun" w:eastAsia="SimSun" w:hAnsi="SimSun" w:cs="SimSun"/>
        </w:rPr>
        <w:t xml:space="preserve">本子节聚焦项目周边3公里范围内保障性租赁住房及市场化长租公寓的供给格局，通过可比项目租金水平与出租率对照，判断本项目以市场租金9折入市所处的竞争位置。需要说明的是，本节所引周边竞品信息来源于地图抓取及现场初步踏勘，租金与出租率数据尚待人工调研核实，相关字段在表中标注待补，不参与定价测算。</w:t>
      </w:r>
    </w:p>
    <w:p>
      <w:pPr>
        <w:spacing w:before="0" w:after="0" w:line="312" w:lineRule="auto"/>
        <w:ind w:firstLine="480"/>
      </w:pPr>
      <w:r>
        <w:rPr>
          <w:color w:val="000000"/>
          <w:sz w:val="24"/>
          <w:szCs w:val="24"/>
          <w:rFonts w:ascii="SimSun" w:eastAsia="SimSun" w:hAnsi="SimSun" w:cs="SimSun"/>
        </w:rPr>
        <w:t xml:space="preserve">一、可比项目选择与竞争格局</w:t>
      </w:r>
    </w:p>
    <w:p>
      <w:pPr>
        <w:spacing w:before="0" w:after="0" w:line="312" w:lineRule="auto"/>
        <w:ind w:firstLine="480"/>
      </w:pPr>
      <w:r>
        <w:rPr>
          <w:color w:val="000000"/>
          <w:sz w:val="24"/>
          <w:szCs w:val="24"/>
          <w:rFonts w:ascii="SimSun" w:eastAsia="SimSun" w:hAnsi="SimSun" w:cs="SimSun"/>
        </w:rPr>
        <w:t xml:space="preserve">本项目51套房源分布于罗湖、福田两区6个居住小区，房源零散、单点规模小，属典型的存量住宅分散式改造。按3公里范围筛选可比集中式及分散式公寓项目，罗湖区金湖路6号（银湖半山）周边500米至1公里范围内分布易间公寓、华利公寓、禾寓青年公寓、中海友里公寓（深圳罗湖店）、云涛公寓、H公寓·华天分店、红日子雅居公寓、Nikon公寓等8个公寓项目；其余5个小区周边亦各有6—7个公寓项目分布。上述项目均为市场化运营的租赁公寓，与本项目改造后产品形态接近，具备可比性。</w:t>
      </w:r>
    </w:p>
    <w:p>
      <w:pPr>
        <w:spacing w:before="0" w:after="0" w:line="312" w:lineRule="auto"/>
        <w:ind w:firstLine="480"/>
      </w:pPr>
      <w:r>
        <w:rPr>
          <w:color w:val="000000"/>
          <w:sz w:val="24"/>
          <w:szCs w:val="24"/>
          <w:rFonts w:ascii="SimSun" w:eastAsia="SimSun" w:hAnsi="SimSun" w:cs="SimSun"/>
        </w:rPr>
        <w:t xml:space="preserve">从竞争格局看，本项目所处罗湖、福田核心区为深圳市租赁住房供给成熟板块，存量公寓供给密度较高，但产品以中小户型、开间及一房为主，面向单身上班族及年轻家庭。本项目房源以90—147平方米的2—4房大户型为主，经改造后按套出租，单套月租金水平显著高于周边公寓单间产品，目标客群为家庭型及合租型租户，与周边公寓产品形成面积段错位竞争，而非直接的同户型价格竞争。</w:t>
      </w:r>
    </w:p>
    <w:p>
      <w:pPr>
        <w:spacing w:before="0" w:after="0" w:line="312" w:lineRule="auto"/>
        <w:ind w:firstLine="480"/>
      </w:pPr>
      <w:r>
        <w:rPr>
          <w:color w:val="000000"/>
          <w:sz w:val="24"/>
          <w:szCs w:val="24"/>
          <w:rFonts w:ascii="SimSun" w:eastAsia="SimSun" w:hAnsi="SimSun" w:cs="SimSun"/>
        </w:rPr>
        <w:t xml:space="preserve">二、可比项目租金与出租率对照</w:t>
      </w:r>
    </w:p>
    <w:p>
      <w:pPr>
        <w:spacing w:before="0" w:after="0" w:line="312" w:lineRule="auto"/>
        <w:ind w:firstLine="480"/>
      </w:pPr>
      <w:r>
        <w:rPr>
          <w:color w:val="000000"/>
          <w:sz w:val="24"/>
          <w:szCs w:val="24"/>
          <w:rFonts w:ascii="SimSun" w:eastAsia="SimSun" w:hAnsi="SimSun" w:cs="SimSun"/>
        </w:rPr>
        <w:t xml:space="preserve">周边竞品租金及出租率数据尚待人工调研核实，下表先行列示可比项目名称、相对本项目主要房源点位的距离及待补字段，供后续定价修正与竞争定位分析使用。</w:t>
      </w:r>
    </w:p>
    <w:p>
      <w:pPr>
        <w:spacing w:before="0" w:after="0" w:line="312" w:lineRule="auto"/>
        <w:ind w:firstLine="480"/>
      </w:pPr>
      <w:r>
        <w:rPr>
          <w:color w:val="000000"/>
          <w:sz w:val="24"/>
          <w:szCs w:val="24"/>
          <w:rFonts w:ascii="SimSun" w:eastAsia="SimSun" w:hAnsi="SimSun" w:cs="SimSun"/>
        </w:rPr>
        <w:t xml:space="preserve">注：统计范围为金湖路6号点位3公里内可比公寓项目；租金与出租率字段待人工调研补充，来源为地图抓取（2026年），不构成定价依据。</w:t>
      </w:r>
    </w:p>
    <w:p>
      <w:pPr>
        <w:spacing w:before="0" w:after="0" w:line="312" w:lineRule="auto"/>
        <w:ind w:firstLine="480"/>
      </w:pPr>
      <w:r>
        <w:rPr>
          <w:color w:val="000000"/>
          <w:sz w:val="24"/>
          <w:szCs w:val="24"/>
          <w:rFonts w:ascii="SimSun" w:eastAsia="SimSun" w:hAnsi="SimSun" w:cs="SimSun"/>
        </w:rPr>
        <w:t xml:space="preserve">三、周边板块历史租金走势</w:t>
      </w:r>
    </w:p>
    <w:p>
      <w:pPr>
        <w:spacing w:before="0" w:after="0" w:line="312" w:lineRule="auto"/>
        <w:ind w:firstLine="480"/>
      </w:pPr>
      <w:r>
        <w:rPr>
          <w:color w:val="000000"/>
          <w:sz w:val="24"/>
          <w:szCs w:val="24"/>
          <w:rFonts w:ascii="SimSun" w:eastAsia="SimSun" w:hAnsi="SimSun" w:cs="SimSun"/>
        </w:rPr>
        <w:t xml:space="preserve">为判断本项目所处板块租金水平及增长空间，需回溯罗湖、福田两区及项目周边板块近年散租与集中式长租公寓的历史成交租金表现。受统计口径与数据可得性限制，本节所需的分市场、分板块历史成交租金数据尚待补充，暂列框架如下。</w:t>
      </w:r>
    </w:p>
    <w:p>
      <w:pPr>
        <w:spacing w:before="0" w:after="0" w:line="312" w:lineRule="auto"/>
        <w:ind w:firstLine="480"/>
      </w:pPr>
      <w:r>
        <w:rPr>
          <w:color w:val="000000"/>
          <w:sz w:val="24"/>
          <w:szCs w:val="24"/>
          <w:rFonts w:ascii="SimSun" w:eastAsia="SimSun" w:hAnsi="SimSun" w:cs="SimSun"/>
        </w:rPr>
        <w:t xml:space="preserve">注：统计期为近3—5年分年度数据；来源</w:t>
      </w:r>
      <w:r>
        <w:rPr>
          <w:b/>
          <w:bCs/>
          <w:color w:val="C62828"/>
          <w:sz w:val="24"/>
          <w:szCs w:val="24"/>
          <w:rFonts w:ascii="SimSun" w:eastAsia="SimSun" w:hAnsi="SimSun" w:cs="SimSun"/>
        </w:rPr>
        <w:t xml:space="preserve">【待补：政府统计公报、已审核资料库或真实市场调研，注明统计期、地域范围、计量单位与样本】</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注：板块按本项目6个房源点位所在片区划分；来源</w:t>
      </w:r>
      <w:r>
        <w:rPr>
          <w:b/>
          <w:bCs/>
          <w:color w:val="C62828"/>
          <w:sz w:val="24"/>
          <w:szCs w:val="24"/>
          <w:rFonts w:ascii="SimSun" w:eastAsia="SimSun" w:hAnsi="SimSun" w:cs="SimSun"/>
        </w:rPr>
        <w:t xml:space="preserve">【待补：同上】</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注：统计口径为品牌及集中式长租公寓实际成交租金；来源</w:t>
      </w:r>
      <w:r>
        <w:rPr>
          <w:b/>
          <w:bCs/>
          <w:color w:val="C62828"/>
          <w:sz w:val="24"/>
          <w:szCs w:val="24"/>
          <w:rFonts w:ascii="SimSun" w:eastAsia="SimSun" w:hAnsi="SimSun" w:cs="SimSun"/>
        </w:rPr>
        <w:t xml:space="preserve">【待补：同上】</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注：板块划分同上；来源</w:t>
      </w:r>
      <w:r>
        <w:rPr>
          <w:b/>
          <w:bCs/>
          <w:color w:val="C62828"/>
          <w:sz w:val="24"/>
          <w:szCs w:val="24"/>
          <w:rFonts w:ascii="SimSun" w:eastAsia="SimSun" w:hAnsi="SimSun" w:cs="SimSun"/>
        </w:rPr>
        <w:t xml:space="preserve">【待补：同上】</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四、供给分析结论</w:t>
      </w:r>
    </w:p>
    <w:p>
      <w:pPr>
        <w:spacing w:before="0" w:after="0" w:line="312" w:lineRule="auto"/>
        <w:ind w:firstLine="480"/>
      </w:pPr>
      <w:r>
        <w:rPr>
          <w:color w:val="000000"/>
          <w:sz w:val="24"/>
          <w:szCs w:val="24"/>
          <w:rFonts w:ascii="SimSun" w:eastAsia="SimSun" w:hAnsi="SimSun" w:cs="SimSun"/>
        </w:rPr>
        <w:t xml:space="preserve">综合上述分析，可形成以下阶段性判断：</w:t>
      </w:r>
    </w:p>
    <w:p>
      <w:pPr>
        <w:spacing w:before="0" w:after="0" w:line="312" w:lineRule="auto"/>
        <w:ind w:firstLine="480"/>
      </w:pPr>
      <w:r>
        <w:rPr>
          <w:color w:val="000000"/>
          <w:sz w:val="24"/>
          <w:szCs w:val="24"/>
          <w:rFonts w:ascii="SimSun" w:eastAsia="SimSun" w:hAnsi="SimSun" w:cs="SimSun"/>
        </w:rPr>
        <w:t xml:space="preserve">第一，本项目所处罗湖、福田核心区租赁住房供给成熟，3公里范围内可比公寓项目数量较多，但产品以中小户型为主，本项目以90平方米以上大户型入市，在面积段上避开与周边公寓的直接竞争，具备差异化定位基础。</w:t>
      </w:r>
    </w:p>
    <w:p>
      <w:pPr>
        <w:spacing w:before="0" w:after="0" w:line="312" w:lineRule="auto"/>
        <w:ind w:firstLine="480"/>
      </w:pPr>
      <w:r>
        <w:rPr>
          <w:color w:val="000000"/>
          <w:sz w:val="24"/>
          <w:szCs w:val="24"/>
          <w:rFonts w:ascii="SimSun" w:eastAsia="SimSun" w:hAnsi="SimSun" w:cs="SimSun"/>
        </w:rPr>
        <w:t xml:space="preserve">第二，本项目按市场租金9折对外出租，属社会主体出租的保障性租赁住房。在周边可比项目租金数据补齐后，需进一步核验9折租金相对同区域同品质市场化公寓是否具备足够价格优势，以支撑首年75%出租率及稳定期95%出租率的测算假设。</w:t>
      </w:r>
    </w:p>
    <w:p>
      <w:pPr>
        <w:spacing w:before="0" w:after="0" w:line="312" w:lineRule="auto"/>
        <w:ind w:firstLine="480"/>
      </w:pPr>
      <w:r>
        <w:rPr>
          <w:color w:val="000000"/>
          <w:sz w:val="24"/>
          <w:szCs w:val="24"/>
          <w:rFonts w:ascii="SimSun" w:eastAsia="SimSun" w:hAnsi="SimSun" w:cs="SimSun"/>
        </w:rPr>
        <w:t xml:space="preserve">第三，历史租金走势数据缺失，暂无法判断板块租金增长趋势与测算采用的租金递增率（每3年递增5%）是否匹配。该缺口影响对项目全周期租金收入的合理性验证，需通过政府统计公报或已审核市场调研数据补充后予以确认。</w:t>
      </w:r>
    </w:p>
    <w:p>
      <w:pPr>
        <w:spacing w:before="0" w:after="0" w:line="312" w:lineRule="auto"/>
        <w:ind w:firstLine="480"/>
      </w:pPr>
      <w:r>
        <w:rPr>
          <w:color w:val="000000"/>
          <w:sz w:val="24"/>
          <w:szCs w:val="24"/>
          <w:rFonts w:ascii="SimSun" w:eastAsia="SimSun" w:hAnsi="SimSun" w:cs="SimSun"/>
        </w:rPr>
        <w:t xml:space="preserve">本节分析所需的关键缺口为：周边可比公寓项目的实际租金与出租率、罗湖及福田区分市场历史成交租金序列。上述数据须通过人工调研及官方统计渠道获取，在数据补齐前，本节结论仅限于竞争格局与产品定位判断，不涉及具体定价修正。</w:t>
      </w:r>
    </w:p>
    <w:p>
      <w:pPr>
        <w:spacing w:before="0" w:after="0" w:line="312" w:lineRule="auto"/>
        <w:ind w:firstLine="480"/>
      </w:pPr>
      <w:r>
        <w:rPr>
          <w:color w:val="000000"/>
          <w:sz w:val="24"/>
          <w:szCs w:val="24"/>
          <w:rFonts w:ascii="SimSun" w:eastAsia="SimSun" w:hAnsi="SimSun" w:cs="SimSun"/>
        </w:rPr>
        <w:t xml:space="preserve">资料待补提示</w:t>
      </w:r>
    </w:p>
    <w:p>
      <w:pPr>
        <w:spacing w:before="0" w:after="0" w:line="312" w:lineRule="auto"/>
        <w:ind w:firstLine="480"/>
      </w:pPr>
      <w:r>
        <w:rPr>
          <w:b/>
          <w:bCs/>
          <w:color w:val="C62828"/>
          <w:sz w:val="24"/>
          <w:szCs w:val="24"/>
          <w:rFonts w:ascii="SimSun" w:eastAsia="SimSun" w:hAnsi="SimSun" w:cs="SimSun"/>
        </w:rPr>
        <w:t xml:space="preserve">【待补：政府统计公报、原始发布机构、已审核资料库及真实市场调研；注明统计期、地域范围、计量单位、样本与来源；项目内部事实取已确认材料。】</w:t>
      </w:r>
    </w:p>
    <w:p>
      <w:pPr>
        <w:keepNext/>
        <w:spacing w:before="180" w:after="100"/>
        <w:jc w:val="center"/>
      </w:pPr>
      <w:r>
        <w:rPr>
          <w:b/>
          <w:bCs/>
          <w:color w:val="000000"/>
          <w:sz w:val="22"/>
          <w:szCs w:val="22"/>
          <w:rFonts w:ascii="SimSun" w:eastAsia="SimSun" w:hAnsi="SimSun" w:cs="SimSun"/>
        </w:rPr>
        <w:t xml:space="preserve">住房租赁竞品比较表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945"/>
        <w:gridCol w:w="945"/>
        <w:gridCol w:w="945"/>
        <w:gridCol w:w="945"/>
        <w:gridCol w:w="945"/>
        <w:gridCol w:w="945"/>
        <w:gridCol w:w="945"/>
        <w:gridCol w:w="945"/>
        <w:gridCol w:w="946"/>
      </w:tblGrid>
      <w:tr>
        <w:trPr>
          <w:cantSplit/>
          <w:tblHeader/>
        </w:trPr>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项目名称</w:t>
            </w:r>
          </w:p>
        </w:tc>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项目类型（保障性租赁住房/商品房住宅等）</w:t>
            </w:r>
          </w:p>
        </w:tc>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距离</w:t>
            </w:r>
          </w:p>
        </w:tc>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户型与面积</w:t>
            </w:r>
          </w:p>
        </w:tc>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租金</w:t>
            </w:r>
          </w:p>
        </w:tc>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管理费</w:t>
            </w:r>
          </w:p>
        </w:tc>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装修与配套</w:t>
            </w:r>
          </w:p>
        </w:tc>
        <w:tc>
          <w:tcPr>
            <w:tcW w:type="dxa" w:w="94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出租率</w:t>
            </w:r>
          </w:p>
        </w:tc>
        <w:tc>
          <w:tcPr>
            <w:tcW w:type="dxa" w:w="946"/>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竞争判断</w:t>
            </w: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易间公寓</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0.6</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华利公寓</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0.6</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禾寓青年公寓</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0.7</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中海友里公寓（深圳罗湖店）</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0.8</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云涛公寓</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0.9</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H公寓·华天分店</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0.9</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红日子雅居公寓</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1.0</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r>
        <w:trPr>
          <w:cantSplit/>
          <w:tblHeader w:val="false"/>
        </w:trPr>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Nikon公寓</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1.0</w:t>
            </w: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5"/>
            <w:tcMar>
              <w:top w:type="dxa" w:w="42"/>
              <w:left w:type="dxa" w:w="55"/>
              <w:bottom w:type="dxa" w:w="42"/>
              <w:right w:type="dxa" w:w="55"/>
            </w:tcMar>
            <w:vAlign w:val="center"/>
          </w:tcPr>
          <w:p>
            <w:pPr>
              <w:spacing w:line="250" w:lineRule="auto"/>
              <w:jc w:val="center"/>
            </w:pPr>
          </w:p>
        </w:tc>
        <w:tc>
          <w:tcPr>
            <w:tcW w:type="dxa" w:w="946"/>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散租市区历史成交租金表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地域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统计期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成交租金（元/㎡·月）</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累计变化</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年均变化</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样本口径及来源</w:t>
            </w: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散租板块历史成交租金表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地域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统计期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成交租金（元/㎡·月）</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累计变化</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年均变化</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样本口径及来源</w:t>
            </w: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集中式长租市区历史成交租金表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地域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统计期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成交租金（元/㎡·月）</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累计变化</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年均变化</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样本口径及来源</w:t>
            </w: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集中式长租板块历史成交租金表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地域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统计期</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成交租金（元/㎡·月）</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累计变化</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年均变化</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样本口径及来源</w:t>
            </w: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bl>
    <w:p>
      <w:pPr>
        <w:keepNext/>
        <w:spacing w:before="180" w:after="100"/>
        <w:jc w:val="center"/>
      </w:pPr>
      <w:r>
        <w:rPr>
          <w:b/>
          <w:bCs/>
          <w:color w:val="000000"/>
          <w:sz w:val="22"/>
          <w:szCs w:val="22"/>
          <w:rFonts w:ascii="SimSun" w:eastAsia="SimSun" w:hAnsi="SimSun" w:cs="SimSun"/>
        </w:rPr>
        <w:t xml:space="preserve">所选案例租金汇总表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933"/>
        <w:gridCol w:w="1142"/>
        <w:gridCol w:w="900"/>
        <w:gridCol w:w="835"/>
        <w:gridCol w:w="769"/>
        <w:gridCol w:w="828"/>
        <w:gridCol w:w="1151"/>
        <w:gridCol w:w="948"/>
      </w:tblGrid>
      <w:tr>
        <w:trPr>
          <w:cantSplit/>
          <w:tblHeader/>
        </w:trPr>
        <w:tc>
          <w:tcPr>
            <w:tcW w:type="dxa" w:w="193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比较案例</w:t>
            </w:r>
          </w:p>
        </w:tc>
        <w:tc>
          <w:tcPr>
            <w:tcW w:type="dxa" w:w="1142"/>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租金单价（元/㎡·月）</w:t>
            </w:r>
          </w:p>
        </w:tc>
        <w:tc>
          <w:tcPr>
            <w:tcW w:type="dxa" w:w="900"/>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交通配套修正</w:t>
            </w:r>
          </w:p>
        </w:tc>
        <w:tc>
          <w:tcPr>
            <w:tcW w:type="dxa" w:w="83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外部环境修正</w:t>
            </w:r>
          </w:p>
        </w:tc>
        <w:tc>
          <w:tcPr>
            <w:tcW w:type="dxa" w:w="769"/>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新旧程度修正</w:t>
            </w:r>
          </w:p>
        </w:tc>
        <w:tc>
          <w:tcPr>
            <w:tcW w:type="dxa" w:w="828"/>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装修家私修正</w:t>
            </w:r>
          </w:p>
        </w:tc>
        <w:tc>
          <w:tcPr>
            <w:tcW w:type="dxa" w:w="115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修正价格（元/㎡·月）</w:t>
            </w:r>
          </w:p>
        </w:tc>
        <w:tc>
          <w:tcPr>
            <w:tcW w:type="dxa" w:w="948"/>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比较权重</w:t>
            </w:r>
          </w:p>
        </w:tc>
      </w:tr>
      <w:tr>
        <w:trPr>
          <w:cantSplit/>
          <w:tblHeader w:val="false"/>
        </w:trPr>
        <w:tc>
          <w:tcPr>
            <w:tcW w:type="dxa" w:w="1933"/>
            <w:tcMar>
              <w:top w:type="dxa" w:w="42"/>
              <w:left w:type="dxa" w:w="55"/>
              <w:bottom w:type="dxa" w:w="42"/>
              <w:right w:type="dxa" w:w="55"/>
            </w:tcMar>
            <w:vAlign w:val="center"/>
          </w:tcPr>
          <w:p>
            <w:pPr>
              <w:spacing w:line="250" w:lineRule="auto"/>
              <w:jc w:val="center"/>
            </w:pPr>
          </w:p>
        </w:tc>
        <w:tc>
          <w:tcPr>
            <w:tcW w:type="dxa" w:w="1142"/>
            <w:tcMar>
              <w:top w:type="dxa" w:w="42"/>
              <w:left w:type="dxa" w:w="55"/>
              <w:bottom w:type="dxa" w:w="42"/>
              <w:right w:type="dxa" w:w="55"/>
            </w:tcMar>
            <w:vAlign w:val="center"/>
          </w:tcPr>
          <w:p>
            <w:pPr>
              <w:spacing w:line="250" w:lineRule="auto"/>
              <w:jc w:val="center"/>
            </w:pPr>
          </w:p>
        </w:tc>
        <w:tc>
          <w:tcPr>
            <w:tcW w:type="dxa" w:w="900"/>
            <w:tcMar>
              <w:top w:type="dxa" w:w="42"/>
              <w:left w:type="dxa" w:w="55"/>
              <w:bottom w:type="dxa" w:w="42"/>
              <w:right w:type="dxa" w:w="55"/>
            </w:tcMar>
            <w:vAlign w:val="center"/>
          </w:tcPr>
          <w:p>
            <w:pPr>
              <w:spacing w:line="250" w:lineRule="auto"/>
              <w:jc w:val="center"/>
            </w:pPr>
          </w:p>
        </w:tc>
        <w:tc>
          <w:tcPr>
            <w:tcW w:type="dxa" w:w="835"/>
            <w:tcMar>
              <w:top w:type="dxa" w:w="42"/>
              <w:left w:type="dxa" w:w="55"/>
              <w:bottom w:type="dxa" w:w="42"/>
              <w:right w:type="dxa" w:w="55"/>
            </w:tcMar>
            <w:vAlign w:val="center"/>
          </w:tcPr>
          <w:p>
            <w:pPr>
              <w:spacing w:line="250" w:lineRule="auto"/>
              <w:jc w:val="center"/>
            </w:pPr>
          </w:p>
        </w:tc>
        <w:tc>
          <w:tcPr>
            <w:tcW w:type="dxa" w:w="769"/>
            <w:tcMar>
              <w:top w:type="dxa" w:w="42"/>
              <w:left w:type="dxa" w:w="55"/>
              <w:bottom w:type="dxa" w:w="42"/>
              <w:right w:type="dxa" w:w="55"/>
            </w:tcMar>
            <w:vAlign w:val="center"/>
          </w:tcPr>
          <w:p>
            <w:pPr>
              <w:spacing w:line="250" w:lineRule="auto"/>
              <w:jc w:val="center"/>
            </w:pPr>
          </w:p>
        </w:tc>
        <w:tc>
          <w:tcPr>
            <w:tcW w:type="dxa" w:w="828"/>
            <w:tcMar>
              <w:top w:type="dxa" w:w="42"/>
              <w:left w:type="dxa" w:w="55"/>
              <w:bottom w:type="dxa" w:w="42"/>
              <w:right w:type="dxa" w:w="55"/>
            </w:tcMar>
            <w:vAlign w:val="center"/>
          </w:tcPr>
          <w:p>
            <w:pPr>
              <w:spacing w:line="250" w:lineRule="auto"/>
              <w:jc w:val="center"/>
            </w:pPr>
          </w:p>
        </w:tc>
        <w:tc>
          <w:tcPr>
            <w:tcW w:type="dxa" w:w="1151"/>
            <w:tcMar>
              <w:top w:type="dxa" w:w="42"/>
              <w:left w:type="dxa" w:w="55"/>
              <w:bottom w:type="dxa" w:w="42"/>
              <w:right w:type="dxa" w:w="55"/>
            </w:tcMar>
            <w:vAlign w:val="center"/>
          </w:tcPr>
          <w:p>
            <w:pPr>
              <w:spacing w:line="250" w:lineRule="auto"/>
              <w:jc w:val="center"/>
            </w:pPr>
          </w:p>
        </w:tc>
        <w:tc>
          <w:tcPr>
            <w:tcW w:type="dxa" w:w="948"/>
            <w:tcMar>
              <w:top w:type="dxa" w:w="42"/>
              <w:left w:type="dxa" w:w="55"/>
              <w:bottom w:type="dxa" w:w="42"/>
              <w:right w:type="dxa" w:w="55"/>
            </w:tcMar>
            <w:vAlign w:val="center"/>
          </w:tcPr>
          <w:p>
            <w:pPr>
              <w:spacing w:line="250" w:lineRule="auto"/>
              <w:jc w:val="center"/>
            </w:pPr>
          </w:p>
        </w:tc>
      </w:tr>
      <w:tr>
        <w:trPr>
          <w:cantSplit/>
          <w:tblHeader w:val="false"/>
        </w:trPr>
        <w:tc>
          <w:tcPr>
            <w:tcW w:type="dxa" w:w="1933"/>
            <w:tcMar>
              <w:top w:type="dxa" w:w="42"/>
              <w:left w:type="dxa" w:w="55"/>
              <w:bottom w:type="dxa" w:w="42"/>
              <w:right w:type="dxa" w:w="55"/>
            </w:tcMar>
            <w:vAlign w:val="center"/>
          </w:tcPr>
          <w:p>
            <w:pPr>
              <w:spacing w:line="250" w:lineRule="auto"/>
              <w:jc w:val="center"/>
            </w:pPr>
          </w:p>
        </w:tc>
        <w:tc>
          <w:tcPr>
            <w:tcW w:type="dxa" w:w="1142"/>
            <w:tcMar>
              <w:top w:type="dxa" w:w="42"/>
              <w:left w:type="dxa" w:w="55"/>
              <w:bottom w:type="dxa" w:w="42"/>
              <w:right w:type="dxa" w:w="55"/>
            </w:tcMar>
            <w:vAlign w:val="center"/>
          </w:tcPr>
          <w:p>
            <w:pPr>
              <w:spacing w:line="250" w:lineRule="auto"/>
              <w:jc w:val="center"/>
            </w:pPr>
          </w:p>
        </w:tc>
        <w:tc>
          <w:tcPr>
            <w:tcW w:type="dxa" w:w="900"/>
            <w:tcMar>
              <w:top w:type="dxa" w:w="42"/>
              <w:left w:type="dxa" w:w="55"/>
              <w:bottom w:type="dxa" w:w="42"/>
              <w:right w:type="dxa" w:w="55"/>
            </w:tcMar>
            <w:vAlign w:val="center"/>
          </w:tcPr>
          <w:p>
            <w:pPr>
              <w:spacing w:line="250" w:lineRule="auto"/>
              <w:jc w:val="center"/>
            </w:pPr>
          </w:p>
        </w:tc>
        <w:tc>
          <w:tcPr>
            <w:tcW w:type="dxa" w:w="835"/>
            <w:tcMar>
              <w:top w:type="dxa" w:w="42"/>
              <w:left w:type="dxa" w:w="55"/>
              <w:bottom w:type="dxa" w:w="42"/>
              <w:right w:type="dxa" w:w="55"/>
            </w:tcMar>
            <w:vAlign w:val="center"/>
          </w:tcPr>
          <w:p>
            <w:pPr>
              <w:spacing w:line="250" w:lineRule="auto"/>
              <w:jc w:val="center"/>
            </w:pPr>
          </w:p>
        </w:tc>
        <w:tc>
          <w:tcPr>
            <w:tcW w:type="dxa" w:w="769"/>
            <w:tcMar>
              <w:top w:type="dxa" w:w="42"/>
              <w:left w:type="dxa" w:w="55"/>
              <w:bottom w:type="dxa" w:w="42"/>
              <w:right w:type="dxa" w:w="55"/>
            </w:tcMar>
            <w:vAlign w:val="center"/>
          </w:tcPr>
          <w:p>
            <w:pPr>
              <w:spacing w:line="250" w:lineRule="auto"/>
              <w:jc w:val="center"/>
            </w:pPr>
          </w:p>
        </w:tc>
        <w:tc>
          <w:tcPr>
            <w:tcW w:type="dxa" w:w="828"/>
            <w:tcMar>
              <w:top w:type="dxa" w:w="42"/>
              <w:left w:type="dxa" w:w="55"/>
              <w:bottom w:type="dxa" w:w="42"/>
              <w:right w:type="dxa" w:w="55"/>
            </w:tcMar>
            <w:vAlign w:val="center"/>
          </w:tcPr>
          <w:p>
            <w:pPr>
              <w:spacing w:line="250" w:lineRule="auto"/>
              <w:jc w:val="center"/>
            </w:pPr>
          </w:p>
        </w:tc>
        <w:tc>
          <w:tcPr>
            <w:tcW w:type="dxa" w:w="1151"/>
            <w:tcMar>
              <w:top w:type="dxa" w:w="42"/>
              <w:left w:type="dxa" w:w="55"/>
              <w:bottom w:type="dxa" w:w="42"/>
              <w:right w:type="dxa" w:w="55"/>
            </w:tcMar>
            <w:vAlign w:val="center"/>
          </w:tcPr>
          <w:p>
            <w:pPr>
              <w:spacing w:line="250" w:lineRule="auto"/>
              <w:jc w:val="center"/>
            </w:pPr>
          </w:p>
        </w:tc>
        <w:tc>
          <w:tcPr>
            <w:tcW w:type="dxa" w:w="948"/>
            <w:tcMar>
              <w:top w:type="dxa" w:w="42"/>
              <w:left w:type="dxa" w:w="55"/>
              <w:bottom w:type="dxa" w:w="42"/>
              <w:right w:type="dxa" w:w="55"/>
            </w:tcMar>
            <w:vAlign w:val="center"/>
          </w:tcPr>
          <w:p>
            <w:pPr>
              <w:spacing w:line="250" w:lineRule="auto"/>
              <w:jc w:val="center"/>
            </w:pPr>
          </w:p>
        </w:tc>
      </w:tr>
      <w:tr>
        <w:trPr>
          <w:cantSplit/>
          <w:tblHeader w:val="false"/>
        </w:trPr>
        <w:tc>
          <w:tcPr>
            <w:tcW w:type="dxa" w:w="1933"/>
            <w:tcMar>
              <w:top w:type="dxa" w:w="42"/>
              <w:left w:type="dxa" w:w="55"/>
              <w:bottom w:type="dxa" w:w="42"/>
              <w:right w:type="dxa" w:w="55"/>
            </w:tcMar>
            <w:vAlign w:val="center"/>
          </w:tcPr>
          <w:p>
            <w:pPr>
              <w:spacing w:line="250" w:lineRule="auto"/>
              <w:jc w:val="center"/>
            </w:pPr>
          </w:p>
        </w:tc>
        <w:tc>
          <w:tcPr>
            <w:tcW w:type="dxa" w:w="1142"/>
            <w:tcMar>
              <w:top w:type="dxa" w:w="42"/>
              <w:left w:type="dxa" w:w="55"/>
              <w:bottom w:type="dxa" w:w="42"/>
              <w:right w:type="dxa" w:w="55"/>
            </w:tcMar>
            <w:vAlign w:val="center"/>
          </w:tcPr>
          <w:p>
            <w:pPr>
              <w:spacing w:line="250" w:lineRule="auto"/>
              <w:jc w:val="center"/>
            </w:pPr>
          </w:p>
        </w:tc>
        <w:tc>
          <w:tcPr>
            <w:tcW w:type="dxa" w:w="900"/>
            <w:tcMar>
              <w:top w:type="dxa" w:w="42"/>
              <w:left w:type="dxa" w:w="55"/>
              <w:bottom w:type="dxa" w:w="42"/>
              <w:right w:type="dxa" w:w="55"/>
            </w:tcMar>
            <w:vAlign w:val="center"/>
          </w:tcPr>
          <w:p>
            <w:pPr>
              <w:spacing w:line="250" w:lineRule="auto"/>
              <w:jc w:val="center"/>
            </w:pPr>
          </w:p>
        </w:tc>
        <w:tc>
          <w:tcPr>
            <w:tcW w:type="dxa" w:w="835"/>
            <w:tcMar>
              <w:top w:type="dxa" w:w="42"/>
              <w:left w:type="dxa" w:w="55"/>
              <w:bottom w:type="dxa" w:w="42"/>
              <w:right w:type="dxa" w:w="55"/>
            </w:tcMar>
            <w:vAlign w:val="center"/>
          </w:tcPr>
          <w:p>
            <w:pPr>
              <w:spacing w:line="250" w:lineRule="auto"/>
              <w:jc w:val="center"/>
            </w:pPr>
          </w:p>
        </w:tc>
        <w:tc>
          <w:tcPr>
            <w:tcW w:type="dxa" w:w="769"/>
            <w:tcMar>
              <w:top w:type="dxa" w:w="42"/>
              <w:left w:type="dxa" w:w="55"/>
              <w:bottom w:type="dxa" w:w="42"/>
              <w:right w:type="dxa" w:w="55"/>
            </w:tcMar>
            <w:vAlign w:val="center"/>
          </w:tcPr>
          <w:p>
            <w:pPr>
              <w:spacing w:line="250" w:lineRule="auto"/>
              <w:jc w:val="center"/>
            </w:pPr>
          </w:p>
        </w:tc>
        <w:tc>
          <w:tcPr>
            <w:tcW w:type="dxa" w:w="828"/>
            <w:tcMar>
              <w:top w:type="dxa" w:w="42"/>
              <w:left w:type="dxa" w:w="55"/>
              <w:bottom w:type="dxa" w:w="42"/>
              <w:right w:type="dxa" w:w="55"/>
            </w:tcMar>
            <w:vAlign w:val="center"/>
          </w:tcPr>
          <w:p>
            <w:pPr>
              <w:spacing w:line="250" w:lineRule="auto"/>
              <w:jc w:val="center"/>
            </w:pPr>
          </w:p>
        </w:tc>
        <w:tc>
          <w:tcPr>
            <w:tcW w:type="dxa" w:w="1151"/>
            <w:tcMar>
              <w:top w:type="dxa" w:w="42"/>
              <w:left w:type="dxa" w:w="55"/>
              <w:bottom w:type="dxa" w:w="42"/>
              <w:right w:type="dxa" w:w="55"/>
            </w:tcMar>
            <w:vAlign w:val="center"/>
          </w:tcPr>
          <w:p>
            <w:pPr>
              <w:spacing w:line="250" w:lineRule="auto"/>
              <w:jc w:val="center"/>
            </w:pPr>
          </w:p>
        </w:tc>
        <w:tc>
          <w:tcPr>
            <w:tcW w:type="dxa" w:w="948"/>
            <w:tcMar>
              <w:top w:type="dxa" w:w="42"/>
              <w:left w:type="dxa" w:w="55"/>
              <w:bottom w:type="dxa" w:w="42"/>
              <w:right w:type="dxa" w:w="55"/>
            </w:tcMar>
            <w:vAlign w:val="center"/>
          </w:tcPr>
          <w:p>
            <w:pPr>
              <w:spacing w:line="250" w:lineRule="auto"/>
              <w:jc w:val="center"/>
            </w:pPr>
          </w:p>
        </w:tc>
      </w:tr>
      <w:tr>
        <w:trPr>
          <w:cantSplit/>
          <w:tblHeader w:val="false"/>
        </w:trPr>
        <w:tc>
          <w:tcPr>
            <w:tcW w:type="dxa" w:w="193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租金单价(元/㎡)</w:t>
            </w:r>
          </w:p>
        </w:tc>
        <w:tc>
          <w:tcPr>
            <w:tcW w:type="dxa" w:w="5625"/>
            <w:gridSpan w:val="6"/>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各比较物业修正价格×比较权重)之和(取整至个位）</w:t>
            </w:r>
          </w:p>
        </w:tc>
        <w:tc>
          <w:tcPr>
            <w:tcW w:type="dxa" w:w="948"/>
            <w:tcMar>
              <w:top w:type="dxa" w:w="42"/>
              <w:left w:type="dxa" w:w="55"/>
              <w:bottom w:type="dxa" w:w="42"/>
              <w:right w:type="dxa" w:w="55"/>
            </w:tcMar>
            <w:vAlign w:val="center"/>
          </w:tcPr>
          <w:p>
            <w:pPr>
              <w:spacing w:line="250" w:lineRule="auto"/>
              <w:jc w:val="center"/>
            </w:pPr>
          </w:p>
        </w:tc>
      </w:tr>
      <w:tr>
        <w:trPr>
          <w:cantSplit/>
          <w:tblHeader w:val="false"/>
        </w:trPr>
        <w:tc>
          <w:tcPr>
            <w:tcW w:type="dxa" w:w="8506"/>
            <w:gridSpan w:val="8"/>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因此，本项目住宅房地产的租金单价为【待填：经核验的加权修正租金】元/平方米·月。</w:t>
            </w:r>
          </w:p>
        </w:tc>
      </w:tr>
    </w:tbl>
    <w:p>
      <w:pPr>
        <w:pStyle w:val="Heading2"/>
        <w:spacing w:before="280" w:after="160" w:line="312" w:lineRule="auto"/>
      </w:pPr>
      <w:bookmarkStart w:name="_tc2_6" w:id="1"/>
      <w:r>
        <w:rPr>
          <w:b/>
          <w:bCs/>
          <w:color w:val="000000"/>
          <w:sz w:val="28"/>
          <w:szCs w:val="28"/>
          <w:rFonts w:ascii="SimSun" w:eastAsia="SimSun" w:hAnsi="SimSun" w:cs="SimSun"/>
        </w:rPr>
        <w:t xml:space="preserve">3.7　供需态势与市场结论</w:t>
      </w:r>
      <w:bookmarkEnd w:id="1"/>
    </w:p>
    <w:p>
      <w:pPr>
        <w:spacing w:before="0" w:after="0" w:line="312" w:lineRule="auto"/>
        <w:ind w:firstLine="480"/>
      </w:pPr>
      <w:r>
        <w:rPr>
          <w:color w:val="000000"/>
          <w:sz w:val="24"/>
          <w:szCs w:val="24"/>
          <w:rFonts w:ascii="SimSun" w:eastAsia="SimSun" w:hAnsi="SimSun" w:cs="SimSun"/>
        </w:rPr>
        <w:t xml:space="preserve">本项目51套房源分布于罗湖、福田两区6个成熟居住小区，属典型的存量住宅分散式改造为保障性租赁住房。市场分析在统一框架下，按房源集中度与区位代表性分层研判。</w:t>
      </w:r>
    </w:p>
    <w:p>
      <w:pPr>
        <w:pStyle w:val="Heading3"/>
        <w:keepNext/>
        <w:spacing w:before="160" w:after="80" w:line="360" w:lineRule="auto"/>
      </w:pPr>
      <w:r>
        <w:rPr>
          <w:b/>
          <w:bCs/>
          <w:color w:val="000000"/>
          <w:sz w:val="24"/>
          <w:szCs w:val="24"/>
          <w:rFonts w:ascii="SimSun" w:eastAsia="SimSun" w:hAnsi="SimSun" w:cs="SimSun"/>
        </w:rPr>
        <w:t xml:space="preserve">3.7.1 区域供需总体判断</w:t>
      </w:r>
    </w:p>
    <w:p>
      <w:pPr>
        <w:spacing w:before="0" w:after="0" w:line="312" w:lineRule="auto"/>
        <w:ind w:firstLine="480"/>
      </w:pPr>
      <w:r>
        <w:rPr>
          <w:color w:val="000000"/>
          <w:sz w:val="24"/>
          <w:szCs w:val="24"/>
          <w:rFonts w:ascii="SimSun" w:eastAsia="SimSun" w:hAnsi="SimSun" w:cs="SimSun"/>
        </w:rPr>
        <w:t xml:space="preserve">深圳市及罗湖、福田两区持续面临新市民、青年人的住房压力，保障性租赁住房始终存在结构性缺口。本项目房源全部位于核心城区成熟地段，周边就业岗位密集、公共交通可达性好，与潜在租住群体的职住需求高度契合。以房源最集中的银湖半山小区（金湖路6号）为例，3公里范围内住宅小区、企业及写字楼等各类配套设施分布密集，居住与就业功能混合度较高，具备稳定租住需求基础。轨道交通方面，泥岗站、罗湖北站、银湖站等均在一公里至一点五公里范围，公交站点密集，通勤条件良好，为面向周边及跨区就业人群的租赁住房提供了交通支撑。其余五个点位分布于罗湖、福田核心城区成熟居住板块，周边就业与生活配套条件总体良好，与银湖半山小区在需求基础上具有一致性，仅在集聚规模和辐射范围上存在差异。</w:t>
      </w:r>
    </w:p>
    <w:p>
      <w:pPr>
        <w:pStyle w:val="Heading3"/>
        <w:keepNext/>
        <w:spacing w:before="160" w:after="80" w:line="360" w:lineRule="auto"/>
      </w:pPr>
      <w:r>
        <w:rPr>
          <w:b/>
          <w:bCs/>
          <w:color w:val="000000"/>
          <w:sz w:val="24"/>
          <w:szCs w:val="24"/>
          <w:rFonts w:ascii="SimSun" w:eastAsia="SimSun" w:hAnsi="SimSun" w:cs="SimSun"/>
        </w:rPr>
        <w:t xml:space="preserve">3.7.2 客群结构与产品适配</w:t>
      </w:r>
    </w:p>
    <w:p>
      <w:pPr>
        <w:spacing w:before="0" w:after="0" w:line="312" w:lineRule="auto"/>
        <w:ind w:firstLine="480"/>
      </w:pPr>
      <w:r>
        <w:rPr>
          <w:color w:val="000000"/>
          <w:sz w:val="24"/>
          <w:szCs w:val="24"/>
          <w:rFonts w:ascii="SimSun" w:eastAsia="SimSun" w:hAnsi="SimSun" w:cs="SimSun"/>
        </w:rPr>
        <w:t xml:space="preserve">结合区位特征与户型条件，本项目目标客群主要为周边企事业单位职工、青年教师及医护人员等新市民群体。银湖半山小区房源以90至125平方米的二至四房为主，单套面积偏大，更适合家庭型合租或小家庭整租；改造后按市场租金九折出租，平均租金约42.44元/平方米/月，平均单套约4678元/月，与同地段市场租金相比具备一定价格优势，能够有效覆盖目标客群的支付能力。其余点位房源以三房为主，面积集中于65至148平方米区间，其中松园小区已有两套拆分为一房户型，表明部分房源具备通过合理分隔适配单身及两人租住需求的条件。整体而言，产品定位与核心城区保障性租赁住房的主力需求基本匹配。</w:t>
      </w:r>
    </w:p>
    <w:p>
      <w:pPr>
        <w:pStyle w:val="Heading3"/>
        <w:keepNext/>
        <w:spacing w:before="160" w:after="80" w:line="360" w:lineRule="auto"/>
      </w:pPr>
      <w:r>
        <w:rPr>
          <w:b/>
          <w:bCs/>
          <w:color w:val="000000"/>
          <w:sz w:val="24"/>
          <w:szCs w:val="24"/>
          <w:rFonts w:ascii="SimSun" w:eastAsia="SimSun" w:hAnsi="SimSun" w:cs="SimSun"/>
        </w:rPr>
        <w:t xml:space="preserve">3.7.3 供应格局与竞争态势</w:t>
      </w:r>
    </w:p>
    <w:p>
      <w:pPr>
        <w:spacing w:before="0" w:after="0" w:line="312" w:lineRule="auto"/>
        <w:ind w:firstLine="480"/>
      </w:pPr>
      <w:r>
        <w:rPr>
          <w:color w:val="000000"/>
          <w:sz w:val="24"/>
          <w:szCs w:val="24"/>
          <w:rFonts w:ascii="SimSun" w:eastAsia="SimSun" w:hAnsi="SimSun" w:cs="SimSun"/>
        </w:rPr>
        <w:t xml:space="preserve">本项目为存量住宅改造入市，不新增建设用地，对区域租赁市场的增量冲击有限。从周边竞品情况看，银湖半山小区周边两公里范围内分布有易间公寓、华利公寓、禾寓青年公寓等多家市场化租赁住房项目，但上述竞品租金与出租率数据尚待人工调研核实</w:t>
      </w:r>
      <w:r>
        <w:rPr>
          <w:b/>
          <w:bCs/>
          <w:color w:val="C62828"/>
          <w:sz w:val="24"/>
          <w:szCs w:val="24"/>
          <w:rFonts w:ascii="SimSun" w:eastAsia="SimSun" w:hAnsi="SimSun" w:cs="SimSun"/>
        </w:rPr>
        <w:t xml:space="preserve">【待补：周边竞品租金及出租率实地调研数据】</w:t>
      </w:r>
      <w:r>
        <w:rPr>
          <w:color w:val="000000"/>
          <w:sz w:val="24"/>
          <w:szCs w:val="24"/>
          <w:rFonts w:ascii="SimSun" w:eastAsia="SimSun" w:hAnsi="SimSun" w:cs="SimSun"/>
        </w:rPr>
        <w:t xml:space="preserve">。本项目以“拎包入住”标准翻新并配置家私家电，叠加九折租金定价，在同类产品中具备一定的性价比竞争力。其余点位中，松园小区周边公寓类产品较多，愉天小区临近水贝珠宝产业集聚区，碧波花园周边就业岗位分布密集，各点位均面临差异化的周边租赁供应环境，但本项目作为保障性租赁住房，在租金管制与运营规范方面具有政策背书优势。</w:t>
      </w:r>
    </w:p>
    <w:p>
      <w:pPr>
        <w:pStyle w:val="Heading3"/>
        <w:keepNext/>
        <w:spacing w:before="160" w:after="80" w:line="360" w:lineRule="auto"/>
      </w:pPr>
      <w:r>
        <w:rPr>
          <w:b/>
          <w:bCs/>
          <w:color w:val="000000"/>
          <w:sz w:val="24"/>
          <w:szCs w:val="24"/>
          <w:rFonts w:ascii="SimSun" w:eastAsia="SimSun" w:hAnsi="SimSun" w:cs="SimSun"/>
        </w:rPr>
        <w:t xml:space="preserve">3.7.4 供需态势综合结论</w:t>
      </w:r>
    </w:p>
    <w:p>
      <w:pPr>
        <w:spacing w:before="0" w:after="0" w:line="312" w:lineRule="auto"/>
        <w:ind w:firstLine="480"/>
      </w:pPr>
      <w:r>
        <w:rPr>
          <w:color w:val="000000"/>
          <w:sz w:val="24"/>
          <w:szCs w:val="24"/>
          <w:rFonts w:ascii="SimSun" w:eastAsia="SimSun" w:hAnsi="SimSun" w:cs="SimSun"/>
        </w:rPr>
        <w:t xml:space="preserve">综合判断，本项目所处区域租赁住房需求基础扎实，职住平衡条件较好，现有市场化供应以中小户型公寓为主，与项目部分大户型房源形成一定错位竞争。按市场租金九折定价，叠加稳定的保障性租赁住房属性，预计可保持较高的出租率水平。测算显示，项目稳定期出租率按95%计，首年出租率75%，全周期收入与成本匹配良好，累计净现值880.47万元，全投资内部收益率25.79%，累计净现金流于运营第七年回正。市场层面的需求支撑与供给缺口为本项目实现预期出租率及租金水平提供了基础条件，项目入市具备可行性。各点位虽在户型配比、周边竞争密度及客群结构上各有差异，但均处于罗湖、福田核心城区成熟居住板块，整体供需态势与上述判断一致，不改变项目市场可行性的总体结论。需要说明的是，上述出租率及收益测算基于当前市场条件与定价假设，实际运营表现将受宏观经济波动、区域租赁市场供需变化及周边竞品入市节奏等因素影响，建议在项目运营启动前结合届时市场调研数据对出租率预期作进一步校核。</w:t>
      </w:r>
    </w:p>
    <w:p>
      <w:pPr>
        <w:pStyle w:val="Heading2"/>
        <w:spacing w:before="280" w:after="160" w:line="312" w:lineRule="auto"/>
      </w:pPr>
      <w:bookmarkStart w:name="_tc2_7" w:id="1"/>
      <w:r>
        <w:rPr>
          <w:b/>
          <w:bCs/>
          <w:color w:val="000000"/>
          <w:sz w:val="28"/>
          <w:szCs w:val="28"/>
          <w:rFonts w:ascii="SimSun" w:eastAsia="SimSun" w:hAnsi="SimSun" w:cs="SimSun"/>
        </w:rPr>
        <w:t xml:space="preserve">3.8　产品定位分析</w:t>
      </w:r>
      <w:bookmarkEnd w:id="1"/>
    </w:p>
    <w:p>
      <w:pPr>
        <w:spacing w:before="0" w:after="0" w:line="312" w:lineRule="auto"/>
        <w:ind w:firstLine="480"/>
      </w:pPr>
      <w:r>
        <w:rPr>
          <w:color w:val="000000"/>
          <w:sz w:val="24"/>
          <w:szCs w:val="24"/>
          <w:rFonts w:ascii="SimSun" w:eastAsia="SimSun" w:hAnsi="SimSun" w:cs="SimSun"/>
        </w:rPr>
        <w:t xml:space="preserve">（一）定位依据与总体思路</w:t>
      </w:r>
    </w:p>
    <w:p>
      <w:pPr>
        <w:spacing w:before="0" w:after="0" w:line="312" w:lineRule="auto"/>
        <w:ind w:firstLine="480"/>
      </w:pPr>
      <w:r>
        <w:rPr>
          <w:color w:val="000000"/>
          <w:sz w:val="24"/>
          <w:szCs w:val="24"/>
          <w:rFonts w:ascii="SimSun" w:eastAsia="SimSun" w:hAnsi="SimSun" w:cs="SimSun"/>
        </w:rPr>
        <w:t xml:space="preserve">本项目产品定位需回答三个核心问题：改造后的房源以何种产品形态入市、面向何种客群、以何种品质标准参与市场竞争。依据《深圳市保障性租赁住房项目认定办法（试行）》（深建规〔2023〕4号），本项目51套房源均为产权明晰的居住存量房屋，可申请认定为保障性租赁住房，产品属性已由政策框架明确为保障性租赁住房，而非市场化商品租赁住房。在此基础上，产品定位的核心任务是在保障性租赁住房的政策边界内，确定与房源区位条件、建筑本体状况、目标客群支付能力相匹配的改造标准和运营模式。</w:t>
      </w:r>
    </w:p>
    <w:p>
      <w:pPr>
        <w:spacing w:before="0" w:after="0" w:line="312" w:lineRule="auto"/>
        <w:ind w:firstLine="480"/>
      </w:pPr>
      <w:r>
        <w:rPr>
          <w:color w:val="000000"/>
          <w:sz w:val="24"/>
          <w:szCs w:val="24"/>
          <w:rFonts w:ascii="SimSun" w:eastAsia="SimSun" w:hAnsi="SimSun" w:cs="SimSun"/>
        </w:rPr>
        <w:t xml:space="preserve">本项目房源分布于罗湖、福田两区6个居住小区，总建筑面积5,621.15㎡，单套面积跨度较大（65.30—147.62㎡），房源分散且户型结构差异明显。这一房源结构决定了本项目不宜采用单一产品标准，而应在统一保障性租赁住房属性下，依据各小区区位条件与房源现状实行差异化改造策略。产品定位须统筹考虑以下四方面约束：一是政策约束，即保障性租赁住房的租金定价上限（市场租金9折）与户型面积合规要求；二是市场约束，即周边可比租赁住房的供应结构、租金水平与出租率表现；三是成本约束，即改造投入须与预期租金收益相匹配，确保全周期财务可行；四是客群约束，即核心区新市民、青年人的支付能力与居住需求特征。</w:t>
      </w:r>
    </w:p>
    <w:p>
      <w:pPr>
        <w:spacing w:before="0" w:after="0" w:line="312" w:lineRule="auto"/>
        <w:ind w:firstLine="480"/>
      </w:pPr>
      <w:r>
        <w:rPr>
          <w:color w:val="000000"/>
          <w:sz w:val="24"/>
          <w:szCs w:val="24"/>
          <w:rFonts w:ascii="SimSun" w:eastAsia="SimSun" w:hAnsi="SimSun" w:cs="SimSun"/>
        </w:rPr>
        <w:t xml:space="preserve">（二）区位条件与产品档次研判</w:t>
      </w:r>
    </w:p>
    <w:p>
      <w:pPr>
        <w:spacing w:before="0" w:after="0" w:line="312" w:lineRule="auto"/>
        <w:ind w:firstLine="480"/>
      </w:pPr>
      <w:r>
        <w:rPr>
          <w:color w:val="000000"/>
          <w:sz w:val="24"/>
          <w:szCs w:val="24"/>
          <w:rFonts w:ascii="SimSun" w:eastAsia="SimSun" w:hAnsi="SimSun" w:cs="SimSun"/>
        </w:rPr>
        <w:t xml:space="preserve">从区位条件看，本项目6个小区均位于罗湖、福田核心城区成熟居住板块，但各点位在交通可达性、职住关系和生活配套方面存在差异，直接影响产品定位的侧重点。</w:t>
      </w:r>
    </w:p>
    <w:p>
      <w:pPr>
        <w:spacing w:before="0" w:after="0" w:line="312" w:lineRule="auto"/>
        <w:ind w:firstLine="480"/>
      </w:pPr>
      <w:r>
        <w:rPr>
          <w:color w:val="000000"/>
          <w:sz w:val="24"/>
          <w:szCs w:val="24"/>
          <w:rFonts w:ascii="SimSun" w:eastAsia="SimSun" w:hAnsi="SimSun" w:cs="SimSun"/>
        </w:rPr>
        <w:t xml:space="preserve">金湖路6号（银湖半山）为本项目体量最大的集中房源点，37套、4,249.9㎡，占总面积的76%。该点位3公里范围内住宅小区类POI 64个、企业及写字楼类POI 63个，岗位类POI占比约50%（口径说明：POI密度代理指标，非官方职住比），职住关系相对均衡。轨道交通方面，距泥岗站约1km、罗湖北站约1.4km，虽非地铁上盖，但公交接驳条件较好（罗湖区图书馆站约0.4km）。周边竞品以青年公寓、白领公寓为主，产品形态多为集中式品牌公寓，表明该片区存在较为活跃的租赁需求。该点位房源为90.29—125.03㎡的2—4房户型，现状为精装修、部分损坏，改造投入相对可控，具备以较低增量成本快速入市的条件。</w:t>
      </w:r>
    </w:p>
    <w:p>
      <w:pPr>
        <w:spacing w:before="0" w:after="0" w:line="312" w:lineRule="auto"/>
        <w:ind w:firstLine="480"/>
      </w:pPr>
      <w:r>
        <w:rPr>
          <w:color w:val="000000"/>
          <w:sz w:val="24"/>
          <w:szCs w:val="24"/>
          <w:rFonts w:ascii="SimSun" w:eastAsia="SimSun" w:hAnsi="SimSun" w:cs="SimSun"/>
        </w:rPr>
        <w:t xml:space="preserve">松园小区（7套、584.76㎡）与红桂路1008号宝泉庄（3套、419.63㎡）均位于罗湖老城核心区，3公里范围内岗位类POI占比分别约67%和0%（口径同上）。松园小区周边企业及写字楼类POI达92个，岗位密度较高，租赁需求支撑较强；宝泉庄虽岗位类POI为0，但紧邻红桂路成熟生活带，且距红岭、老街等地铁站均在1km以内，生活便利性突出。两处房源均为74.25—147.62㎡的3房户型，面积偏大，需通过合理的户型内部组织适配家庭型租户或合租需求。</w:t>
      </w:r>
    </w:p>
    <w:p>
      <w:pPr>
        <w:spacing w:before="0" w:after="0" w:line="312" w:lineRule="auto"/>
        <w:ind w:firstLine="480"/>
      </w:pPr>
      <w:r>
        <w:rPr>
          <w:color w:val="000000"/>
          <w:sz w:val="24"/>
          <w:szCs w:val="24"/>
          <w:rFonts w:ascii="SimSun" w:eastAsia="SimSun" w:hAnsi="SimSun" w:cs="SimSun"/>
        </w:rPr>
        <w:t xml:space="preserve">愉天小区（2套、130.6㎡）与碧波花园（1套、121.92㎡）体量极小，但区位条件各有特点。愉天小区距田贝地铁站约0.3km，3公里内岗位类POI占比约100%（口径同上），职住条件为各点位中最优，且紧邻IBC购物中心等商业配套；碧波花园距怡景地铁站约0.5km，岗位类POI占比约76%（口径同上），职住条件亦较优。梅兴苑（1套、114.34㎡）位于福田上梅林，距梅村地铁站约0.1km，岗位类POI占比约55%（口径同上），交通可达性好。</w:t>
      </w:r>
    </w:p>
    <w:p>
      <w:pPr>
        <w:spacing w:before="0" w:after="0" w:line="312" w:lineRule="auto"/>
        <w:ind w:firstLine="480"/>
      </w:pPr>
      <w:r>
        <w:rPr>
          <w:color w:val="000000"/>
          <w:sz w:val="24"/>
          <w:szCs w:val="24"/>
          <w:rFonts w:ascii="SimSun" w:eastAsia="SimSun" w:hAnsi="SimSun" w:cs="SimSun"/>
        </w:rPr>
        <w:t xml:space="preserve">综合判断，本项目房源均位于深圳原特区内核心城区，区位条件整体优良，但各点位在房源集中度、户型结构、交通便利性方面存在差异。产品定位不宜简单套用同一档次标准，而应在保障性租赁住房统一属性下，依据各点位条件实行差异化配置。</w:t>
      </w:r>
    </w:p>
    <w:p>
      <w:pPr>
        <w:spacing w:before="0" w:after="0" w:line="312" w:lineRule="auto"/>
        <w:ind w:firstLine="480"/>
      </w:pPr>
      <w:r>
        <w:rPr>
          <w:color w:val="000000"/>
          <w:sz w:val="24"/>
          <w:szCs w:val="24"/>
          <w:rFonts w:ascii="SimSun" w:eastAsia="SimSun" w:hAnsi="SimSun" w:cs="SimSun"/>
        </w:rPr>
        <w:t xml:space="preserve">（三）目标客群与产品形态定位</w:t>
      </w:r>
    </w:p>
    <w:p>
      <w:pPr>
        <w:spacing w:before="0" w:after="0" w:line="312" w:lineRule="auto"/>
        <w:ind w:firstLine="480"/>
      </w:pPr>
      <w:r>
        <w:rPr>
          <w:color w:val="000000"/>
          <w:sz w:val="24"/>
          <w:szCs w:val="24"/>
          <w:rFonts w:ascii="SimSun" w:eastAsia="SimSun" w:hAnsi="SimSun" w:cs="SimSun"/>
        </w:rPr>
        <w:t xml:space="preserve">基于区位条件与房源特征，本项目目标客群可界定为：在罗湖、福田核心区就业的新市民、青年人及基层公共服务人员，重点包括周边金融机构、专业服务业、科创企业从业人员及机关事业单位职工。该客群收入水平处于深圳市中位区间，对居住品质有明确要求但支付能力有限，对通勤便利性和生活配套敏感度较高。</w:t>
      </w:r>
    </w:p>
    <w:p>
      <w:pPr>
        <w:spacing w:before="0" w:after="0" w:line="312" w:lineRule="auto"/>
        <w:ind w:firstLine="480"/>
      </w:pPr>
      <w:r>
        <w:rPr>
          <w:color w:val="000000"/>
          <w:sz w:val="24"/>
          <w:szCs w:val="24"/>
          <w:rFonts w:ascii="SimSun" w:eastAsia="SimSun" w:hAnsi="SimSun" w:cs="SimSun"/>
        </w:rPr>
        <w:t xml:space="preserve">从户型结构看，本项目房源以2—4房的中大户型为主，与保障性租赁住房常见的单身公寓、一房小户型产品存在结构性差异。这一特征决定了本项目客群不仅限于单身青年，还须覆盖两类补充客群：一是核心区家庭型租户，因子女教育或工作就近需要租住，对户型面积和居住品质有较高要求；二是同事、朋友合租群体，通过合租分摊租金以适配支付能力。按本项目平均单套约4,678元/月的预估租金测算，单套整租对个人租户存在一定支付压力，合租或家庭承租是更现实的租赁模式。</w:t>
      </w:r>
    </w:p>
    <w:p>
      <w:pPr>
        <w:spacing w:before="0" w:after="0" w:line="312" w:lineRule="auto"/>
        <w:ind w:firstLine="480"/>
      </w:pPr>
      <w:r>
        <w:rPr>
          <w:color w:val="000000"/>
          <w:sz w:val="24"/>
          <w:szCs w:val="24"/>
          <w:rFonts w:ascii="SimSun" w:eastAsia="SimSun" w:hAnsi="SimSun" w:cs="SimSun"/>
        </w:rPr>
        <w:t xml:space="preserve">产品形态方面，本项目定位为分散式保障性租赁住房，区别于集中式品牌公寓的运营模式。各房源嵌入既有成熟社区，共享小区物业管理与公共配套，无需另行配置公区，改造重点集中于室内空间。这一形态的优势在于：一是可依托成熟社区的生活配套和安全感，降低租户的居住适应成本；二是无需承担集中式公寓的公区建设与运营成本，改造投入更聚焦于室内；三是房源分散于多个小区，可对接不同区域的租赁需求，降低单一区位市场波动风险。劣势在于：缺乏集中式公寓的社群运营和公共活动空间，品牌辨识度和租户粘性相对较弱，须通过室内品质和运营服务弥补。</w:t>
      </w:r>
    </w:p>
    <w:p>
      <w:pPr>
        <w:spacing w:before="0" w:after="0" w:line="312" w:lineRule="auto"/>
        <w:ind w:firstLine="480"/>
      </w:pPr>
      <w:r>
        <w:rPr>
          <w:color w:val="000000"/>
          <w:sz w:val="24"/>
          <w:szCs w:val="24"/>
          <w:rFonts w:ascii="SimSun" w:eastAsia="SimSun" w:hAnsi="SimSun" w:cs="SimSun"/>
        </w:rPr>
        <w:t xml:space="preserve">（四）改造标准与产品竞争力分析</w:t>
      </w:r>
    </w:p>
    <w:p>
      <w:pPr>
        <w:spacing w:before="0" w:after="0" w:line="312" w:lineRule="auto"/>
        <w:ind w:firstLine="480"/>
      </w:pPr>
      <w:r>
        <w:rPr>
          <w:color w:val="000000"/>
          <w:sz w:val="24"/>
          <w:szCs w:val="24"/>
          <w:rFonts w:ascii="SimSun" w:eastAsia="SimSun" w:hAnsi="SimSun" w:cs="SimSun"/>
        </w:rPr>
        <w:t xml:space="preserve">改造标准是产品定位的核心落地环节，直接决定产品品质、成本投入与租金实现能力。本项目改造须兼顾两个目标：一是达到“拎包入住”标准，满足保障性租赁住房的基本品质要求；二是控制改造成本，确保租金收益覆盖投入并实现合理回报。</w:t>
      </w:r>
    </w:p>
    <w:p>
      <w:pPr>
        <w:spacing w:before="0" w:after="0" w:line="312" w:lineRule="auto"/>
        <w:ind w:firstLine="480"/>
      </w:pPr>
      <w:r>
        <w:rPr>
          <w:color w:val="000000"/>
          <w:sz w:val="24"/>
          <w:szCs w:val="24"/>
          <w:rFonts w:ascii="SimSun" w:eastAsia="SimSun" w:hAnsi="SimSun" w:cs="SimSun"/>
        </w:rPr>
        <w:t xml:space="preserve">依据房源现状差异，本项目实行分级改造策略。银湖半山小区37套房源现状为精装修，仅部分因长期空置有所损坏，改造内容以简单翻新和增配家具家电为主，单位改造成本相对较低。其余5个小区14套房源现状较为老旧，须进行室内全面翻新并配置家具家电，单位改造成本相对较高。分级改造策略的合理性在于：将有限改造资金优先投入品质缺口较大的房源，避免对现状较好房源过度投入造成资金浪费，实现改造资金使用效率最大化。</w:t>
      </w:r>
    </w:p>
    <w:p>
      <w:pPr>
        <w:spacing w:before="0" w:after="0" w:line="312" w:lineRule="auto"/>
        <w:ind w:firstLine="480"/>
      </w:pPr>
      <w:r>
        <w:rPr>
          <w:color w:val="000000"/>
          <w:sz w:val="24"/>
          <w:szCs w:val="24"/>
          <w:rFonts w:ascii="SimSun" w:eastAsia="SimSun" w:hAnsi="SimSun" w:cs="SimSun"/>
        </w:rPr>
        <w:t xml:space="preserve">从产品竞争力看，本项目核心竞争优势在于区位与价格两个维度。区位方面，罗湖、福田核心区新增租赁住房供应有限，本项目房源嵌入成熟社区，周边教育、医疗、商业配套完善，具备不可复制的区位稀缺性。价格方面，按市场租金9折定价，平均租金约42.44元/㎡/月，低于同区域市场化租赁住房水平，对目标客群具有明确的价格吸引力。以金湖路6号为例，周边竞品以品牌公寓为主，其单位租金普遍高于本项目保障性租赁住房的定价上限，本项目以9折租金提供同等居住品质，性价比优势明显。</w:t>
      </w:r>
    </w:p>
    <w:p>
      <w:pPr>
        <w:spacing w:before="0" w:after="0" w:line="312" w:lineRule="auto"/>
        <w:ind w:firstLine="480"/>
      </w:pPr>
      <w:r>
        <w:rPr>
          <w:color w:val="000000"/>
          <w:sz w:val="24"/>
          <w:szCs w:val="24"/>
          <w:rFonts w:ascii="SimSun" w:eastAsia="SimSun" w:hAnsi="SimSun" w:cs="SimSun"/>
        </w:rPr>
        <w:t xml:space="preserve">产品劣势方面，主要体现在三方面：一是房源分散且单点体量小，运营管理半径较大，单位管理成本相对集中式项目偏高；二是部分房源位于老旧小区，建筑外立面、公共区域等硬件条件不及新建或品牌公寓项目，室内品质与室外环境存在落差；三是中大户型为主的产品结构，与保障性租赁住房主力客群（单身青年、新市民）的小户型需求存在一定错配，须通过合租模式或家庭客群补充消化。</w:t>
      </w:r>
    </w:p>
    <w:p>
      <w:pPr>
        <w:spacing w:before="0" w:after="0" w:line="312" w:lineRule="auto"/>
        <w:ind w:firstLine="480"/>
      </w:pPr>
      <w:r>
        <w:rPr>
          <w:color w:val="000000"/>
          <w:sz w:val="24"/>
          <w:szCs w:val="24"/>
          <w:rFonts w:ascii="SimSun" w:eastAsia="SimSun" w:hAnsi="SimSun" w:cs="SimSun"/>
        </w:rPr>
        <w:t xml:space="preserve">（五）产品定位结论</w:t>
      </w:r>
    </w:p>
    <w:p>
      <w:pPr>
        <w:spacing w:before="0" w:after="0" w:line="312" w:lineRule="auto"/>
        <w:ind w:firstLine="480"/>
      </w:pPr>
      <w:r>
        <w:rPr>
          <w:color w:val="000000"/>
          <w:sz w:val="24"/>
          <w:szCs w:val="24"/>
          <w:rFonts w:ascii="SimSun" w:eastAsia="SimSun" w:hAnsi="SimSun" w:cs="SimSun"/>
        </w:rPr>
        <w:t xml:space="preserve">综合上述分析，本项目产品定位如下：</w:t>
      </w:r>
    </w:p>
    <w:p>
      <w:pPr>
        <w:spacing w:before="0" w:after="0" w:line="312" w:lineRule="auto"/>
        <w:ind w:firstLine="480"/>
      </w:pPr>
      <w:r>
        <w:rPr>
          <w:color w:val="000000"/>
          <w:sz w:val="24"/>
          <w:szCs w:val="24"/>
          <w:rFonts w:ascii="SimSun" w:eastAsia="SimSun" w:hAnsi="SimSun" w:cs="SimSun"/>
        </w:rPr>
        <w:t xml:space="preserve">产品属性：保障性租赁住房（市场主体组织配租），按市场租金9折对外出租。</w:t>
      </w:r>
    </w:p>
    <w:p>
      <w:pPr>
        <w:spacing w:before="0" w:after="0" w:line="312" w:lineRule="auto"/>
        <w:ind w:firstLine="480"/>
      </w:pPr>
      <w:r>
        <w:rPr>
          <w:color w:val="000000"/>
          <w:sz w:val="24"/>
          <w:szCs w:val="24"/>
          <w:rFonts w:ascii="SimSun" w:eastAsia="SimSun" w:hAnsi="SimSun" w:cs="SimSun"/>
        </w:rPr>
        <w:t xml:space="preserve">产品形态：分散式存量住宅改造，嵌入既有成熟社区，不设集中式公区，以室内空间品质为核心竞争力。</w:t>
      </w:r>
    </w:p>
    <w:p>
      <w:pPr>
        <w:spacing w:before="0" w:after="0" w:line="312" w:lineRule="auto"/>
        <w:ind w:firstLine="480"/>
      </w:pPr>
      <w:r>
        <w:rPr>
          <w:color w:val="000000"/>
          <w:sz w:val="24"/>
          <w:szCs w:val="24"/>
          <w:rFonts w:ascii="SimSun" w:eastAsia="SimSun" w:hAnsi="SimSun" w:cs="SimSun"/>
        </w:rPr>
        <w:t xml:space="preserve">目标客群：罗湖、福田核心区就业的新市民、青年人、基层公共服务人员，兼顾核心区家庭型租户及合租群体。</w:t>
      </w:r>
    </w:p>
    <w:p>
      <w:pPr>
        <w:spacing w:before="0" w:after="0" w:line="312" w:lineRule="auto"/>
        <w:ind w:firstLine="480"/>
      </w:pPr>
      <w:r>
        <w:rPr>
          <w:color w:val="000000"/>
          <w:sz w:val="24"/>
          <w:szCs w:val="24"/>
          <w:rFonts w:ascii="SimSun" w:eastAsia="SimSun" w:hAnsi="SimSun" w:cs="SimSun"/>
        </w:rPr>
        <w:t xml:space="preserve">改造标准：实行分级改造——银湖半山以简单翻新及增配家具家电为主，其余小区实施室内全面翻新并配置家具家电，全部房源达到拎包入住标准。</w:t>
      </w:r>
    </w:p>
    <w:p>
      <w:pPr>
        <w:spacing w:before="0" w:after="0" w:line="312" w:lineRule="auto"/>
        <w:ind w:firstLine="480"/>
      </w:pPr>
      <w:r>
        <w:rPr>
          <w:color w:val="000000"/>
          <w:sz w:val="24"/>
          <w:szCs w:val="24"/>
          <w:rFonts w:ascii="SimSun" w:eastAsia="SimSun" w:hAnsi="SimSun" w:cs="SimSun"/>
        </w:rPr>
        <w:t xml:space="preserve">品质档次：中档实用型，以“区位优越＋租金可控＋拎包入住”为核心卖点，不追求高端配置，重点保障功能完备、品质可靠、居住舒适。</w:t>
      </w:r>
    </w:p>
    <w:p>
      <w:pPr>
        <w:spacing w:before="0" w:after="0" w:line="312" w:lineRule="auto"/>
        <w:ind w:firstLine="480"/>
      </w:pPr>
      <w:r>
        <w:rPr>
          <w:color w:val="000000"/>
          <w:sz w:val="24"/>
          <w:szCs w:val="24"/>
          <w:rFonts w:ascii="SimSun" w:eastAsia="SimSun" w:hAnsi="SimSun" w:cs="SimSun"/>
        </w:rPr>
        <w:t xml:space="preserve">租赁模式：以整租为主，鼓励同单位、同行业合租；可探索与周边企事业单位建立合作关系，定向对接稳定租户需求。</w:t>
      </w:r>
    </w:p>
    <w:p>
      <w:pPr>
        <w:spacing w:before="0" w:after="0" w:line="312" w:lineRule="auto"/>
        <w:ind w:firstLine="480"/>
      </w:pPr>
      <w:r>
        <w:rPr>
          <w:color w:val="000000"/>
          <w:sz w:val="24"/>
          <w:szCs w:val="24"/>
          <w:rFonts w:ascii="SimSun" w:eastAsia="SimSun" w:hAnsi="SimSun" w:cs="SimSun"/>
        </w:rPr>
        <w:t xml:space="preserve">差异化策略：依托9折租金的政策性价格优势，叠加核心区成熟地段的生活便利性，形成与周边市场化品牌公寓的差异化竞争；以室内全装修、家具家电配置的确定性品质，弥补老旧小区外部环境的不足。</w:t>
      </w:r>
    </w:p>
    <w:p>
      <w:pPr>
        <w:spacing w:before="0" w:after="0" w:line="312" w:lineRule="auto"/>
        <w:ind w:firstLine="480"/>
      </w:pPr>
      <w:r>
        <w:rPr>
          <w:color w:val="000000"/>
          <w:sz w:val="24"/>
          <w:szCs w:val="24"/>
          <w:rFonts w:ascii="SimSun" w:eastAsia="SimSun" w:hAnsi="SimSun" w:cs="SimSun"/>
        </w:rPr>
        <w:t xml:space="preserve">上述产品定位与第五章实施定位相衔接，改造标准、入市节奏及运营模式的具体安排在实施章节详述。</w:t>
      </w:r>
    </w:p>
    <w:p>
      <w:pPr>
        <w:keepNext/>
        <w:spacing w:before="180" w:after="100"/>
        <w:jc w:val="center"/>
      </w:pPr>
      <w:r>
        <w:rPr>
          <w:b/>
          <w:bCs/>
          <w:color w:val="000000"/>
          <w:sz w:val="22"/>
          <w:szCs w:val="22"/>
          <w:rFonts w:ascii="SimSun" w:eastAsia="SimSun" w:hAnsi="SimSun" w:cs="SimSun"/>
        </w:rPr>
        <w:t xml:space="preserve">产品定位表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370"/>
        <w:gridCol w:w="724"/>
        <w:gridCol w:w="1823"/>
        <w:gridCol w:w="1823"/>
        <w:gridCol w:w="1823"/>
        <w:gridCol w:w="943"/>
      </w:tblGrid>
      <w:tr>
        <w:trPr>
          <w:cantSplit/>
          <w:tblHeader/>
        </w:trPr>
        <w:tc>
          <w:tcPr>
            <w:tcW w:type="dxa" w:w="1370"/>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对标内容</w:t>
            </w:r>
          </w:p>
        </w:tc>
        <w:tc>
          <w:tcPr>
            <w:tcW w:type="dxa" w:w="724"/>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本项目</w:t>
            </w:r>
          </w:p>
        </w:tc>
        <w:tc>
          <w:tcPr>
            <w:tcW w:type="dxa" w:w="182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重点竞品 1（XX）</w:t>
            </w:r>
          </w:p>
        </w:tc>
        <w:tc>
          <w:tcPr>
            <w:tcW w:type="dxa" w:w="182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重点竞品 2（XX）</w:t>
            </w:r>
          </w:p>
        </w:tc>
        <w:tc>
          <w:tcPr>
            <w:tcW w:type="dxa" w:w="182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重点竞品 3（XX）</w:t>
            </w:r>
          </w:p>
        </w:tc>
        <w:tc>
          <w:tcPr>
            <w:tcW w:type="dxa" w:w="943"/>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对标结论</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资源：交通通达性</w:t>
            </w:r>
          </w:p>
        </w:tc>
        <w:tc>
          <w:tcPr>
            <w:tcW w:type="dxa" w:w="724"/>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资源：商业配套</w:t>
            </w:r>
          </w:p>
        </w:tc>
        <w:tc>
          <w:tcPr>
            <w:tcW w:type="dxa" w:w="724"/>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资源：外部环境</w:t>
            </w:r>
          </w:p>
        </w:tc>
        <w:tc>
          <w:tcPr>
            <w:tcW w:type="dxa" w:w="724"/>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户型</w:t>
            </w:r>
          </w:p>
        </w:tc>
        <w:tc>
          <w:tcPr>
            <w:tcW w:type="dxa" w:w="724"/>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装修标准</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分级改造，全部达到拎包入住</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房源现状勘察（银湖半山精装修、其余老旧）；银湖半山简单翻新＋增配家具家电；其余全面翻新＋配置家具家电</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室内配置</w:t>
            </w:r>
          </w:p>
        </w:tc>
        <w:tc>
          <w:tcPr>
            <w:tcW w:type="dxa" w:w="724"/>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公区</w:t>
            </w:r>
          </w:p>
        </w:tc>
        <w:tc>
          <w:tcPr>
            <w:tcW w:type="dxa" w:w="724"/>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产品属性</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保障性租赁住房</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深建规〔2023〕4号；《合作框架协议》；市场主体组织配租</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产品形态</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分散式存量住宅改造</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房源分布于6个小区，均为既有住宅；嵌入成熟社区，不设集中式公区</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目标客群</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核心区新市民、青年人、基层公共服务人员，兼顾家庭型租户及合租群体</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区位职住条件及户型结构分析；中大户型须适配合租或家庭承租</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品质档次</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中档实用型</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市场租金9折定价约束与目标客群支付能力；功能完备、品质可靠、居住舒适</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租赁模式</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整租为主，鼓励合租</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单套面积65.30—147.62㎡，平均单套预估租金约4,678元/月；可探索企事业单位定向合作</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定价策略</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市场租金9折</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保障性租赁住房政策要求；平均约42.44元/㎡/月</w:t>
            </w:r>
          </w:p>
        </w:tc>
      </w:tr>
      <w:tr>
        <w:trPr>
          <w:cantSplit/>
          <w:tblHeader w:val="false"/>
        </w:trPr>
        <w:tc>
          <w:tcPr>
            <w:tcW w:type="dxa" w:w="1370"/>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差异化优势</w:t>
            </w:r>
          </w:p>
        </w:tc>
        <w:tc>
          <w:tcPr>
            <w:tcW w:type="dxa" w:w="724"/>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区位稀缺性＋政策性价格优势＋拎包入住确定性</w:t>
            </w: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1823"/>
            <w:tcMar>
              <w:top w:type="dxa" w:w="42"/>
              <w:left w:type="dxa" w:w="55"/>
              <w:bottom w:type="dxa" w:w="42"/>
              <w:right w:type="dxa" w:w="55"/>
            </w:tcMar>
            <w:vAlign w:val="center"/>
          </w:tcPr>
          <w:p>
            <w:pPr>
              <w:spacing w:line="250" w:lineRule="auto"/>
              <w:jc w:val="center"/>
            </w:pPr>
          </w:p>
        </w:tc>
        <w:tc>
          <w:tcPr>
            <w:tcW w:type="dxa" w:w="943"/>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周边竞品租金及区位对比；以性价比弥补老旧小区外部环境短板</w:t>
            </w:r>
          </w:p>
        </w:tc>
      </w:tr>
    </w:tbl>
    <w:p>
      <w:pPr>
        <w:pStyle w:val="Heading1"/>
        <w:pageBreakBefore/>
        <w:spacing w:after="360" w:line="312" w:lineRule="auto"/>
        <w:jc w:val="center"/>
      </w:pPr>
      <w:bookmarkStart w:name="_tc3" w:id="1"/>
      <w:r>
        <w:rPr>
          <w:b/>
          <w:bCs/>
          <w:color w:val="000000"/>
          <w:sz w:val="44"/>
          <w:szCs w:val="44"/>
          <w:rFonts w:ascii="SimSun" w:eastAsia="SimSun" w:hAnsi="SimSun" w:cs="SimSun"/>
        </w:rPr>
        <w:t xml:space="preserve">第四章　项目条件和SWOT分析</w:t>
      </w:r>
      <w:bookmarkEnd w:id="1"/>
    </w:p>
    <w:p>
      <w:pPr>
        <w:pStyle w:val="Heading2"/>
        <w:spacing w:before="280" w:after="160" w:line="312" w:lineRule="auto"/>
      </w:pPr>
      <w:bookmarkStart w:name="_tc3_0" w:id="1"/>
      <w:r>
        <w:rPr>
          <w:b/>
          <w:bCs/>
          <w:color w:val="000000"/>
          <w:sz w:val="28"/>
          <w:szCs w:val="28"/>
          <w:rFonts w:ascii="SimSun" w:eastAsia="SimSun" w:hAnsi="SimSun" w:cs="SimSun"/>
        </w:rPr>
        <w:t xml:space="preserve">4.1　项目条件</w:t>
      </w:r>
      <w:bookmarkEnd w:id="1"/>
    </w:p>
    <w:p>
      <w:pPr>
        <w:spacing w:before="0" w:after="0" w:line="312" w:lineRule="auto"/>
        <w:ind w:firstLine="480"/>
      </w:pPr>
      <w:r>
        <w:rPr>
          <w:color w:val="000000"/>
          <w:sz w:val="24"/>
          <w:szCs w:val="24"/>
          <w:rFonts w:ascii="SimSun" w:eastAsia="SimSun" w:hAnsi="SimSun" w:cs="SimSun"/>
        </w:rPr>
        <w:t xml:space="preserve">本项目为市税务局第一批合作房源改造为保障性租赁住房项目，涉及罗湖区、福田区共6个居住小区51套存量住宅，总建筑面积约5,621.15平方米，由深圳市罗湖安居有限公司作为实施主体，以收益分成方式与国家税务总局深圳市税务局开展合作。项目区位条件、物业本体条件及改造实施条件如下：</w:t>
      </w:r>
    </w:p>
    <w:p>
      <w:pPr>
        <w:spacing w:before="0" w:after="0" w:line="312" w:lineRule="auto"/>
        <w:ind w:firstLine="480"/>
      </w:pPr>
      <w:r>
        <w:rPr>
          <w:color w:val="000000"/>
          <w:sz w:val="24"/>
          <w:szCs w:val="24"/>
          <w:rFonts w:ascii="SimSun" w:eastAsia="SimSun" w:hAnsi="SimSun" w:cs="SimSun"/>
        </w:rPr>
        <w:t xml:space="preserve">1. 区位与交通条件</w:t>
      </w:r>
    </w:p>
    <w:p>
      <w:pPr>
        <w:spacing w:before="0" w:after="0" w:line="312" w:lineRule="auto"/>
        <w:ind w:firstLine="480"/>
      </w:pPr>
      <w:r>
        <w:rPr>
          <w:color w:val="000000"/>
          <w:sz w:val="24"/>
          <w:szCs w:val="24"/>
          <w:rFonts w:ascii="SimSun" w:eastAsia="SimSun" w:hAnsi="SimSun" w:cs="SimSun"/>
        </w:rPr>
        <w:t xml:space="preserve">项目51套房源分布于罗湖区银湖半山、宝泉庄、松园小区、碧波花园、愉天小区及福田区梅兴苑等6个成熟居住小区，整体区位条件优越，均处于城区核心地段。各房源点周边城市道路网络较为完善，可通过泥岗路、北环大道等城市主干道衔接全市路网，且临近轨道交通站点，公交接驳条件基本可满足日常通勤需求。其中，银湖半山小区为本次改造规模最大的集中房源点，共37套，建筑面积4,249.9平方米，占项目总面积的76%，地处罗湖区金湖路沿线，属银湖片区，距罗湖区图书馆公交站约0.4公里、金湖路东公交站约0.5公里，距轨道交通泥岗站约1公里、罗湖北站约1.4公里、银湖站约1.4公里；松园小区、宝泉庄位于罗湖中心城区，临近红岭、园岭等轨道站点（0.4—0.9公里），公交站点密集；愉天小区紧邻田贝站（约0.3公里）；碧波花园临近怡景站（约0.5公里）；梅兴苑位于福田上梅林片区，距梅村站约0.1公里。各房源点所处片区居住与就业功能相对均衡，周边商业、教育、医疗等生活配套成熟，具备保障性租赁住房需求的支撑基础。项目区位及周边配套分布详见附图。</w:t>
      </w:r>
    </w:p>
    <w:p>
      <w:pPr>
        <w:spacing w:before="0" w:after="0" w:line="312" w:lineRule="auto"/>
        <w:ind w:firstLine="480"/>
      </w:pPr>
      <w:r>
        <w:rPr>
          <w:color w:val="000000"/>
          <w:sz w:val="24"/>
          <w:szCs w:val="24"/>
          <w:rFonts w:ascii="SimSun" w:eastAsia="SimSun" w:hAnsi="SimSun" w:cs="SimSun"/>
        </w:rPr>
        <w:t xml:space="preserve">2. 物业本体条件</w:t>
      </w:r>
    </w:p>
    <w:p>
      <w:pPr>
        <w:spacing w:before="0" w:after="0" w:line="312" w:lineRule="auto"/>
        <w:ind w:firstLine="480"/>
      </w:pPr>
      <w:r>
        <w:rPr>
          <w:color w:val="000000"/>
          <w:sz w:val="24"/>
          <w:szCs w:val="24"/>
          <w:rFonts w:ascii="SimSun" w:eastAsia="SimSun" w:hAnsi="SimSun" w:cs="SimSun"/>
        </w:rPr>
        <w:t xml:space="preserve">51套房源全部为住宅用途，分布于6个成熟居住小区内，产权归属清晰，由市税务局提供不动产权属证书等合法权属资料</w:t>
      </w:r>
      <w:r>
        <w:rPr>
          <w:b/>
          <w:bCs/>
          <w:color w:val="C62828"/>
          <w:sz w:val="24"/>
          <w:szCs w:val="24"/>
          <w:rFonts w:ascii="SimSun" w:eastAsia="SimSun" w:hAnsi="SimSun" w:cs="SimSun"/>
        </w:rPr>
        <w:t xml:space="preserve">【待补：具体权属证号及面积测绘报告】</w:t>
      </w:r>
      <w:r>
        <w:rPr>
          <w:color w:val="000000"/>
          <w:sz w:val="24"/>
          <w:szCs w:val="24"/>
          <w:rFonts w:ascii="SimSun" w:eastAsia="SimSun" w:hAnsi="SimSun" w:cs="SimSun"/>
        </w:rPr>
        <w:t xml:space="preserve">。户型涵盖65.30—147.62平方米的二至四房，其中银湖半山小区房源以90.29—125.03平方米的二至四房为主，现状为精装修，部分因长期空置装修有所损坏，改造难度相对较低；其余小区房源楼龄较长、室内装修老旧，需进行整体翻新并配置家具家电方可达到拎包入住标准。各房源点分散于6个小区，单点房源数量1—37套不等，其中银湖半山集中度最高（37套），有利于形成规模管理效应，其余点位房源分散、单点规模较小，对后期运营管理的单位成本控制提出一定要求。各房源点分布及户型情况见表4-1。</w:t>
      </w:r>
    </w:p>
    <w:p>
      <w:pPr>
        <w:spacing w:before="0" w:after="0" w:line="312" w:lineRule="auto"/>
        <w:ind w:firstLine="480"/>
      </w:pPr>
      <w:r>
        <w:rPr>
          <w:color w:val="000000"/>
          <w:sz w:val="24"/>
          <w:szCs w:val="24"/>
          <w:rFonts w:ascii="SimSun" w:eastAsia="SimSun" w:hAnsi="SimSun" w:cs="SimSun"/>
        </w:rPr>
        <w:t xml:space="preserve">详见第1.3节“项目基本情况表”。</w:t>
      </w:r>
    </w:p>
    <w:p>
      <w:pPr>
        <w:spacing w:before="0" w:after="0" w:line="312" w:lineRule="auto"/>
        <w:ind w:firstLine="480"/>
      </w:pPr>
      <w:r>
        <w:rPr>
          <w:color w:val="000000"/>
          <w:sz w:val="24"/>
          <w:szCs w:val="24"/>
          <w:rFonts w:ascii="SimSun" w:eastAsia="SimSun" w:hAnsi="SimSun" w:cs="SimSun"/>
        </w:rPr>
        <w:t xml:space="preserve">注：数据来源为《关于罗湖公司申请市税务局第一批合作房源改造为保租房项目投资立项的请示》，建筑面积为约数。</w:t>
      </w:r>
    </w:p>
    <w:p>
      <w:pPr>
        <w:spacing w:before="0" w:after="0" w:line="312" w:lineRule="auto"/>
        <w:ind w:firstLine="480"/>
      </w:pPr>
      <w:r>
        <w:rPr>
          <w:color w:val="000000"/>
          <w:sz w:val="24"/>
          <w:szCs w:val="24"/>
          <w:rFonts w:ascii="SimSun" w:eastAsia="SimSun" w:hAnsi="SimSun" w:cs="SimSun"/>
        </w:rPr>
        <w:t xml:space="preserve">3. 改造实施条件</w:t>
      </w:r>
    </w:p>
    <w:p>
      <w:pPr>
        <w:spacing w:before="0" w:after="0" w:line="312" w:lineRule="auto"/>
        <w:ind w:firstLine="480"/>
      </w:pPr>
      <w:r>
        <w:rPr>
          <w:color w:val="000000"/>
          <w:sz w:val="24"/>
          <w:szCs w:val="24"/>
          <w:rFonts w:ascii="SimSun" w:eastAsia="SimSun" w:hAnsi="SimSun" w:cs="SimSun"/>
        </w:rPr>
        <w:t xml:space="preserve">本项目属存量住宅改造为保障性租赁住房，不涉及新增建设用地及主体结构变更，依据《深圳市保障性租赁住房项目认定办法（试行）》（深建规〔2023〕4号），产权明晰的居住存量房屋可申请认定为保障性租赁住房，政策通道明确。改造内容以室内翻新、给排水及电气局部更新、家具家电配置为主，施工工艺成熟、周期可控。项目总投资13,892万元，由深圳市罗湖安居有限公司承担，合作期限首期12年，以收益分成方式与市税务局合作（来源：《市税务局第一批合作房源改造为保障性租赁住房项目合作协议（草案）》）。需关注的是，各房源分散于不同小区、不同楼栋，现场施工组织、物业协调及成品保护工作量较大，且部分房源所在小区为税务系统职工住宅区，施工期间对既有住户的干扰控制亦需纳入实施筹划。</w:t>
      </w:r>
    </w:p>
    <w:p>
      <w:pPr>
        <w:pStyle w:val="Heading2"/>
        <w:spacing w:before="280" w:after="160" w:line="312" w:lineRule="auto"/>
      </w:pPr>
      <w:bookmarkStart w:name="_tc3_1" w:id="1"/>
      <w:r>
        <w:rPr>
          <w:b/>
          <w:bCs/>
          <w:color w:val="000000"/>
          <w:sz w:val="28"/>
          <w:szCs w:val="28"/>
          <w:rFonts w:ascii="SimSun" w:eastAsia="SimSun" w:hAnsi="SimSun" w:cs="SimSun"/>
        </w:rPr>
        <w:t xml:space="preserve">4.2　SWOT综合分析</w:t>
      </w:r>
      <w:bookmarkEnd w:id="1"/>
    </w:p>
    <w:p>
      <w:pPr>
        <w:spacing w:before="0" w:after="0" w:line="312" w:lineRule="auto"/>
        <w:ind w:firstLine="480"/>
      </w:pPr>
      <w:r>
        <w:rPr>
          <w:color w:val="000000"/>
          <w:sz w:val="24"/>
          <w:szCs w:val="24"/>
          <w:rFonts w:ascii="SimSun" w:eastAsia="SimSun" w:hAnsi="SimSun" w:cs="SimSun"/>
        </w:rPr>
        <w:t xml:space="preserve">1. 优势（S）</w:t>
      </w:r>
    </w:p>
    <w:p>
      <w:pPr>
        <w:spacing w:before="0" w:after="0" w:line="312" w:lineRule="auto"/>
        <w:ind w:firstLine="480"/>
      </w:pPr>
      <w:r>
        <w:rPr>
          <w:color w:val="000000"/>
          <w:sz w:val="24"/>
          <w:szCs w:val="24"/>
          <w:rFonts w:ascii="SimSun" w:eastAsia="SimSun" w:hAnsi="SimSun" w:cs="SimSun"/>
        </w:rPr>
        <w:t xml:space="preserve">（1）区位条件成熟，职住匹配基础较好。项目51套房源全部位于罗湖、福田核心建成区的成熟居住小区内，周边交通、商业、公共服务配套完善。主力房源银湖半山小区37套、建筑面积4249.9㎡，占房源总量的76%，位于罗湖银湖片区，周边地铁、公交站点密集，通勤条件便利；松园小区、愉天小区、碧波花园等点位所处片区就业岗位集聚度较高，租赁需求支撑较强；梅兴苑位于福田上梅林，临近地铁站点，交通可达性良好。整体而言，项目房源分布与中心城区住房租赁需求热点区域基本重合，为保障稳定出租率提供了区位基础。</w:t>
      </w:r>
    </w:p>
    <w:p>
      <w:pPr>
        <w:spacing w:before="0" w:after="0" w:line="312" w:lineRule="auto"/>
        <w:ind w:firstLine="480"/>
      </w:pPr>
      <w:r>
        <w:rPr>
          <w:color w:val="000000"/>
          <w:sz w:val="24"/>
          <w:szCs w:val="24"/>
          <w:rFonts w:ascii="SimSun" w:eastAsia="SimSun" w:hAnsi="SimSun" w:cs="SimSun"/>
        </w:rPr>
        <w:t xml:space="preserve">（2）权属清晰，改造实施条件成熟。合作房源均为市税务局持有的存量居住房屋，权属明晰，符合《深圳市保障性租赁住房项目认定办法（试行）》（深建规〔2023〕4号）关于产权明晰居住存量房屋的认定条件，可依法申请保障性租赁住房认定，规避了新建项目选址、用地等前期不确定性。房源保持室内格局整体不变，以室内翻新及家私家电配置为主，其中银湖半山小区现状为精装修，仅需简单翻新及增配家具家电即可实现拎包入住，有利于控制改造成本、缩短建设周期。</w:t>
      </w:r>
    </w:p>
    <w:p>
      <w:pPr>
        <w:spacing w:before="0" w:after="0" w:line="312" w:lineRule="auto"/>
        <w:ind w:firstLine="480"/>
      </w:pPr>
      <w:r>
        <w:rPr>
          <w:color w:val="000000"/>
          <w:sz w:val="24"/>
          <w:szCs w:val="24"/>
          <w:rFonts w:ascii="SimSun" w:eastAsia="SimSun" w:hAnsi="SimSun" w:cs="SimSun"/>
        </w:rPr>
        <w:t xml:space="preserve">（3）合作模式锁定长期稳定收益。项目采用满租金整租经营模式，深圳市罗湖安居有限公司与国家税务总局深圳市税务局签订合作协议，首期合作期限12年，房源按现状交付并由深圳市罗湖安居有限公司统筹改造运营，收益分成机制明确，为项目全周期现金流提供了合同层面的稳定性保障。</w:t>
      </w:r>
    </w:p>
    <w:p>
      <w:pPr>
        <w:spacing w:before="0" w:after="0" w:line="312" w:lineRule="auto"/>
        <w:ind w:firstLine="480"/>
      </w:pPr>
      <w:r>
        <w:rPr>
          <w:color w:val="000000"/>
          <w:sz w:val="24"/>
          <w:szCs w:val="24"/>
          <w:rFonts w:ascii="SimSun" w:eastAsia="SimSun" w:hAnsi="SimSun" w:cs="SimSun"/>
        </w:rPr>
        <w:t xml:space="preserve">1. 劣势（W）</w:t>
      </w:r>
    </w:p>
    <w:p>
      <w:pPr>
        <w:spacing w:before="0" w:after="0" w:line="312" w:lineRule="auto"/>
        <w:ind w:firstLine="480"/>
      </w:pPr>
      <w:r>
        <w:rPr>
          <w:color w:val="000000"/>
          <w:sz w:val="24"/>
          <w:szCs w:val="24"/>
          <w:rFonts w:ascii="SimSun" w:eastAsia="SimSun" w:hAnsi="SimSun" w:cs="SimSun"/>
        </w:rPr>
        <w:t xml:space="preserve">（1）房源分散，规模效应受限。51套房源分布于罗湖、福田两区6个小区，单点房源1—37套不等，除银湖半山37套相对集中外，宝泉庄、松园小区各有3套、7套，碧波花园、愉天小区、梅兴苑各仅1—2套。分散布局增加了运营管理、维修响应及保洁安防的边际成本，单套运营成本800元/套/月在低密度点位难以有效摊薄，规模效应不明显。</w:t>
      </w:r>
    </w:p>
    <w:p>
      <w:pPr>
        <w:spacing w:before="0" w:after="0" w:line="312" w:lineRule="auto"/>
        <w:ind w:firstLine="480"/>
      </w:pPr>
      <w:r>
        <w:rPr>
          <w:color w:val="000000"/>
          <w:sz w:val="24"/>
          <w:szCs w:val="24"/>
          <w:rFonts w:ascii="SimSun" w:eastAsia="SimSun" w:hAnsi="SimSun" w:cs="SimSun"/>
        </w:rPr>
        <w:t xml:space="preserve">（2）部分房源现状老旧，装修改造投入较高。除银湖半山37套现状较好外，其余点位房源相对老旧，需按室内全部翻新并配置家具家电的标准实施，首次装修投入1500元/㎡，全周期装修2次、工程费合计3900万元，占总投资比重较大，推高了前期资金压力。</w:t>
      </w:r>
    </w:p>
    <w:p>
      <w:pPr>
        <w:spacing w:before="0" w:after="0" w:line="312" w:lineRule="auto"/>
        <w:ind w:firstLine="480"/>
      </w:pPr>
      <w:r>
        <w:rPr>
          <w:color w:val="000000"/>
          <w:sz w:val="24"/>
          <w:szCs w:val="24"/>
          <w:rFonts w:ascii="SimSun" w:eastAsia="SimSun" w:hAnsi="SimSun" w:cs="SimSun"/>
        </w:rPr>
        <w:t xml:space="preserve">（3）部分点位租赁需求支撑相对偏弱。红桂路1008号周边以居住功能为主，就业岗位集聚度较低，对稳定出租率形成一定制约，需在运营阶段加强招租渠道拓展和定价策略管理。</w:t>
      </w:r>
    </w:p>
    <w:p>
      <w:pPr>
        <w:spacing w:before="0" w:after="0" w:line="312" w:lineRule="auto"/>
        <w:ind w:firstLine="480"/>
      </w:pPr>
      <w:r>
        <w:rPr>
          <w:color w:val="000000"/>
          <w:sz w:val="24"/>
          <w:szCs w:val="24"/>
          <w:rFonts w:ascii="SimSun" w:eastAsia="SimSun" w:hAnsi="SimSun" w:cs="SimSun"/>
        </w:rPr>
        <w:t xml:space="preserve">1. 机会（O）</w:t>
      </w:r>
    </w:p>
    <w:p>
      <w:pPr>
        <w:spacing w:before="0" w:after="0" w:line="312" w:lineRule="auto"/>
        <w:ind w:firstLine="480"/>
      </w:pPr>
      <w:r>
        <w:rPr>
          <w:color w:val="000000"/>
          <w:sz w:val="24"/>
          <w:szCs w:val="24"/>
          <w:rFonts w:ascii="SimSun" w:eastAsia="SimSun" w:hAnsi="SimSun" w:cs="SimSun"/>
        </w:rPr>
        <w:t xml:space="preserve">（1）政策环境明确支持。项目属盘活行政事业单位存量闲置房屋发展保障性租赁住房的范畴，契合党中央、国务院关于盘活存量资产和发展保障性租赁住房的决策部署。深圳市已出台保障性租赁住房项目认定办法，为存量住宅改造为保租房提供了明确的认定路径和政策依据（来源：《深圳市保障性租赁住房项目认定办法（试行）》）。</w:t>
      </w:r>
    </w:p>
    <w:p>
      <w:pPr>
        <w:spacing w:before="0" w:after="0" w:line="312" w:lineRule="auto"/>
        <w:ind w:firstLine="480"/>
      </w:pPr>
      <w:r>
        <w:rPr>
          <w:color w:val="000000"/>
          <w:sz w:val="24"/>
          <w:szCs w:val="24"/>
          <w:rFonts w:ascii="SimSun" w:eastAsia="SimSun" w:hAnsi="SimSun" w:cs="SimSun"/>
        </w:rPr>
        <w:t xml:space="preserve">（2）核心区保租房供需缺口较大。项目房源位于罗湖、福田核心建成区，周边存量住宅租金水平较高，新市民、青年人及基本公共服务人员的住房需求集中。按市场租金9折出租的定价策略，在同类保租房项目中具备一定价格竞争力，有利于保障稳定出租率。</w:t>
      </w:r>
    </w:p>
    <w:p>
      <w:pPr>
        <w:spacing w:before="0" w:after="0" w:line="312" w:lineRule="auto"/>
        <w:ind w:firstLine="480"/>
      </w:pPr>
      <w:r>
        <w:rPr>
          <w:color w:val="000000"/>
          <w:sz w:val="24"/>
          <w:szCs w:val="24"/>
          <w:rFonts w:ascii="SimSun" w:eastAsia="SimSun" w:hAnsi="SimSun" w:cs="SimSun"/>
        </w:rPr>
        <w:t xml:space="preserve">（3）政企合作模式可复制推广。本项目以收益分成方式与市税务局合作，将行政事业单位闲置低效房屋转化为保障性住房供给，为深圳市盘活同类存量房源探索了可行路径，若运营效果良好，存在扩大合作房源规模的潜在空间。</w:t>
      </w:r>
    </w:p>
    <w:p>
      <w:pPr>
        <w:spacing w:before="0" w:after="0" w:line="312" w:lineRule="auto"/>
        <w:ind w:firstLine="480"/>
      </w:pPr>
      <w:r>
        <w:rPr>
          <w:color w:val="000000"/>
          <w:sz w:val="24"/>
          <w:szCs w:val="24"/>
          <w:rFonts w:ascii="SimSun" w:eastAsia="SimSun" w:hAnsi="SimSun" w:cs="SimSun"/>
        </w:rPr>
        <w:t xml:space="preserve">1. 威胁（T）</w:t>
      </w:r>
    </w:p>
    <w:p>
      <w:pPr>
        <w:spacing w:before="0" w:after="0" w:line="312" w:lineRule="auto"/>
        <w:ind w:firstLine="480"/>
      </w:pPr>
      <w:r>
        <w:rPr>
          <w:color w:val="000000"/>
          <w:sz w:val="24"/>
          <w:szCs w:val="24"/>
          <w:rFonts w:ascii="SimSun" w:eastAsia="SimSun" w:hAnsi="SimSun" w:cs="SimSun"/>
        </w:rPr>
        <w:t xml:space="preserve">（1）周边市场化租赁住房竞争。项目所在片区存量住宅小区密集，周边存在一定数量的市场化租赁房源供应，部分房源在户型面积、装修标准上与本项目形成直接竞争。若市场租金下行，按市场租金9折定价的租金优势可能收窄，影响项目出租率及租金收入目标的实现。</w:t>
      </w:r>
    </w:p>
    <w:p>
      <w:pPr>
        <w:spacing w:before="0" w:after="0" w:line="312" w:lineRule="auto"/>
        <w:ind w:firstLine="480"/>
      </w:pPr>
      <w:r>
        <w:rPr>
          <w:color w:val="000000"/>
          <w:sz w:val="24"/>
          <w:szCs w:val="24"/>
          <w:rFonts w:ascii="SimSun" w:eastAsia="SimSun" w:hAnsi="SimSun" w:cs="SimSun"/>
        </w:rPr>
        <w:t xml:space="preserve">（2）出租率与租金增长不及预期风险。财务测算以首年出租率75%、稳定期95%为基准，并设定租金每3年递增5%。若片区租赁需求波动或新增保租房供应集中入市，可能导致出租率爬坡期延长或租金增幅低于预期，进而影响全周期净现值及现金流回正进度。</w:t>
      </w:r>
    </w:p>
    <w:p>
      <w:pPr>
        <w:spacing w:before="0" w:after="0" w:line="312" w:lineRule="auto"/>
        <w:ind w:firstLine="480"/>
      </w:pPr>
      <w:r>
        <w:rPr>
          <w:color w:val="000000"/>
          <w:sz w:val="24"/>
          <w:szCs w:val="24"/>
          <w:rFonts w:ascii="SimSun" w:eastAsia="SimSun" w:hAnsi="SimSun" w:cs="SimSun"/>
        </w:rPr>
        <w:t xml:space="preserve">（3）合作续期与政策调整风险。项目首期合作期限12年，期满后需双方协商一致方可顺延，合作延续性存在一定不确定性；同时，保障性租赁住房认定、租金监管等政策如有调整，可能对项目运营模式及收益水平产生影响。</w:t>
      </w:r>
    </w:p>
    <w:p>
      <w:pPr>
        <w:spacing w:before="0" w:after="0" w:line="312" w:lineRule="auto"/>
        <w:ind w:firstLine="480"/>
      </w:pPr>
      <w:r>
        <w:rPr>
          <w:color w:val="000000"/>
          <w:sz w:val="24"/>
          <w:szCs w:val="24"/>
          <w:rFonts w:ascii="SimSun" w:eastAsia="SimSun" w:hAnsi="SimSun" w:cs="SimSun"/>
        </w:rPr>
        <w:t xml:space="preserve">1. 综合判断</w:t>
      </w:r>
    </w:p>
    <w:p>
      <w:pPr>
        <w:spacing w:before="0" w:after="0" w:line="312" w:lineRule="auto"/>
        <w:ind w:firstLine="480"/>
      </w:pPr>
      <w:r>
        <w:rPr>
          <w:color w:val="000000"/>
          <w:sz w:val="24"/>
          <w:szCs w:val="24"/>
          <w:rFonts w:ascii="SimSun" w:eastAsia="SimSun" w:hAnsi="SimSun" w:cs="SimSun"/>
        </w:rPr>
        <w:t xml:space="preserve">综合以上分析，项目优势与机会总体大于劣势与威胁。从财务测算看，项目全周期累计净现值为880.47万元，全投资内部收益率（IRR）为25.79%，累计净现金流于2033年（第7年）回正，表明项目在设定条件下具备较好的经济可行性。银湖半山作为主力点位，房源集中、区位成熟、现状条件较好，是项目收益的基本盘；其余分散点位虽规模有限，但整体出租率预期仍可达到测算基准。针对房源分散和部分点位需求支撑偏弱等劣势，可通过统一运营管理平台、集中调度维修保洁力量、差异化定价等方式加以缓解；针对市场竞争和政策调整等威胁，需在运营中密切跟踪片区租赁市场变化，适时调整招租策略，并积极对接主管部门争取政策支持。总体判断，项目在当前政策环境和市场条件下实施风险总体可控，经济可行。</w:t>
      </w:r>
    </w:p>
    <w:p>
      <w:pPr>
        <w:pStyle w:val="Heading1"/>
        <w:pageBreakBefore/>
        <w:spacing w:after="360" w:line="312" w:lineRule="auto"/>
        <w:jc w:val="center"/>
      </w:pPr>
      <w:bookmarkStart w:name="_tc4" w:id="1"/>
      <w:r>
        <w:rPr>
          <w:b/>
          <w:bCs/>
          <w:color w:val="000000"/>
          <w:sz w:val="44"/>
          <w:szCs w:val="44"/>
          <w:rFonts w:ascii="SimSun" w:eastAsia="SimSun" w:hAnsi="SimSun" w:cs="SimSun"/>
        </w:rPr>
        <w:t xml:space="preserve">第五章　项目策划定位</w:t>
      </w:r>
      <w:bookmarkEnd w:id="1"/>
    </w:p>
    <w:p>
      <w:pPr>
        <w:pStyle w:val="Heading2"/>
        <w:spacing w:before="280" w:after="160" w:line="312" w:lineRule="auto"/>
      </w:pPr>
      <w:bookmarkStart w:name="_tc4_0" w:id="1"/>
      <w:r>
        <w:rPr>
          <w:b/>
          <w:bCs/>
          <w:color w:val="000000"/>
          <w:sz w:val="28"/>
          <w:szCs w:val="28"/>
          <w:rFonts w:ascii="SimSun" w:eastAsia="SimSun" w:hAnsi="SimSun" w:cs="SimSun"/>
        </w:rPr>
        <w:t xml:space="preserve">5.1　客群定位</w:t>
      </w:r>
      <w:bookmarkEnd w:id="1"/>
    </w:p>
    <w:p>
      <w:pPr>
        <w:spacing w:before="0" w:after="0" w:line="312" w:lineRule="auto"/>
        <w:ind w:firstLine="480"/>
      </w:pPr>
      <w:r>
        <w:rPr>
          <w:color w:val="000000"/>
          <w:sz w:val="24"/>
          <w:szCs w:val="24"/>
          <w:rFonts w:ascii="SimSun" w:eastAsia="SimSun" w:hAnsi="SimSun" w:cs="SimSun"/>
        </w:rPr>
        <w:t xml:space="preserve">本项目为市税务局第一批合作房源改造为保障性租赁住房项目，地处深圳市罗湖区与福田区核心地段，51套房源分布于6个成熟居住小区，户型以74.25—147.62㎡的2—4房为主，单套面积偏大。项目按市场租金9折对外出租，平均租金约42.44元/㎡/月，平均单套月租金约4,678元，稳定期出租率85%。综合区位条件、户型结构及租金定价策略，本项目目标客群并非单一群体，而是呈现梯度分层。本节将目标客群划分为核心客群、次核心客群与机会客群三个层级，分别界定其来源、需求特征、支付能力及预计占比，作为后续产品设计、租金定价与运营服务配置的依据。客群画像的详细调研证据参见第三章。</w:t>
      </w:r>
    </w:p>
    <w:p>
      <w:pPr>
        <w:pStyle w:val="Heading3"/>
        <w:keepNext/>
        <w:spacing w:before="160" w:after="80" w:line="360" w:lineRule="auto"/>
      </w:pPr>
      <w:r>
        <w:rPr>
          <w:b/>
          <w:bCs/>
          <w:color w:val="000000"/>
          <w:sz w:val="24"/>
          <w:szCs w:val="24"/>
          <w:rFonts w:ascii="SimSun" w:eastAsia="SimSun" w:hAnsi="SimSun" w:cs="SimSun"/>
        </w:rPr>
        <w:t xml:space="preserve">5.1.1 客群分层逻辑与总体判断</w:t>
      </w:r>
    </w:p>
    <w:p>
      <w:pPr>
        <w:spacing w:before="0" w:after="0" w:line="312" w:lineRule="auto"/>
        <w:ind w:firstLine="480"/>
      </w:pPr>
      <w:r>
        <w:rPr>
          <w:color w:val="000000"/>
          <w:sz w:val="24"/>
          <w:szCs w:val="24"/>
          <w:rFonts w:ascii="SimSun" w:eastAsia="SimSun" w:hAnsi="SimSun" w:cs="SimSun"/>
        </w:rPr>
        <w:t xml:space="preserve">本项目房源全部为住宅用途，处于罗湖、福田核心区成熟居住小区内，户型以中大户型为主，区别于市场主流的小户型保租房产品。这一户型结构决定了本项目客群定位不能简单套用“单身青年合租”或“新市民过渡居住”的常规模型，而应锚定“职住平衡型家庭租住”与“品质改善型长租”两大方向。同时，项目按市场租金9折出租，平均单套月租金约4,678元，处于市场租金中位水平，具备对中等收入家庭及企业骨干人才的吸引力。综合判断，本项目客群定位为：以罗湖、福田核心区的中等收入家庭及稳定就业群体为基本盘，以周边商务区、产业园区通勤人群为补充，兼顾城市更新过渡性居住需求的多层次租住客群体系。</w:t>
      </w:r>
    </w:p>
    <w:p>
      <w:pPr>
        <w:pStyle w:val="Heading3"/>
        <w:keepNext/>
        <w:spacing w:before="160" w:after="80" w:line="360" w:lineRule="auto"/>
      </w:pPr>
      <w:r>
        <w:rPr>
          <w:b/>
          <w:bCs/>
          <w:color w:val="000000"/>
          <w:sz w:val="24"/>
          <w:szCs w:val="24"/>
          <w:rFonts w:ascii="SimSun" w:eastAsia="SimSun" w:hAnsi="SimSun" w:cs="SimSun"/>
        </w:rPr>
        <w:t xml:space="preserve">5.1.2 核心客群：职住平衡型家庭租住客群</w:t>
      </w:r>
    </w:p>
    <w:p>
      <w:pPr>
        <w:spacing w:before="0" w:after="0" w:line="312" w:lineRule="auto"/>
        <w:ind w:firstLine="480"/>
      </w:pPr>
      <w:r>
        <w:rPr>
          <w:color w:val="000000"/>
          <w:sz w:val="24"/>
          <w:szCs w:val="24"/>
          <w:rFonts w:ascii="SimSun" w:eastAsia="SimSun" w:hAnsi="SimSun" w:cs="SimSun"/>
        </w:rPr>
        <w:t xml:space="preserve">客群来源与规模依据。 本项目6个房源小区均位于罗湖、福田核心区成熟居住板块，周边居住组团密集，同时邻近笋岗—清水河片区、福田中心区等商务办公集聚区域，具备典型的职住平衡特征。此类客群主要来源于：一是罗湖中心区及福田中心区因城市更新、旧改拆迁产生的阶段性家庭租住需求；二是片区周边机关事业单位、国有企业及中小型科技企业的稳定就业家庭；三是因子女入学就近居住需求而选择在成熟学区板块租住的家庭。具体客群规模与结构数据</w:t>
      </w:r>
      <w:r>
        <w:rPr>
          <w:b/>
          <w:bCs/>
          <w:color w:val="C62828"/>
          <w:sz w:val="24"/>
          <w:szCs w:val="24"/>
          <w:rFonts w:ascii="SimSun" w:eastAsia="SimSun" w:hAnsi="SimSun" w:cs="SimSun"/>
        </w:rPr>
        <w:t xml:space="preserve">【待补：消费者调研报告、人口统计数据、城市人口大数据平台、街道统计年鉴、职住分析数据、客群调研问卷、同类项目客户画像、收入水平分析】</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需求特征与产品适配。 该客群以家庭为单位，租住周期预期在3年以上，对居住稳定性、社区安全性、学区配套及生活便利性敏感度较高。户型需求集中在2—4房，与本项目74.25—147.62㎡的户型结构高度匹配。其中，银湖半山小区37套房源（占总套数73%）以90.29—125.03㎡的2—4房为主，现状为精装修，仅需简单翻新及增配家具家电即可达到拎包入住标准，交付周期短、产品品质高，对该类客群吸引力最强。</w:t>
      </w:r>
    </w:p>
    <w:p>
      <w:pPr>
        <w:spacing w:before="0" w:after="0" w:line="312" w:lineRule="auto"/>
        <w:ind w:firstLine="480"/>
      </w:pPr>
      <w:r>
        <w:rPr>
          <w:color w:val="000000"/>
          <w:sz w:val="24"/>
          <w:szCs w:val="24"/>
          <w:rFonts w:ascii="SimSun" w:eastAsia="SimSun" w:hAnsi="SimSun" w:cs="SimSun"/>
        </w:rPr>
        <w:t xml:space="preserve">支付能力与租金承受力。 按平均单套月租金约4,678元测算，对应家庭月收入门槛约为1.4—1.6万元（租金收入比按30%—35%计），目标客群为深圳市中等收入家庭。该租金水平较同地段市场租金低约10%，叠加保障性租赁住房的租期稳定性优势，对目标客群具备实质性吸引力。</w:t>
      </w:r>
    </w:p>
    <w:p>
      <w:pPr>
        <w:spacing w:before="0" w:after="0" w:line="312" w:lineRule="auto"/>
        <w:ind w:firstLine="480"/>
      </w:pPr>
      <w:r>
        <w:rPr>
          <w:color w:val="000000"/>
          <w:sz w:val="24"/>
          <w:szCs w:val="24"/>
          <w:rFonts w:ascii="SimSun" w:eastAsia="SimSun" w:hAnsi="SimSun" w:cs="SimSun"/>
        </w:rPr>
        <w:t xml:space="preserve">预计占比。 综合户型结构与租金定位，预计核心客群占总租住需求的50%—60%。</w:t>
      </w:r>
    </w:p>
    <w:p>
      <w:pPr>
        <w:pStyle w:val="Heading3"/>
        <w:keepNext/>
        <w:spacing w:before="160" w:after="80" w:line="360" w:lineRule="auto"/>
      </w:pPr>
      <w:r>
        <w:rPr>
          <w:b/>
          <w:bCs/>
          <w:color w:val="000000"/>
          <w:sz w:val="24"/>
          <w:szCs w:val="24"/>
          <w:rFonts w:ascii="SimSun" w:eastAsia="SimSun" w:hAnsi="SimSun" w:cs="SimSun"/>
        </w:rPr>
        <w:t xml:space="preserve">5.1.3 次核心客群：周边商务区及产业园区通勤客群</w:t>
      </w:r>
    </w:p>
    <w:p>
      <w:pPr>
        <w:spacing w:before="0" w:after="0" w:line="312" w:lineRule="auto"/>
        <w:ind w:firstLine="480"/>
      </w:pPr>
      <w:r>
        <w:rPr>
          <w:color w:val="000000"/>
          <w:sz w:val="24"/>
          <w:szCs w:val="24"/>
          <w:rFonts w:ascii="SimSun" w:eastAsia="SimSun" w:hAnsi="SimSun" w:cs="SimSun"/>
        </w:rPr>
        <w:t xml:space="preserve">客群来源与规模依据。 本项目房源小区周边轨道交通及公交线路覆盖较好，对外交通可达性良好。此类客群主要来源于：一是罗湖笋岗、清水河片区及福田梅林片区的商务办公人群；二是银湖、泥岗片区创意产业园及科技企业的青年从业者；三是因轨道交通便利而选择跨区域通勤的福田中心区外溢租住需求。具体客群规模与通勤数据</w:t>
      </w:r>
      <w:r>
        <w:rPr>
          <w:b/>
          <w:bCs/>
          <w:color w:val="C62828"/>
          <w:sz w:val="24"/>
          <w:szCs w:val="24"/>
          <w:rFonts w:ascii="SimSun" w:eastAsia="SimSun" w:hAnsi="SimSun" w:cs="SimSun"/>
        </w:rPr>
        <w:t xml:space="preserve">【待补：交通出行大数据、职住分析数据、客群调研问卷、同类项目客户画像】</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需求特征与产品适配。 该客群以单身青年、情侣或合租同事为主，租住周期预期1—3年，对通勤时间、室内品质及家私家电配置要求较高，对社区规模及学区配套敏感度相对较低。需说明的是，本项目房源以中大户型为主，对此类客群的产品适配性弱于核心客群，需通过合理的户型切分或合租方案予以承接。例如松园小区已有2套房源拆分为4套一房户型，即体现了对这类客群需求的响应。</w:t>
      </w:r>
    </w:p>
    <w:p>
      <w:pPr>
        <w:spacing w:before="0" w:after="0" w:line="312" w:lineRule="auto"/>
        <w:ind w:firstLine="480"/>
      </w:pPr>
      <w:r>
        <w:rPr>
          <w:color w:val="000000"/>
          <w:sz w:val="24"/>
          <w:szCs w:val="24"/>
          <w:rFonts w:ascii="SimSun" w:eastAsia="SimSun" w:hAnsi="SimSun" w:cs="SimSun"/>
        </w:rPr>
        <w:t xml:space="preserve">支付能力与租金承受力。 该客群以个人或合租形式承租，单间租金承受区间约为2,500—4,000元/月，整租承受能力有限。本项目单套平均租金约4,678元/月，对此类客群而言，独立整租门槛偏高，合租或拆分出租为主要可行方式。</w:t>
      </w:r>
    </w:p>
    <w:p>
      <w:pPr>
        <w:spacing w:before="0" w:after="0" w:line="312" w:lineRule="auto"/>
        <w:ind w:firstLine="480"/>
      </w:pPr>
      <w:r>
        <w:rPr>
          <w:color w:val="000000"/>
          <w:sz w:val="24"/>
          <w:szCs w:val="24"/>
          <w:rFonts w:ascii="SimSun" w:eastAsia="SimSun" w:hAnsi="SimSun" w:cs="SimSun"/>
        </w:rPr>
        <w:t xml:space="preserve">预计占比。 预计次核心客群占总租住需求的25%—30%。</w:t>
      </w:r>
    </w:p>
    <w:p>
      <w:pPr>
        <w:pStyle w:val="Heading3"/>
        <w:keepNext/>
        <w:spacing w:before="160" w:after="80" w:line="360" w:lineRule="auto"/>
      </w:pPr>
      <w:r>
        <w:rPr>
          <w:b/>
          <w:bCs/>
          <w:color w:val="000000"/>
          <w:sz w:val="24"/>
          <w:szCs w:val="24"/>
          <w:rFonts w:ascii="SimSun" w:eastAsia="SimSun" w:hAnsi="SimSun" w:cs="SimSun"/>
        </w:rPr>
        <w:t xml:space="preserve">5.1.4 机会客群：城市更新过渡性居住及阶段性安置客群</w:t>
      </w:r>
    </w:p>
    <w:p>
      <w:pPr>
        <w:spacing w:before="0" w:after="0" w:line="312" w:lineRule="auto"/>
        <w:ind w:firstLine="480"/>
      </w:pPr>
      <w:r>
        <w:rPr>
          <w:color w:val="000000"/>
          <w:sz w:val="24"/>
          <w:szCs w:val="24"/>
          <w:rFonts w:ascii="SimSun" w:eastAsia="SimSun" w:hAnsi="SimSun" w:cs="SimSun"/>
        </w:rPr>
        <w:t xml:space="preserve">客群来源与需求特征。 罗湖区城市更新项目密集，部分片区内老旧住宅小区纳入拆除重建范围后，原居民存在2—4年的过渡性租住需求。此类客群主要来源于：一是旧改拆迁范围内等待回迁安置的原居民家庭；二是因房屋修缮、置换等原因产生阶段性居住需求的周边户籍家庭；三是因工作调动、子女升学等原因需要在核心区短期稳定居住的家庭。此类客群租住周期一般为1—3年，对租期灵活性要求较高，对房屋状态及家私家电完备程度有一定要求，租金敏感度介于核心客群与次核心客群之间。具体客群规模与需求特征</w:t>
      </w:r>
      <w:r>
        <w:rPr>
          <w:b/>
          <w:bCs/>
          <w:color w:val="C62828"/>
          <w:sz w:val="24"/>
          <w:szCs w:val="24"/>
          <w:rFonts w:ascii="SimSun" w:eastAsia="SimSun" w:hAnsi="SimSun" w:cs="SimSun"/>
        </w:rPr>
        <w:t xml:space="preserve">【待补：消费者调研报告、人口统计数据、客群调研问卷、同类项目客户画像】</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产品适配与支付能力。 该客群以家庭承租为主，户型需求集中在2—3房，与本项目部分中小户型房源（如愉天小区65.3㎡3房、松园小区74.25—100.61㎡3房）较为匹配。按平均单套月租金约4,678元测算，租金支出可由原住房租金补偿或过渡安置补贴部分覆盖，支付能力相对稳定。</w:t>
      </w:r>
    </w:p>
    <w:p>
      <w:pPr>
        <w:spacing w:before="0" w:after="0" w:line="312" w:lineRule="auto"/>
        <w:ind w:firstLine="480"/>
      </w:pPr>
      <w:r>
        <w:rPr>
          <w:color w:val="000000"/>
          <w:sz w:val="24"/>
          <w:szCs w:val="24"/>
          <w:rFonts w:ascii="SimSun" w:eastAsia="SimSun" w:hAnsi="SimSun" w:cs="SimSun"/>
        </w:rPr>
        <w:t xml:space="preserve">预计占比。 预计机会客群占总租住需求的10%—15%。</w:t>
      </w:r>
    </w:p>
    <w:p>
      <w:pPr>
        <w:pStyle w:val="Heading3"/>
        <w:keepNext/>
        <w:spacing w:before="160" w:after="80" w:line="360" w:lineRule="auto"/>
      </w:pPr>
      <w:r>
        <w:rPr>
          <w:b/>
          <w:bCs/>
          <w:color w:val="000000"/>
          <w:sz w:val="24"/>
          <w:szCs w:val="24"/>
          <w:rFonts w:ascii="SimSun" w:eastAsia="SimSun" w:hAnsi="SimSun" w:cs="SimSun"/>
        </w:rPr>
        <w:t xml:space="preserve">5.1.5 客群结构汇总</w:t>
      </w:r>
    </w:p>
    <w:p>
      <w:pPr>
        <w:spacing w:before="0" w:after="0" w:line="312" w:lineRule="auto"/>
        <w:ind w:firstLine="480"/>
      </w:pPr>
      <w:r>
        <w:rPr>
          <w:color w:val="000000"/>
          <w:sz w:val="24"/>
          <w:szCs w:val="24"/>
          <w:rFonts w:ascii="SimSun" w:eastAsia="SimSun" w:hAnsi="SimSun" w:cs="SimSun"/>
        </w:rPr>
        <w:t xml:space="preserve">综合以上分析，本项目目标客群结构汇总如下：</w:t>
      </w:r>
    </w:p>
    <w:p>
      <w:pPr>
        <w:spacing w:before="0" w:after="0" w:line="312" w:lineRule="auto"/>
        <w:ind w:firstLine="480"/>
      </w:pPr>
      <w:r>
        <w:rPr>
          <w:color w:val="000000"/>
          <w:sz w:val="24"/>
          <w:szCs w:val="24"/>
          <w:rFonts w:ascii="SimSun" w:eastAsia="SimSun" w:hAnsi="SimSun" w:cs="SimSun"/>
        </w:rPr>
        <w:t xml:space="preserve">注：各客群预计占比为初步判断，后续将结合消费者调研及同类项目运营数据进行校核修正</w:t>
      </w:r>
      <w:r>
        <w:rPr>
          <w:b/>
          <w:bCs/>
          <w:color w:val="C62828"/>
          <w:sz w:val="24"/>
          <w:szCs w:val="24"/>
          <w:rFonts w:ascii="SimSun" w:eastAsia="SimSun" w:hAnsi="SimSun" w:cs="SimSun"/>
        </w:rPr>
        <w:t xml:space="preserve">【待补：客群调研问卷、同类项目客户画像】</w:t>
      </w:r>
      <w:r>
        <w:rPr>
          <w:color w:val="000000"/>
          <w:sz w:val="24"/>
          <w:szCs w:val="24"/>
          <w:rFonts w:ascii="SimSun" w:eastAsia="SimSun" w:hAnsi="SimSun" w:cs="SimSun"/>
        </w:rPr>
        <w:t xml:space="preserve">。</w:t>
      </w:r>
    </w:p>
    <w:p>
      <w:pPr>
        <w:keepNext/>
        <w:spacing w:before="180" w:after="100"/>
        <w:jc w:val="center"/>
      </w:pPr>
      <w:r>
        <w:rPr>
          <w:b/>
          <w:bCs/>
          <w:color w:val="000000"/>
          <w:sz w:val="22"/>
          <w:szCs w:val="22"/>
          <w:rFonts w:ascii="SimSun" w:eastAsia="SimSun" w:hAnsi="SimSun" w:cs="SimSun"/>
        </w:rPr>
        <w:t xml:space="preserve">目标客群定位表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215"/>
        <w:gridCol w:w="1215"/>
        <w:gridCol w:w="1215"/>
        <w:gridCol w:w="1215"/>
        <w:gridCol w:w="1215"/>
        <w:gridCol w:w="1215"/>
        <w:gridCol w:w="1216"/>
      </w:tblGrid>
      <w:tr>
        <w:trPr>
          <w:cantSplit/>
          <w:tblHeader/>
        </w:trPr>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客群类型</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来源区域/单位</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需求特征</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支付能力</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偏好户型</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预计占比</w:t>
            </w:r>
          </w:p>
        </w:tc>
        <w:tc>
          <w:tcPr>
            <w:tcW w:type="dxa" w:w="1216"/>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定位结论</w:t>
            </w:r>
          </w:p>
        </w:tc>
      </w:tr>
      <w:tr>
        <w:trPr>
          <w:cantSplit/>
          <w:tblHeader w:val="false"/>
        </w:trPr>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核心客群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罗湖、福田中心区中等收入家庭；周边机关事业单位及企业稳定就业家庭；学区租住家庭；罗湖、福田中心城区就业的新市民、青年人；罗湖区金湖路6号（银湖半山）及周边3公里范围内就业人群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职住平衡需求，就近租住；职住平衡需求突出，追求通勤便利与居住品质</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整租4,000—6,000元/月</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2—4房</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50%—60%</w:t>
            </w:r>
          </w:p>
        </w:tc>
        <w:tc>
          <w:tcPr>
            <w:tcW w:type="dxa" w:w="1216"/>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直接决定项目出租率与租金实现水平；高：房源位于成熟居住区，周边公共服务配套完善</w:t>
            </w:r>
          </w:p>
        </w:tc>
      </w:tr>
      <w:tr>
        <w:trPr>
          <w:cantSplit/>
          <w:tblHeader w:val="false"/>
        </w:trPr>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次核心客群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笋岗、清水河、梅林等片区商务办公人群；创意产业园及科技企业青年从业者；福田中心区外溢通勤人群</w:t>
            </w: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单间2,500—4,000元/月</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1—2房（合租或拆分）</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25%—30%</w:t>
            </w: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机会客群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城市更新拆迁过渡家庭；阶段性安置需求家庭</w:t>
            </w: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整租3,500—5,000元/月</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2—3房</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10%—15%</w:t>
            </w: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重要客群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因轨道交通便利而外溢至项目周边的中心城区就业人群；罗湖区红桂路、松园、碧波花园、愉天小区等片区就业人群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以合理通勤时间换取更低租金或更大居住空间；就近居住需求明确，对租金敏感度适中</w:t>
            </w: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扩大项目有效需求半径；较高：各点位均处罗湖核心地段，交通可达性较好</w:t>
            </w:r>
          </w:p>
        </w:tc>
      </w:tr>
      <w:tr>
        <w:trPr>
          <w:cantSplit/>
          <w:tblHeader w:val="false"/>
        </w:trPr>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补充客群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家庭型租户、阶段性过渡居住人群；福田区上梅林片区及跨区通勤人群</w:t>
            </w:r>
          </w:p>
        </w:tc>
        <w:tc>
          <w:tcPr>
            <w:tcW w:type="dxa" w:w="1215"/>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子女教育就近居住、房屋置换过渡期租住等；受中心城区租金水平影响，寻求性价比住房</w:t>
            </w: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提升大面积户型去化可能性；中等：梅兴苑点位临近地铁，具备跨区通勤条件</w:t>
            </w:r>
          </w:p>
        </w:tc>
      </w:tr>
    </w:tbl>
    <w:p>
      <w:pPr>
        <w:pStyle w:val="Heading2"/>
        <w:spacing w:before="280" w:after="160" w:line="312" w:lineRule="auto"/>
      </w:pPr>
      <w:bookmarkStart w:name="_tc4_1" w:id="1"/>
      <w:r>
        <w:rPr>
          <w:b/>
          <w:bCs/>
          <w:color w:val="000000"/>
          <w:sz w:val="28"/>
          <w:szCs w:val="28"/>
          <w:rFonts w:ascii="SimSun" w:eastAsia="SimSun" w:hAnsi="SimSun" w:cs="SimSun"/>
        </w:rPr>
        <w:t xml:space="preserve">5.2　产品及竞争定位</w:t>
      </w:r>
      <w:bookmarkEnd w:id="1"/>
    </w:p>
    <w:p>
      <w:pPr>
        <w:spacing w:before="0" w:after="0" w:line="312" w:lineRule="auto"/>
        <w:ind w:firstLine="480"/>
      </w:pPr>
      <w:r>
        <w:rPr>
          <w:color w:val="000000"/>
          <w:sz w:val="24"/>
          <w:szCs w:val="24"/>
          <w:rFonts w:ascii="SimSun" w:eastAsia="SimSun" w:hAnsi="SimSun" w:cs="SimSun"/>
        </w:rPr>
        <w:t xml:space="preserve">本项目产品定位为面向深圳市核心区新市民、青年人等群体的保障性租赁住房，以“拎包入住”为交付标准，按市场租金九折对外出租。基于房源均为存量住宅、分布于罗湖及福田成熟居住小区的客观条件，产品策略确定为保持室内整体格局不变，通过室内翻新与家私家电配置实现品质提升，不改变建筑主体结构及居住属性，符合《深圳市保障性租赁住房项目认定办法（试行）》（深建规〔2023〕4号）关于产权明晰居住存量房屋的认定要求。</w:t>
      </w:r>
    </w:p>
    <w:p>
      <w:pPr>
        <w:spacing w:before="0" w:after="0" w:line="312" w:lineRule="auto"/>
        <w:ind w:firstLine="480"/>
      </w:pPr>
      <w:r>
        <w:rPr>
          <w:color w:val="000000"/>
          <w:sz w:val="24"/>
          <w:szCs w:val="24"/>
          <w:rFonts w:ascii="SimSun" w:eastAsia="SimSun" w:hAnsi="SimSun" w:cs="SimSun"/>
        </w:rPr>
        <w:t xml:space="preserve">本项目51套房源覆盖65.3㎡至147.62㎡的2—4房户型，其中银湖半山小区37套房源以90.29—125.03㎡的2—4房为主，占全部改造面积的76%，户型偏大，面向家庭型租户及合租需求；宝泉庄3套均为135.80—147.62㎡大户型，定位改善型家庭整租；松园小区7套为74.25—100.61㎡的3房户型，其中2套已拆分为一房户型，可兼顾小户型需求；愉天小区2套均为65.3㎡户型，面积紧凑、总价可控；碧波花园、梅兴苑各1套，均为3房户型，体量小、去化压力低。各点位房源均位于罗湖、福田核心区成熟居住小区，周边交通、医疗、教育及商业配套完善，通勤便利性优于同价位新建保租房项目。</w:t>
      </w:r>
    </w:p>
    <w:p>
      <w:pPr>
        <w:spacing w:before="0" w:after="0" w:line="312" w:lineRule="auto"/>
        <w:ind w:firstLine="480"/>
      </w:pPr>
      <w:r>
        <w:rPr>
          <w:color w:val="000000"/>
          <w:sz w:val="24"/>
          <w:szCs w:val="24"/>
          <w:rFonts w:ascii="SimSun" w:eastAsia="SimSun" w:hAnsi="SimSun" w:cs="SimSun"/>
        </w:rPr>
        <w:t xml:space="preserve">产品差异化竞争的核心在于：其一，以整体翻新和全屋家私家电配置实现拎包入住，较周边个人散租住房形成明确的品质代差；其二，按市场租金九折定价，在同等品质供给中具备价格优势；其三，以住宅小区形态、大户型及家庭化配置，与周边集中式公寓形成差异化互补。银湖半山小区现状较好，室内为精装修，部分房源因长期空置装修有所损坏，进行简单翻新及增配家具家电即可满足拎包入住标准；其余点位房源相对老旧，按室内全部翻新改造、配置家具家电的方式实施。</w:t>
      </w:r>
    </w:p>
    <w:p>
      <w:pPr>
        <w:spacing w:before="0" w:after="0" w:line="312" w:lineRule="auto"/>
        <w:ind w:firstLine="480"/>
      </w:pPr>
      <w:r>
        <w:rPr>
          <w:color w:val="000000"/>
          <w:sz w:val="24"/>
          <w:szCs w:val="24"/>
          <w:rFonts w:ascii="SimSun" w:eastAsia="SimSun" w:hAnsi="SimSun" w:cs="SimSun"/>
        </w:rPr>
        <w:t xml:space="preserve">从竞争格局看，本项目周边集中式公寓竞品多分布于地铁站沿线，以青年公寓、白领公寓为主要产品形态，主力户型面积较小、租金单价较高。本项目以住宅小区形态、大户型及家庭化配置形成差异化，目标客群锚定周边企业及写字楼就业人群，职住平衡基础较好，为稳定出租率提供支撑。其中，愉天小区临近田贝四路，通勤客群集中，具备快速去化条件；梅兴苑位于福田上梅林，临近梅村地铁站（约0.1km），交通可达性最优，可承接福田中心区外溢租赁需求；松园小区周边就业人口密集，职住匹配度较高；银湖半山及宝泉庄户型面积较大，面向家庭型租户及合租需求，与周边小户型公寓产品形成错位竞争。</w:t>
      </w:r>
    </w:p>
    <w:p>
      <w:pPr>
        <w:spacing w:before="0" w:after="0" w:line="312" w:lineRule="auto"/>
        <w:ind w:firstLine="480"/>
      </w:pPr>
      <w:r>
        <w:rPr>
          <w:color w:val="000000"/>
          <w:sz w:val="24"/>
          <w:szCs w:val="24"/>
          <w:rFonts w:ascii="SimSun" w:eastAsia="SimSun" w:hAnsi="SimSun" w:cs="SimSun"/>
        </w:rPr>
        <w:t xml:space="preserve">综合产品定位与竞争策略，本项目以“核心区位+住宅品质+九折租金”为核心竞争要素，各点位依据户型结构和客群特征实施统一的拎包入住标准，整体入市后预计可形成稳定的保障性租赁住房供给。项目预计2027年6月入市，按市场租金九折标准对外出租，平均租金约42.44元/㎡/月，平均每套约4678元/月，稳定期出租率85%。各点位房源基本情况及产品定位如下表所示。</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15"/>
        <w:gridCol w:w="1215"/>
        <w:gridCol w:w="1215"/>
        <w:gridCol w:w="1215"/>
        <w:gridCol w:w="1215"/>
        <w:gridCol w:w="1215"/>
        <w:gridCol w:w="1216"/>
      </w:tblGrid>
      <w:tr>
        <w:trPr>
          <w:tblHeader/>
        </w:trPr>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序号</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项目名称</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辖区</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改造面积（㎡）</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套数（套）</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户型构成</w:t>
            </w:r>
          </w:p>
        </w:tc>
        <w:tc>
          <w:tcPr>
            <w:tcW w:type="dxa" w:w="121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产品定位</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银湖半山</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罗湖</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4249.9</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37</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90.29—125.03㎡，2—4房</w:t>
            </w:r>
          </w:p>
        </w:tc>
        <w:tc>
          <w:tcPr>
            <w:tcW w:type="dxa" w:w="121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家庭型整租、合租</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宝泉庄</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罗湖</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419.63</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135.80—147.62㎡，3房</w:t>
            </w:r>
          </w:p>
        </w:tc>
        <w:tc>
          <w:tcPr>
            <w:tcW w:type="dxa" w:w="121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改善型家庭整租</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松园小区</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罗湖</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584.76</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74.25—100.61㎡，3房（2套拆分为一房）</w:t>
            </w:r>
          </w:p>
        </w:tc>
        <w:tc>
          <w:tcPr>
            <w:tcW w:type="dxa" w:w="121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家庭整租兼顾小户型需求</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碧波花园</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罗湖</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121.92</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121.92㎡，3房</w:t>
            </w:r>
          </w:p>
        </w:tc>
        <w:tc>
          <w:tcPr>
            <w:tcW w:type="dxa" w:w="121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家庭型整租</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愉天小区</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罗湖</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130.6</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65.3㎡，3房</w:t>
            </w:r>
          </w:p>
        </w:tc>
        <w:tc>
          <w:tcPr>
            <w:tcW w:type="dxa" w:w="121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通勤客群、快速去化</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梅兴苑</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福田</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114.34</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114.34㎡，3房</w:t>
            </w:r>
          </w:p>
        </w:tc>
        <w:tc>
          <w:tcPr>
            <w:tcW w:type="dxa" w:w="121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承接福田中心区外溢需求</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合计</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5621.15</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51</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21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r>
    </w:tbl>
    <w:p>
      <w:pPr>
        <w:spacing w:before="0" w:after="0" w:line="312" w:lineRule="auto"/>
        <w:ind w:firstLine="480"/>
      </w:pPr>
      <w:r>
        <w:rPr>
          <w:color w:val="000000"/>
          <w:sz w:val="24"/>
          <w:szCs w:val="24"/>
          <w:rFonts w:ascii="SimSun" w:eastAsia="SimSun" w:hAnsi="SimSun" w:cs="SimSun"/>
        </w:rPr>
        <w:t xml:space="preserve">注：改造面积、套数及户型构成来源于《关于罗湖公司申请市税务局第一批合作房源改造为保租房项目投资立项的请示》；各点位周边竞争格局及客群结构分析所需的市场调研数据</w:t>
      </w:r>
      <w:r>
        <w:rPr>
          <w:b/>
          <w:bCs/>
          <w:color w:val="C62828"/>
          <w:sz w:val="24"/>
          <w:szCs w:val="24"/>
          <w:rFonts w:ascii="SimSun" w:eastAsia="SimSun" w:hAnsi="SimSun" w:cs="SimSun"/>
        </w:rPr>
        <w:t xml:space="preserve">【待补：项目策划方案、市场供需分析、产品竞争力分析】</w:t>
      </w:r>
      <w:r>
        <w:rPr>
          <w:color w:val="000000"/>
          <w:sz w:val="24"/>
          <w:szCs w:val="24"/>
          <w:rFonts w:ascii="SimSun" w:eastAsia="SimSun" w:hAnsi="SimSun" w:cs="SimSun"/>
        </w:rPr>
        <w:t xml:space="preserve">。</w:t>
      </w:r>
    </w:p>
    <w:p>
      <w:pPr>
        <w:pStyle w:val="Heading2"/>
        <w:spacing w:before="280" w:after="160" w:line="312" w:lineRule="auto"/>
      </w:pPr>
      <w:bookmarkStart w:name="_tc4_2" w:id="1"/>
      <w:r>
        <w:rPr>
          <w:b/>
          <w:bCs/>
          <w:color w:val="000000"/>
          <w:sz w:val="28"/>
          <w:szCs w:val="28"/>
          <w:rFonts w:ascii="SimSun" w:eastAsia="SimSun" w:hAnsi="SimSun" w:cs="SimSun"/>
        </w:rPr>
        <w:t xml:space="preserve">5.3　价格定位</w:t>
      </w:r>
      <w:bookmarkEnd w:id="1"/>
    </w:p>
    <w:p>
      <w:pPr>
        <w:spacing w:before="0" w:after="0" w:line="312" w:lineRule="auto"/>
        <w:ind w:firstLine="480"/>
      </w:pPr>
      <w:r>
        <w:rPr>
          <w:color w:val="000000"/>
          <w:sz w:val="24"/>
          <w:szCs w:val="24"/>
          <w:rFonts w:ascii="SimSun" w:eastAsia="SimSun" w:hAnsi="SimSun" w:cs="SimSun"/>
        </w:rPr>
        <w:t xml:space="preserve">本项目为保障性租赁住房，价格定位须同时满足三重约束：一是政策约束，即按《深圳市保障性租赁住房项目认定办法（试行）》（深建规〔2023〕4号）及配套定价管理规定，保障性租赁住房租金应不高于同地段同品质市场参考租金的90%；二是市场约束，即定价须与周边租赁住房实际成交租金水平相衔接，确保项目具备市场竞争力与持续出租能力；三是财务约束，即定价须覆盖收楼成本、改造工程投入、运营管理及财务费用，支撑项目全周期实现合理盈利与现金流平衡。三者共同构成本项目租金定价的边界条件。</w:t>
      </w:r>
    </w:p>
    <w:p>
      <w:pPr>
        <w:pStyle w:val="Heading3"/>
        <w:keepNext/>
        <w:spacing w:before="160" w:after="80" w:line="360" w:lineRule="auto"/>
      </w:pPr>
      <w:r>
        <w:rPr>
          <w:b/>
          <w:bCs/>
          <w:color w:val="000000"/>
          <w:sz w:val="24"/>
          <w:szCs w:val="24"/>
          <w:rFonts w:ascii="SimSun" w:eastAsia="SimSun" w:hAnsi="SimSun" w:cs="SimSun"/>
        </w:rPr>
        <w:t xml:space="preserve">5.3.1 市场参考租金研判</w:t>
      </w:r>
    </w:p>
    <w:p>
      <w:pPr>
        <w:spacing w:before="0" w:after="0" w:line="312" w:lineRule="auto"/>
        <w:ind w:firstLine="480"/>
      </w:pPr>
      <w:r>
        <w:rPr>
          <w:color w:val="000000"/>
          <w:sz w:val="24"/>
          <w:szCs w:val="24"/>
          <w:rFonts w:ascii="SimSun" w:eastAsia="SimSun" w:hAnsi="SimSun" w:cs="SimSun"/>
        </w:rPr>
        <w:t xml:space="preserve">本项目房源分布于罗湖区金湖路6号（银湖半山）、红桂路1008号（宝泉庄）、松园西街52号（松园小区）、碧波花园、田贝四路（愉天小区）及福田区梅华路126号（梅兴苑）等6个小区，均为罗湖、福田核心城区成熟居住社区，周边租赁需求基础扎实。其中，银湖半山房源37套，占总量约76%，为项目主力点位，位于罗湖区金湖路6号，临近泥岗站、罗湖北站、银湖站等轨道交通站点，周边公交站点密集，交通通达性良好；宝泉庄与松园小区均处罗湖中心成熟片区，地铁站点密集，教育医疗配套完善；碧波花园与愉天小区临近地铁站点，其中愉天小区就业密集度高，租赁需求支撑较强；梅兴苑位于福田上梅林，梅村站距房源较近，片区成熟度较高。</w:t>
      </w:r>
    </w:p>
    <w:p>
      <w:pPr>
        <w:spacing w:before="0" w:after="0" w:line="312" w:lineRule="auto"/>
        <w:ind w:firstLine="480"/>
      </w:pPr>
      <w:r>
        <w:rPr>
          <w:color w:val="000000"/>
          <w:sz w:val="24"/>
          <w:szCs w:val="24"/>
          <w:rFonts w:ascii="SimSun" w:eastAsia="SimSun" w:hAnsi="SimSun" w:cs="SimSun"/>
        </w:rPr>
        <w:t xml:space="preserve">各点位周边公寓类竞品（如易间公寓、华利公寓、禾寓青年公寓、中海友里公寓等）分布于房源周边一定范围内，但竞品租金及出租率数据尚待实地调研核实</w:t>
      </w:r>
      <w:r>
        <w:rPr>
          <w:b/>
          <w:bCs/>
          <w:color w:val="C62828"/>
          <w:sz w:val="24"/>
          <w:szCs w:val="24"/>
          <w:rFonts w:ascii="SimSun" w:eastAsia="SimSun" w:hAnsi="SimSun" w:cs="SimSun"/>
        </w:rPr>
        <w:t xml:space="preserve">【待补：周边竞品租金实地调研】</w:t>
      </w:r>
      <w:r>
        <w:rPr>
          <w:color w:val="000000"/>
          <w:sz w:val="24"/>
          <w:szCs w:val="24"/>
          <w:rFonts w:ascii="SimSun" w:eastAsia="SimSun" w:hAnsi="SimSun" w:cs="SimSun"/>
        </w:rPr>
        <w:t xml:space="preserve">。各点位市场租金水平预计存在小幅梯度差异，建议在统一租金定价原则下按点位及户型进行微调。</w:t>
      </w:r>
    </w:p>
    <w:p>
      <w:pPr>
        <w:pStyle w:val="Heading3"/>
        <w:keepNext/>
        <w:spacing w:before="160" w:after="80" w:line="360" w:lineRule="auto"/>
      </w:pPr>
      <w:r>
        <w:rPr>
          <w:b/>
          <w:bCs/>
          <w:color w:val="000000"/>
          <w:sz w:val="24"/>
          <w:szCs w:val="24"/>
          <w:rFonts w:ascii="SimSun" w:eastAsia="SimSun" w:hAnsi="SimSun" w:cs="SimSun"/>
        </w:rPr>
        <w:t xml:space="preserve">5.3.2 保障性租赁住房定价约束</w:t>
      </w:r>
    </w:p>
    <w:p>
      <w:pPr>
        <w:spacing w:before="0" w:after="0" w:line="312" w:lineRule="auto"/>
        <w:ind w:firstLine="480"/>
      </w:pPr>
      <w:r>
        <w:rPr>
          <w:color w:val="000000"/>
          <w:sz w:val="24"/>
          <w:szCs w:val="24"/>
          <w:rFonts w:ascii="SimSun" w:eastAsia="SimSun" w:hAnsi="SimSun" w:cs="SimSun"/>
        </w:rPr>
        <w:t xml:space="preserve">根据深圳市保障性租赁住房相关政策，市场主体组织配租的保障性租赁住房，租金应不高于同地段同品质市场参考租金的90%。本项目按市场租金9折对外出租，符合政策上限要求。需特别说明的是，本项目采用“满租金整租经营”模式，即深圳市罗湖安居有限公司以约定单价整体承租市税务局存量房源，经改造后以保障性租赁住房标准对外运营，租金定价须同时覆盖收楼成本与改造运营投入，并预留合理利润空间。</w:t>
      </w:r>
    </w:p>
    <w:p>
      <w:pPr>
        <w:spacing w:before="0" w:after="0" w:line="312" w:lineRule="auto"/>
        <w:ind w:firstLine="480"/>
      </w:pPr>
      <w:r>
        <w:rPr>
          <w:color w:val="000000"/>
          <w:sz w:val="24"/>
          <w:szCs w:val="24"/>
          <w:rFonts w:ascii="SimSun" w:eastAsia="SimSun" w:hAnsi="SimSun" w:cs="SimSun"/>
        </w:rPr>
        <w:t xml:space="preserve">本项目《请示》中预估平均租金约42.44元/㎡/月，系基于本项目51套房源、总建筑面积约5,621.15㎡的初步测算口径，按市场租金9折标准估算得出。该预估租金与财务测算采用的75元/㎡/月起始租金存在差异，主要系测算口径不同所致：财务测算以住宅面积20,000㎡为基准，涵盖本项目及后续批次房源，且考虑了每3年递增5%的租金调整机制</w:t>
      </w:r>
      <w:r>
        <w:rPr>
          <w:b/>
          <w:bCs/>
          <w:color w:val="C62828"/>
          <w:sz w:val="24"/>
          <w:szCs w:val="24"/>
          <w:rFonts w:ascii="SimSun" w:eastAsia="SimSun" w:hAnsi="SimSun" w:cs="SimSun"/>
        </w:rPr>
        <w:t xml:space="preserve">【待补：测算口径与预估口径差异说明】</w:t>
      </w:r>
      <w:r>
        <w:rPr>
          <w:color w:val="000000"/>
          <w:sz w:val="24"/>
          <w:szCs w:val="24"/>
          <w:rFonts w:ascii="SimSun" w:eastAsia="SimSun" w:hAnsi="SimSun" w:cs="SimSun"/>
        </w:rPr>
        <w:t xml:space="preserve">。本项目实际对外租金应以经备案的市场参考租金评估结果为准，按不高于其90%确定。</w:t>
      </w:r>
    </w:p>
    <w:p>
      <w:pPr>
        <w:pStyle w:val="Heading3"/>
        <w:keepNext/>
        <w:spacing w:before="160" w:after="80" w:line="360" w:lineRule="auto"/>
      </w:pPr>
      <w:r>
        <w:rPr>
          <w:b/>
          <w:bCs/>
          <w:color w:val="000000"/>
          <w:sz w:val="24"/>
          <w:szCs w:val="24"/>
          <w:rFonts w:ascii="SimSun" w:eastAsia="SimSun" w:hAnsi="SimSun" w:cs="SimSun"/>
        </w:rPr>
        <w:t xml:space="preserve">5.3.3 财务测算对定价的验证</w:t>
      </w:r>
    </w:p>
    <w:p>
      <w:pPr>
        <w:spacing w:before="0" w:after="0" w:line="312" w:lineRule="auto"/>
        <w:ind w:firstLine="480"/>
      </w:pPr>
      <w:r>
        <w:rPr>
          <w:color w:val="000000"/>
          <w:sz w:val="24"/>
          <w:szCs w:val="24"/>
          <w:rFonts w:ascii="SimSun" w:eastAsia="SimSun" w:hAnsi="SimSun" w:cs="SimSun"/>
        </w:rPr>
        <w:t xml:space="preserve">本项目财务测算以住宅面积20,000㎡为基准（含本项目51套、约5,621.15㎡及后续批次房源），起始租金75元/㎡/月（每3年递增5%），首年出租率75%、稳定期95%。全周期（2027—2039年）测算结果如下：</w:t>
      </w:r>
    </w:p>
    <w:p>
      <w:pPr>
        <w:spacing w:before="0" w:after="0" w:line="312" w:lineRule="auto"/>
        <w:ind w:firstLine="480"/>
      </w:pPr>
      <w:r>
        <w:rPr>
          <w:color w:val="000000"/>
          <w:sz w:val="24"/>
          <w:szCs w:val="24"/>
          <w:rFonts w:ascii="SimSun" w:eastAsia="SimSun" w:hAnsi="SimSun" w:cs="SimSun"/>
        </w:rPr>
        <w:t xml:space="preserve">详见第9.3节“财务评价指标表”。</w:t>
      </w:r>
    </w:p>
    <w:p>
      <w:pPr>
        <w:spacing w:before="0" w:after="0" w:line="312" w:lineRule="auto"/>
        <w:ind w:firstLine="480"/>
      </w:pPr>
      <w:r>
        <w:rPr>
          <w:color w:val="000000"/>
          <w:sz w:val="24"/>
          <w:szCs w:val="24"/>
          <w:rFonts w:ascii="SimSun" w:eastAsia="SimSun" w:hAnsi="SimSun" w:cs="SimSun"/>
        </w:rPr>
        <w:t xml:space="preserve">上述测算表明，在起始租金75元/㎡/月（含本项目各点位综合均价口径）条件下，项目全投资内部收益率达25.79%，累计净现值880.47万元，财务效益良好。需要指出的是，财务测算所用租金水平为项目整体综合口径，用于验证项目在既定租金水平下的财务可行性，并非直接作为本项目对外定价的依据；本项目实际租金水平应以市场参考租金评估结果为基础，按政策规定的折扣率确定。</w:t>
      </w:r>
    </w:p>
    <w:p>
      <w:pPr>
        <w:pStyle w:val="Heading3"/>
        <w:keepNext/>
        <w:spacing w:before="160" w:after="80" w:line="360" w:lineRule="auto"/>
      </w:pPr>
      <w:r>
        <w:rPr>
          <w:b/>
          <w:bCs/>
          <w:color w:val="000000"/>
          <w:sz w:val="24"/>
          <w:szCs w:val="24"/>
          <w:rFonts w:ascii="SimSun" w:eastAsia="SimSun" w:hAnsi="SimSun" w:cs="SimSun"/>
        </w:rPr>
        <w:t xml:space="preserve">5.3.4 价格定位建议</w:t>
      </w:r>
    </w:p>
    <w:p>
      <w:pPr>
        <w:spacing w:before="0" w:after="0" w:line="312" w:lineRule="auto"/>
        <w:ind w:firstLine="480"/>
      </w:pPr>
      <w:r>
        <w:rPr>
          <w:color w:val="000000"/>
          <w:sz w:val="24"/>
          <w:szCs w:val="24"/>
          <w:rFonts w:ascii="SimSun" w:eastAsia="SimSun" w:hAnsi="SimSun" w:cs="SimSun"/>
        </w:rPr>
        <w:t xml:space="preserve">综合上述分析，本项目价格定位建议如下：</w:t>
      </w:r>
    </w:p>
    <w:p>
      <w:pPr>
        <w:spacing w:before="0" w:after="0" w:line="312" w:lineRule="auto"/>
        <w:ind w:firstLine="480"/>
      </w:pPr>
      <w:r>
        <w:rPr>
          <w:color w:val="000000"/>
          <w:sz w:val="24"/>
          <w:szCs w:val="24"/>
          <w:rFonts w:ascii="SimSun" w:eastAsia="SimSun" w:hAnsi="SimSun" w:cs="SimSun"/>
        </w:rPr>
        <w:t xml:space="preserve">（一）定价原则。 以同地段同品质市场参考租金为基准，按90%折扣率确定保障性租赁住房租金上限；以财务测算要求的起始租金水平为下限，确保项目全周期现金流平衡并实现合理收益；兼顾新市民、青年人等保障对象的租金可负担性。</w:t>
      </w:r>
    </w:p>
    <w:p>
      <w:pPr>
        <w:spacing w:before="0" w:after="0" w:line="312" w:lineRule="auto"/>
        <w:ind w:firstLine="480"/>
      </w:pPr>
      <w:r>
        <w:rPr>
          <w:color w:val="000000"/>
          <w:sz w:val="24"/>
          <w:szCs w:val="24"/>
          <w:rFonts w:ascii="SimSun" w:eastAsia="SimSun" w:hAnsi="SimSun" w:cs="SimSun"/>
        </w:rPr>
        <w:t xml:space="preserve">（二）租金水平区间。 本项目各点位租金建议按市场参考租金的90%确定，具体水平待周边竞品租金调研及市场比较法测算完成后明确</w:t>
      </w:r>
      <w:r>
        <w:rPr>
          <w:b/>
          <w:bCs/>
          <w:color w:val="C62828"/>
          <w:sz w:val="24"/>
          <w:szCs w:val="24"/>
          <w:rFonts w:ascii="SimSun" w:eastAsia="SimSun" w:hAnsi="SimSun" w:cs="SimSun"/>
        </w:rPr>
        <w:t xml:space="preserve">【待补：市场参考租金测算表、区域竞品租金调研】</w:t>
      </w:r>
      <w:r>
        <w:rPr>
          <w:color w:val="000000"/>
          <w:sz w:val="24"/>
          <w:szCs w:val="24"/>
          <w:rFonts w:ascii="SimSun" w:eastAsia="SimSun" w:hAnsi="SimSun" w:cs="SimSun"/>
        </w:rPr>
        <w:t xml:space="preserve">。从财务可行性角度，项目综合起始租金不应低于财务测算所采用的75元/㎡/月口径；从政策合规角度，实际租金不得高于经备案的同地段同品质市场参考租金的90%。本项目《请示》预估平均租金约42.44元/㎡/月，与财务测算口径存在差异，建议以经备案的市场参考租金评估结果为准，在满足政策上限要求的前提下，结合财务测算结论综合确定最终租金水平</w:t>
      </w:r>
      <w:r>
        <w:rPr>
          <w:b/>
          <w:bCs/>
          <w:color w:val="C62828"/>
          <w:sz w:val="24"/>
          <w:szCs w:val="24"/>
          <w:rFonts w:ascii="SimSun" w:eastAsia="SimSun" w:hAnsi="SimSun" w:cs="SimSun"/>
        </w:rPr>
        <w:t xml:space="preserve">【待补：市场参考租金评估结果】</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（三）分点位差异化定价。 鉴于各房源点位区位条件、户型面积及现状品质存在差异，建议在统一租金定价原则下，按点位及户型进行差异化微调。具体各点位租金水平待市场比较法测算及户型差异化定价分析完成后确定</w:t>
      </w:r>
      <w:r>
        <w:rPr>
          <w:b/>
          <w:bCs/>
          <w:color w:val="C62828"/>
          <w:sz w:val="24"/>
          <w:szCs w:val="24"/>
          <w:rFonts w:ascii="SimSun" w:eastAsia="SimSun" w:hAnsi="SimSun" w:cs="SimSun"/>
        </w:rPr>
        <w:t xml:space="preserve">【待补：户型差异化定价表】</w:t>
      </w:r>
      <w:r>
        <w:rPr>
          <w:color w:val="000000"/>
          <w:sz w:val="24"/>
          <w:szCs w:val="24"/>
          <w:rFonts w:ascii="SimSun" w:eastAsia="SimSun" w:hAnsi="SimSun" w:cs="SimSun"/>
        </w:rPr>
        <w:t xml:space="preserve">。</w:t>
      </w:r>
    </w:p>
    <w:p>
      <w:pPr>
        <w:pStyle w:val="Heading1"/>
        <w:pageBreakBefore/>
        <w:spacing w:after="360" w:line="312" w:lineRule="auto"/>
        <w:jc w:val="center"/>
      </w:pPr>
      <w:bookmarkStart w:name="_tc5" w:id="1"/>
      <w:r>
        <w:rPr>
          <w:b/>
          <w:bCs/>
          <w:color w:val="000000"/>
          <w:sz w:val="44"/>
          <w:szCs w:val="44"/>
          <w:rFonts w:ascii="SimSun" w:eastAsia="SimSun" w:hAnsi="SimSun" w:cs="SimSun"/>
        </w:rPr>
        <w:t xml:space="preserve">第六章　改造运营方案</w:t>
      </w:r>
      <w:bookmarkEnd w:id="1"/>
    </w:p>
    <w:p>
      <w:pPr>
        <w:pStyle w:val="Heading2"/>
        <w:spacing w:before="280" w:after="160" w:line="312" w:lineRule="auto"/>
      </w:pPr>
      <w:bookmarkStart w:name="_tc5_0" w:id="1"/>
      <w:r>
        <w:rPr>
          <w:b/>
          <w:bCs/>
          <w:color w:val="000000"/>
          <w:sz w:val="28"/>
          <w:szCs w:val="28"/>
          <w:rFonts w:ascii="SimSun" w:eastAsia="SimSun" w:hAnsi="SimSun" w:cs="SimSun"/>
        </w:rPr>
        <w:t xml:space="preserve">6.1　改造实施计划及效果</w:t>
      </w:r>
      <w:bookmarkEnd w:id="1"/>
    </w:p>
    <w:p>
      <w:pPr>
        <w:pStyle w:val="Heading3"/>
        <w:keepNext/>
        <w:spacing w:before="160" w:after="80" w:line="360" w:lineRule="auto"/>
      </w:pPr>
      <w:r>
        <w:rPr>
          <w:b/>
          <w:bCs/>
          <w:color w:val="000000"/>
          <w:sz w:val="24"/>
          <w:szCs w:val="24"/>
          <w:rFonts w:ascii="SimSun" w:eastAsia="SimSun" w:hAnsi="SimSun" w:cs="SimSun"/>
        </w:rPr>
        <w:t xml:space="preserve">6.1.1 改造实施总体安排</w:t>
      </w:r>
    </w:p>
    <w:p>
      <w:pPr>
        <w:spacing w:before="0" w:after="0" w:line="312" w:lineRule="auto"/>
        <w:ind w:firstLine="480"/>
      </w:pPr>
      <w:r>
        <w:rPr>
          <w:color w:val="000000"/>
          <w:sz w:val="24"/>
          <w:szCs w:val="24"/>
          <w:rFonts w:ascii="SimSun" w:eastAsia="SimSun" w:hAnsi="SimSun" w:cs="SimSun"/>
        </w:rPr>
        <w:t xml:space="preserve">本项目为市税务局第一批合作房源改造为保障性租赁住房项目，涉及罗湖、福田两区6个居住小区共51套存量住宅，总改造建筑面积约5,621.15平方米。改造实施以“整体统筹、分批实施、统一标准、按期投运”为原则，由深圳市罗湖安居有限公司作为改造实施与运营管理责任主体，全权负责保障性租赁住房认定申报、改造施工组织、竣工验收及后期运营管理。改造资金由深圳市罗湖安居有限公司自筹解决，纳入本项目总投资13,892万元统筹安排。</w:t>
      </w:r>
    </w:p>
    <w:p>
      <w:pPr>
        <w:spacing w:before="0" w:after="0" w:line="312" w:lineRule="auto"/>
        <w:ind w:firstLine="480"/>
      </w:pPr>
      <w:r>
        <w:rPr>
          <w:color w:val="000000"/>
          <w:sz w:val="24"/>
          <w:szCs w:val="24"/>
          <w:rFonts w:ascii="SimSun" w:eastAsia="SimSun" w:hAnsi="SimSun" w:cs="SimSun"/>
        </w:rPr>
        <w:t xml:space="preserve">改造实施范围涵盖建筑室内空间调整、机电消防改造、给排水及强弱电更新、家具家电配置和室内装修等全部内容。鉴于房源分布于6个小区、单点房源数量差异较大，实施组织采取“点位分组、工序并联”方式：对集中房源点位先行启动设计深化与施工招标，对零散房源点位结合现场勘查结果纳入同期批次实施，确保整体工期可控、管理界面清晰。</w:t>
      </w:r>
    </w:p>
    <w:p>
      <w:pPr>
        <w:pStyle w:val="Heading3"/>
        <w:keepNext/>
        <w:spacing w:before="160" w:after="80" w:line="360" w:lineRule="auto"/>
      </w:pPr>
      <w:r>
        <w:rPr>
          <w:b/>
          <w:bCs/>
          <w:color w:val="000000"/>
          <w:sz w:val="24"/>
          <w:szCs w:val="24"/>
          <w:rFonts w:ascii="SimSun" w:eastAsia="SimSun" w:hAnsi="SimSun" w:cs="SimSun"/>
        </w:rPr>
        <w:t xml:space="preserve">6.1.2 改造设计原则与空间功能调整</w:t>
      </w:r>
    </w:p>
    <w:p>
      <w:pPr>
        <w:spacing w:before="0" w:after="0" w:line="312" w:lineRule="auto"/>
        <w:ind w:firstLine="480"/>
      </w:pPr>
      <w:r>
        <w:rPr>
          <w:color w:val="000000"/>
          <w:sz w:val="24"/>
          <w:szCs w:val="24"/>
          <w:rFonts w:ascii="SimSun" w:eastAsia="SimSun" w:hAnsi="SimSun" w:cs="SimSun"/>
        </w:rPr>
        <w:t xml:space="preserve">改造设计以保障性租赁住房居住功能为核心，坚持“安全合规、经济适用、标准统一、适度弹性”的原则。各点位房源原为住宅用途，主体结构完好，改造重点在于户型适配性调整、室内功能分区优化及设施设备更新，不涉及主体结构变动。</w:t>
      </w:r>
    </w:p>
    <w:p>
      <w:pPr>
        <w:spacing w:before="0" w:after="0" w:line="312" w:lineRule="auto"/>
        <w:ind w:firstLine="480"/>
      </w:pPr>
      <w:r>
        <w:rPr>
          <w:color w:val="000000"/>
          <w:sz w:val="24"/>
          <w:szCs w:val="24"/>
          <w:rFonts w:ascii="SimSun" w:eastAsia="SimSun" w:hAnsi="SimSun" w:cs="SimSun"/>
        </w:rPr>
        <w:t xml:space="preserve">从房源户型结构看，既有房源以90—148平方米的2至4房及3房户型为主，单套面积偏大，与保障性租赁住房“小户型、低租金”的供应导向存在一定错配。因此，改造设计须在符合住宅设计规范和保障性租赁住房认定要求的前提下，对部分房源实施合理的空间分隔与功能重组，将大户型改造为独立成套的小户型保障性租赁住房，提高房源适配性和出租效率。其中，松园小区已有2套房源先行拆分为4套一房户型，其余房源的空间拆分方案须结合原建筑平面布局、采光通风条件及管线位置进一步深化</w:t>
      </w:r>
      <w:r>
        <w:rPr>
          <w:b/>
          <w:bCs/>
          <w:color w:val="C62828"/>
          <w:sz w:val="24"/>
          <w:szCs w:val="24"/>
          <w:rFonts w:ascii="SimSun" w:eastAsia="SimSun" w:hAnsi="SimSun" w:cs="SimSun"/>
        </w:rPr>
        <w:t xml:space="preserve">【待补：改造方案、户型拆分设计图纸】</w:t>
      </w:r>
      <w:r>
        <w:rPr>
          <w:color w:val="000000"/>
          <w:sz w:val="24"/>
          <w:szCs w:val="24"/>
          <w:rFonts w:ascii="SimSun" w:eastAsia="SimSun" w:hAnsi="SimSun" w:cs="SimSun"/>
        </w:rPr>
        <w:t xml:space="preserve">。改造后户内应具备独立卫生间、简易厨房或备餐空间及基本起居功能，满足保障性租赁住房的居住使用要求。</w:t>
      </w:r>
    </w:p>
    <w:p>
      <w:pPr>
        <w:pStyle w:val="Heading3"/>
        <w:keepNext/>
        <w:spacing w:before="160" w:after="80" w:line="360" w:lineRule="auto"/>
      </w:pPr>
      <w:r>
        <w:rPr>
          <w:b/>
          <w:bCs/>
          <w:color w:val="000000"/>
          <w:sz w:val="24"/>
          <w:szCs w:val="24"/>
          <w:rFonts w:ascii="SimSun" w:eastAsia="SimSun" w:hAnsi="SimSun" w:cs="SimSun"/>
        </w:rPr>
        <w:t xml:space="preserve">6.1.3 施工边界与工程内容</w:t>
      </w:r>
    </w:p>
    <w:p>
      <w:pPr>
        <w:spacing w:before="0" w:after="0" w:line="312" w:lineRule="auto"/>
        <w:ind w:firstLine="480"/>
      </w:pPr>
      <w:r>
        <w:rPr>
          <w:color w:val="000000"/>
          <w:sz w:val="24"/>
          <w:szCs w:val="24"/>
          <w:rFonts w:ascii="SimSun" w:eastAsia="SimSun" w:hAnsi="SimSun" w:cs="SimSun"/>
        </w:rPr>
        <w:t xml:space="preserve">改造施工严格限定于房源室内及专属使用区域，不涉及小区公共区域和共有部位改造，避免对小区其他业主正常生活造成干扰。施工内容主要包括：</w:t>
      </w:r>
    </w:p>
    <w:p>
      <w:pPr>
        <w:spacing w:before="0" w:after="0" w:line="312" w:lineRule="auto"/>
        <w:ind w:firstLine="480"/>
      </w:pPr>
      <w:r>
        <w:rPr>
          <w:color w:val="000000"/>
          <w:sz w:val="24"/>
          <w:szCs w:val="24"/>
          <w:rFonts w:ascii="SimSun" w:eastAsia="SimSun" w:hAnsi="SimSun" w:cs="SimSun"/>
        </w:rPr>
        <w:t xml:space="preserve">（一）室内拆除与清运：对原室内装饰面层、老旧门窗及非承重隔墙进行拆除，建筑垃圾按深圳市有关管理规定分类清运处置。</w:t>
      </w:r>
    </w:p>
    <w:p>
      <w:pPr>
        <w:spacing w:before="0" w:after="0" w:line="312" w:lineRule="auto"/>
        <w:ind w:firstLine="480"/>
      </w:pPr>
      <w:r>
        <w:rPr>
          <w:color w:val="000000"/>
          <w:sz w:val="24"/>
          <w:szCs w:val="24"/>
          <w:rFonts w:ascii="SimSun" w:eastAsia="SimSun" w:hAnsi="SimSun" w:cs="SimSun"/>
        </w:rPr>
        <w:t xml:space="preserve">（二）空间分隔与砌筑：根据户型拆分方案进行轻质隔墙砌筑或装配式隔墙安装，同步调整入户门位置及开启方向，确保各套型独立入户、互不干扰。</w:t>
      </w:r>
    </w:p>
    <w:p>
      <w:pPr>
        <w:spacing w:before="0" w:after="0" w:line="312" w:lineRule="auto"/>
        <w:ind w:firstLine="480"/>
      </w:pPr>
      <w:r>
        <w:rPr>
          <w:color w:val="000000"/>
          <w:sz w:val="24"/>
          <w:szCs w:val="24"/>
          <w:rFonts w:ascii="SimSun" w:eastAsia="SimSun" w:hAnsi="SimSun" w:cs="SimSun"/>
        </w:rPr>
        <w:t xml:space="preserve">（三）机电及给排水改造：按拆分后各套型独立设置水、电计量表具，重新敷设室内强弱电线路、给排水管道，更换老化管线；消防系统按现行规范进行适应性改造，配置独立式感烟火灾探测报警器及灭火器材。</w:t>
      </w:r>
    </w:p>
    <w:p>
      <w:pPr>
        <w:spacing w:before="0" w:after="0" w:line="312" w:lineRule="auto"/>
        <w:ind w:firstLine="480"/>
      </w:pPr>
      <w:r>
        <w:rPr>
          <w:color w:val="000000"/>
          <w:sz w:val="24"/>
          <w:szCs w:val="24"/>
          <w:rFonts w:ascii="SimSun" w:eastAsia="SimSun" w:hAnsi="SimSun" w:cs="SimSun"/>
        </w:rPr>
        <w:t xml:space="preserve">（四）室内装修：统一实施地面、墙面、天棚装修，安装成品橱柜、卫浴设施及灯具开关面板，装修材料选用环保、耐久、易维护产品，满足拎包入住标准。</w:t>
      </w:r>
    </w:p>
    <w:p>
      <w:pPr>
        <w:spacing w:before="0" w:after="0" w:line="312" w:lineRule="auto"/>
        <w:ind w:firstLine="480"/>
      </w:pPr>
      <w:r>
        <w:rPr>
          <w:color w:val="000000"/>
          <w:sz w:val="24"/>
          <w:szCs w:val="24"/>
          <w:rFonts w:ascii="SimSun" w:eastAsia="SimSun" w:hAnsi="SimSun" w:cs="SimSun"/>
        </w:rPr>
        <w:t xml:space="preserve">（五）家具家电配置：按保障性租赁住房运营标准配置床、衣柜、桌椅、空调、热水器等基本生活家具家电，配置标准由深圳市罗湖安居有限公司按集团公寓产品标准统一执行</w:t>
      </w:r>
      <w:r>
        <w:rPr>
          <w:b/>
          <w:bCs/>
          <w:color w:val="C62828"/>
          <w:sz w:val="24"/>
          <w:szCs w:val="24"/>
          <w:rFonts w:ascii="SimSun" w:eastAsia="SimSun" w:hAnsi="SimSun" w:cs="SimSun"/>
        </w:rPr>
        <w:t xml:space="preserve">【待补：集团公寓户型标准、产品标准图集】</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施工期间须落实噪声与扬尘控制措施，合理安排作业时间，减少对小区居民正常生活的影响。涉及燃气改造的，须委托具备相应资质的单位实施并报燃气主管部门审批。</w:t>
      </w:r>
    </w:p>
    <w:p>
      <w:pPr>
        <w:pStyle w:val="Heading3"/>
        <w:keepNext/>
        <w:spacing w:before="160" w:after="80" w:line="360" w:lineRule="auto"/>
      </w:pPr>
      <w:r>
        <w:rPr>
          <w:b/>
          <w:bCs/>
          <w:color w:val="000000"/>
          <w:sz w:val="24"/>
          <w:szCs w:val="24"/>
          <w:rFonts w:ascii="SimSun" w:eastAsia="SimSun" w:hAnsi="SimSun" w:cs="SimSun"/>
        </w:rPr>
        <w:t xml:space="preserve">6.1.4 改造实施进度计划</w:t>
      </w:r>
    </w:p>
    <w:p>
      <w:pPr>
        <w:spacing w:before="0" w:after="0" w:line="312" w:lineRule="auto"/>
        <w:ind w:firstLine="480"/>
      </w:pPr>
      <w:r>
        <w:rPr>
          <w:color w:val="000000"/>
          <w:sz w:val="24"/>
          <w:szCs w:val="24"/>
          <w:rFonts w:ascii="SimSun" w:eastAsia="SimSun" w:hAnsi="SimSun" w:cs="SimSun"/>
        </w:rPr>
        <w:t xml:space="preserve">本项目测算周期设定为2027年建设期1年，2028年起正式投入运营。改造实施进度按以下阶段控制：</w:t>
      </w:r>
    </w:p>
    <w:p>
      <w:pPr>
        <w:spacing w:before="0" w:after="0" w:line="312" w:lineRule="auto"/>
        <w:ind w:firstLine="480"/>
      </w:pPr>
      <w:r>
        <w:rPr>
          <w:color w:val="000000"/>
          <w:sz w:val="24"/>
          <w:szCs w:val="24"/>
          <w:rFonts w:ascii="SimSun" w:eastAsia="SimSun" w:hAnsi="SimSun" w:cs="SimSun"/>
        </w:rPr>
        <w:t xml:space="preserve">详见第6.2节“项目实施进度计划表”。</w:t>
      </w:r>
    </w:p>
    <w:p>
      <w:pPr>
        <w:pStyle w:val="Heading3"/>
        <w:keepNext/>
        <w:spacing w:before="160" w:after="80" w:line="360" w:lineRule="auto"/>
      </w:pPr>
      <w:r>
        <w:rPr>
          <w:b/>
          <w:bCs/>
          <w:color w:val="000000"/>
          <w:sz w:val="24"/>
          <w:szCs w:val="24"/>
          <w:rFonts w:ascii="SimSun" w:eastAsia="SimSun" w:hAnsi="SimSun" w:cs="SimSun"/>
        </w:rPr>
        <w:t xml:space="preserve">6.1.5 改造预期效果</w:t>
      </w:r>
    </w:p>
    <w:p>
      <w:pPr>
        <w:spacing w:before="0" w:after="0" w:line="312" w:lineRule="auto"/>
        <w:ind w:firstLine="480"/>
      </w:pPr>
      <w:r>
        <w:rPr>
          <w:color w:val="000000"/>
          <w:sz w:val="24"/>
          <w:szCs w:val="24"/>
          <w:rFonts w:ascii="SimSun" w:eastAsia="SimSun" w:hAnsi="SimSun" w:cs="SimSun"/>
        </w:rPr>
        <w:t xml:space="preserve">（一）房源供给效果。通过空间拆分与功能优化，将51套存量住宅改造为适配保障性租赁住房需求的小户型房源，总套数由51套增加至约500套（含拆分后套数），总建筑面积约5,621.15平方米，单套平均建筑面积约30—40平方米，有效提高房源利用效率和居住适配性。</w:t>
      </w:r>
    </w:p>
    <w:p>
      <w:pPr>
        <w:spacing w:before="0" w:after="0" w:line="312" w:lineRule="auto"/>
        <w:ind w:firstLine="480"/>
      </w:pPr>
      <w:r>
        <w:rPr>
          <w:color w:val="000000"/>
          <w:sz w:val="24"/>
          <w:szCs w:val="24"/>
          <w:rFonts w:ascii="SimSun" w:eastAsia="SimSun" w:hAnsi="SimSun" w:cs="SimSun"/>
        </w:rPr>
        <w:t xml:space="preserve">（二）运营效率效果。本项目采用满租金整租经营模式，改造完成后由深圳市罗湖安居有限公司统一运营管理。根据财务测算，项目运营期首年（2028年）住宅租金收入为1,350万元，出租率按75%计；自2029年起进入稳定运营期，出租率按95%计，年租金收入随租金标准每3年递增5%逐步提升，至2037年及以后年度年租金收入达1,979.54万元。全周期（2027—2039年）住宅租金收入合计21,750.94万元，项目累计净现金流量于2033年（运营第7年）回正，全投资内部收益率（IRR）为25.79%，累计净现值为880.47万元，项目具备较好的运营可持续性和投资回报水平。</w:t>
      </w:r>
    </w:p>
    <w:p>
      <w:pPr>
        <w:spacing w:before="0" w:after="0" w:line="312" w:lineRule="auto"/>
        <w:ind w:firstLine="480"/>
      </w:pPr>
      <w:r>
        <w:rPr>
          <w:color w:val="000000"/>
          <w:sz w:val="24"/>
          <w:szCs w:val="24"/>
          <w:rFonts w:ascii="SimSun" w:eastAsia="SimSun" w:hAnsi="SimSun" w:cs="SimSun"/>
        </w:rPr>
        <w:t xml:space="preserve">（三）居住品质效果。改造后房源均按独立成套标准配置室内空间及设施，实现“拎包入住”，居住品质较改造前显著提升。项目房源位于罗湖、福田核心城区，周边教育、医疗、商业及公共交通配套成熟，能够有效满足新市民、青年人等群体的租住需求。改造后房源纳入深圳市保障性租赁住房监管平台统一管理，租金接受政府指导监管，确保住房保障属性长期稳定发挥。</w:t>
      </w:r>
    </w:p>
    <w:p>
      <w:pPr>
        <w:spacing w:before="0" w:after="0" w:line="312" w:lineRule="auto"/>
        <w:ind w:firstLine="480"/>
      </w:pPr>
      <w:r>
        <w:rPr>
          <w:color w:val="000000"/>
          <w:sz w:val="24"/>
          <w:szCs w:val="24"/>
          <w:rFonts w:ascii="SimSun" w:eastAsia="SimSun" w:hAnsi="SimSun" w:cs="SimSun"/>
        </w:rPr>
        <w:t xml:space="preserve">（四）社会效益效果。本项目通过政企合作盘活行政事业单位闲置存量住房资源，将区位条件良好、配套成熟的存量住宅转化为保障性租赁住房供应，有助于缓解中心城区住房租赁供需矛盾，扩大保障性租赁住房筹集渠道，为深圳市完善多层次住房保障体系提供可复制、可推广的实施路径。</w:t>
      </w:r>
    </w:p>
    <w:p>
      <w:pPr>
        <w:keepNext/>
        <w:spacing w:before="180" w:after="100"/>
        <w:jc w:val="center"/>
      </w:pPr>
      <w:r>
        <w:rPr>
          <w:b/>
          <w:bCs/>
          <w:color w:val="000000"/>
          <w:sz w:val="22"/>
          <w:szCs w:val="22"/>
          <w:rFonts w:ascii="SimSun" w:eastAsia="SimSun" w:hAnsi="SimSun" w:cs="SimSun"/>
        </w:rPr>
        <w:t xml:space="preserve">改造内容及责任分工表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215"/>
        <w:gridCol w:w="1215"/>
        <w:gridCol w:w="1215"/>
        <w:gridCol w:w="1215"/>
        <w:gridCol w:w="1215"/>
        <w:gridCol w:w="1215"/>
        <w:gridCol w:w="1216"/>
      </w:tblGrid>
      <w:tr>
        <w:trPr>
          <w:cantSplit/>
          <w:tblHeader/>
        </w:trPr>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改造类别</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现状问题</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改造内容</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责任单位</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实施阶段</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预期效果</w:t>
            </w:r>
          </w:p>
        </w:tc>
        <w:tc>
          <w:tcPr>
            <w:tcW w:type="dxa" w:w="1216"/>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投资估算</w:t>
            </w: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5_1" w:id="1"/>
      <w:r>
        <w:rPr>
          <w:b/>
          <w:bCs/>
          <w:color w:val="000000"/>
          <w:sz w:val="28"/>
          <w:szCs w:val="28"/>
          <w:rFonts w:ascii="SimSun" w:eastAsia="SimSun" w:hAnsi="SimSun" w:cs="SimSun"/>
        </w:rPr>
        <w:t xml:space="preserve">6.2　项目管理与实施进度计划</w:t>
      </w:r>
      <w:bookmarkEnd w:id="1"/>
    </w:p>
    <w:p>
      <w:pPr>
        <w:spacing w:before="0" w:after="0" w:line="312" w:lineRule="auto"/>
        <w:ind w:firstLine="480"/>
      </w:pPr>
      <w:r>
        <w:rPr>
          <w:color w:val="000000"/>
          <w:sz w:val="24"/>
          <w:szCs w:val="24"/>
          <w:rFonts w:ascii="SimSun" w:eastAsia="SimSun" w:hAnsi="SimSun" w:cs="SimSun"/>
        </w:rPr>
        <w:t xml:space="preserve">本项目涉及51套存量住宅分散于罗湖、福田两区6个居住小区，改造点位多、单点规模小、施工组织界面复杂，项目管理须以“统一标准、分区实施、平行推进、集中管控”为原则，明确各阶段责任主体与关键控制节点，确保项目在投资控制、质量安全、工期履约及合规认定等方面可控有序。</w:t>
      </w:r>
    </w:p>
    <w:p>
      <w:pPr>
        <w:pStyle w:val="Heading3"/>
        <w:keepNext/>
        <w:spacing w:before="160" w:after="80" w:line="360" w:lineRule="auto"/>
      </w:pPr>
      <w:r>
        <w:rPr>
          <w:b/>
          <w:bCs/>
          <w:color w:val="000000"/>
          <w:sz w:val="24"/>
          <w:szCs w:val="24"/>
          <w:rFonts w:ascii="SimSun" w:eastAsia="SimSun" w:hAnsi="SimSun" w:cs="SimSun"/>
        </w:rPr>
        <w:t xml:space="preserve">6.2.1 项目管理组织与责任分工</w:t>
      </w:r>
    </w:p>
    <w:p>
      <w:pPr>
        <w:spacing w:before="0" w:after="0" w:line="312" w:lineRule="auto"/>
        <w:ind w:firstLine="480"/>
      </w:pPr>
      <w:r>
        <w:rPr>
          <w:color w:val="000000"/>
          <w:sz w:val="24"/>
          <w:szCs w:val="24"/>
          <w:rFonts w:ascii="SimSun" w:eastAsia="SimSun" w:hAnsi="SimSun" w:cs="SimSun"/>
        </w:rPr>
        <w:t xml:space="preserve">项目实行“建设单位统筹、专业机构实施、监理单位监督”的管理架构。深圳市罗湖安居有限公司作为项目建设及运营责任主体，全面负责改造投资、保障性租赁住房认定申报、施工组织实施、竣工验收及后期运营管理等工作（来源：《市税务局第一批合作房源改造为保障性租赁住房项目合作协议（草案）》第二条）。鉴于房源分散于6个小区，建议设立项目现场管理组，按罗湖、福田两区划分管理标段，每个标段配置专职现场代表，负责施工协调、进度跟踪与质量抽检。设计、施工、监理等参建单位的选择，应严格按照国家招标投标法律法规及安居集团招标采购管理制度执行，择优确定具有住宅改造工程经验的专业队伍</w:t>
      </w:r>
      <w:r>
        <w:rPr>
          <w:b/>
          <w:bCs/>
          <w:color w:val="C62828"/>
          <w:sz w:val="24"/>
          <w:szCs w:val="24"/>
          <w:rFonts w:ascii="SimSun" w:eastAsia="SimSun" w:hAnsi="SimSun" w:cs="SimSun"/>
        </w:rPr>
        <w:t xml:space="preserve">【待补：招标代理机构及评标专家库具体依据】</w:t>
      </w:r>
      <w:r>
        <w:rPr>
          <w:color w:val="000000"/>
          <w:sz w:val="24"/>
          <w:szCs w:val="24"/>
          <w:rFonts w:ascii="SimSun" w:eastAsia="SimSun" w:hAnsi="SimSun" w:cs="SimSun"/>
        </w:rPr>
        <w:t xml:space="preserve">。</w:t>
      </w:r>
    </w:p>
    <w:p>
      <w:pPr>
        <w:pStyle w:val="Heading3"/>
        <w:keepNext/>
        <w:spacing w:before="160" w:after="80" w:line="360" w:lineRule="auto"/>
      </w:pPr>
      <w:r>
        <w:rPr>
          <w:b/>
          <w:bCs/>
          <w:color w:val="000000"/>
          <w:sz w:val="24"/>
          <w:szCs w:val="24"/>
          <w:rFonts w:ascii="SimSun" w:eastAsia="SimSun" w:hAnsi="SimSun" w:cs="SimSun"/>
        </w:rPr>
        <w:t xml:space="preserve">6.2.2 全过程控制要点</w:t>
      </w:r>
    </w:p>
    <w:p>
      <w:pPr>
        <w:spacing w:before="0" w:after="0" w:line="312" w:lineRule="auto"/>
        <w:ind w:firstLine="480"/>
      </w:pPr>
      <w:r>
        <w:rPr>
          <w:color w:val="000000"/>
          <w:sz w:val="24"/>
          <w:szCs w:val="24"/>
          <w:rFonts w:ascii="SimSun" w:eastAsia="SimSun" w:hAnsi="SimSun" w:cs="SimSun"/>
        </w:rPr>
        <w:t xml:space="preserve">投资控制方面，项目总投资13892万元，涵盖建筑安装工程费、工程建设其他费及预备费等。改造实施中应以经批复的概算为上限，建立设计变更与现场签证分级审批制度，单笔变更超过一定金额须报公司经营班子集体决策，防止突破投资红线。质量控制方面，严格执行国家现行施工验收规范及《深圳市保障性租赁住房项目认定办法（试行）》（深建规〔2023〕4号）有关要求，重点把控防水、机电、消防等隐蔽工程验收，落实样板引路制度，以银湖半山小区等成规模点位先行施工、形成工艺标准后再向其他点位推广。安全及文明施工管理方面，鉴于部分房源位于建成小区内，施工须严格控制作业时间与噪音扬尘，妥善处理建筑垃圾清运，最大限度减少对既有住户的影响；施工期间的安全责任由深圳市罗湖安居有限公司承担。</w:t>
      </w:r>
    </w:p>
    <w:p>
      <w:pPr>
        <w:pStyle w:val="Heading3"/>
        <w:keepNext/>
        <w:spacing w:before="160" w:after="80" w:line="360" w:lineRule="auto"/>
      </w:pPr>
      <w:r>
        <w:rPr>
          <w:b/>
          <w:bCs/>
          <w:color w:val="000000"/>
          <w:sz w:val="24"/>
          <w:szCs w:val="24"/>
          <w:rFonts w:ascii="SimSun" w:eastAsia="SimSun" w:hAnsi="SimSun" w:cs="SimSun"/>
        </w:rPr>
        <w:t xml:space="preserve">6.2.3 实施进度计划</w:t>
      </w:r>
    </w:p>
    <w:p>
      <w:pPr>
        <w:spacing w:before="0" w:after="0" w:line="312" w:lineRule="auto"/>
        <w:ind w:firstLine="480"/>
      </w:pPr>
      <w:r>
        <w:rPr>
          <w:color w:val="000000"/>
          <w:sz w:val="24"/>
          <w:szCs w:val="24"/>
          <w:rFonts w:ascii="SimSun" w:eastAsia="SimSun" w:hAnsi="SimSun" w:cs="SimSun"/>
        </w:rPr>
        <w:t xml:space="preserve">项目总工期预计为待填个月，自待填年待填月开工至待填年待填月完成竣工验收并投入运营。进度安排遵循“先设计报批、后招采施工，先样板验收、后批量展开”的逻辑，具体各阶段起止时间、责任单位及里程碑节点如下表所示：</w:t>
      </w:r>
    </w:p>
    <w:p>
      <w:pPr>
        <w:spacing w:before="0" w:after="0" w:line="312" w:lineRule="auto"/>
        <w:ind w:firstLine="480"/>
      </w:pPr>
      <w:r>
        <w:rPr>
          <w:color w:val="000000"/>
          <w:sz w:val="24"/>
          <w:szCs w:val="24"/>
          <w:rFonts w:ascii="SimSun" w:eastAsia="SimSun" w:hAnsi="SimSun" w:cs="SimSun"/>
        </w:rPr>
        <w:t xml:space="preserve">进度计划编制已综合考虑各点位规模差异：银湖半山小区房源37套、建筑面积4249.9㎡，占总面积约76%，是决定整体工期的关键线路，须优先保障设计出图与施工资源；其余5个点位合计14套、建筑面积约1371.25㎡，单点工程量小，具备平行施工条件，可统筹安排在同一施工标段内穿插作业，避免因分散施工增加管理成本。运营筹备工作（含租赁定价报备、入住流程制定等）可提前至批量施工阶段同步启动，确保竣工验收后尽快实现供应。</w:t>
      </w:r>
    </w:p>
    <w:p>
      <w:pPr>
        <w:keepNext/>
        <w:spacing w:before="180" w:after="100"/>
        <w:jc w:val="center"/>
      </w:pPr>
      <w:r>
        <w:rPr>
          <w:b/>
          <w:bCs/>
          <w:color w:val="000000"/>
          <w:sz w:val="22"/>
          <w:szCs w:val="22"/>
          <w:rFonts w:ascii="SimSun" w:eastAsia="SimSun" w:hAnsi="SimSun" w:cs="SimSun"/>
        </w:rPr>
        <w:t xml:space="preserve">项目实施进度计划表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阶段</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工作内容</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开始时间</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完成时间</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责任单位</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里程碑</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前期准备与设计报批</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完成施工图设计、审查及备案，办理施工许可等报建手续</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施工图审查合格</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招标采购</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完成施工总承包、监理及主要材料设备招标；施工总承包、监理、材料设备招标</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施工合同签订</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样板间施工与验收</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选取银湖半山小区典型户型实施样板间施工，确认工艺与效果标准</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施工单位/监理单位</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样板间验收通过</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批量改造施工</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6个点位分批进场施工，完成拆除、机电、装修及家具家电配置</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施工单位/监理单位</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各点位完工初验</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竣工验收与整改</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分点位竣工验收，完成问题整改及消防、空气检测</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深圳市罗湖安居有限公司/监理单位</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竣工验收合格</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保障性租赁住房认定</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向区主管部门申请保障性租赁住房项目认定</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取得项目认定书</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投入运营</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房源接管、配置核查、租赁签约及入住</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正式开业运营</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前期准备</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房源移交接收、现场勘查测绘、户型拆分方案设计、保障性租赁住房认定申报</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房源移交完成、认定受理</w:t>
            </w:r>
            <w:r>
              <w:rPr>
                <w:b/>
                <w:bCs/>
                <w:color w:val="C62828"/>
                <w:sz w:val="18"/>
                <w:szCs w:val="18"/>
                <w:rFonts w:ascii="SimSun" w:eastAsia="SimSun" w:hAnsi="SimSun" w:cs="SimSun"/>
              </w:rPr>
              <w:t xml:space="preserve">【待补：具体批复时间】</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设计深化</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施工图设计、装修标准确定、成本复核</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施工图交付</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改造施工</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各点位分批进场施工、过程质量安全管控</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深圳市罗湖安居有限公司及各参建单位</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完工</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竣工验收</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分户验收、消防查验、室内环境检测</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深圳市罗湖安居有限公司组织，相关单位参加</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验收合格</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认定与投运</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保障性租赁住房项目认定书取得、房源纳入监管平台、达到开业运营条件</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w:t>
            </w:r>
          </w:p>
        </w:tc>
        <w:tc>
          <w:tcPr>
            <w:tcW w:type="dxa" w:w="1421"/>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取得认定书并投入运营</w:t>
            </w:r>
          </w:p>
        </w:tc>
      </w:tr>
    </w:tbl>
    <w:p>
      <w:pPr>
        <w:pStyle w:val="Heading2"/>
        <w:spacing w:before="280" w:after="160" w:line="312" w:lineRule="auto"/>
      </w:pPr>
      <w:bookmarkStart w:name="_tc5_2" w:id="1"/>
      <w:r>
        <w:rPr>
          <w:b/>
          <w:bCs/>
          <w:color w:val="000000"/>
          <w:sz w:val="28"/>
          <w:szCs w:val="28"/>
          <w:rFonts w:ascii="SimSun" w:eastAsia="SimSun" w:hAnsi="SimSun" w:cs="SimSun"/>
        </w:rPr>
        <w:t xml:space="preserve">6.3　运营方案</w:t>
      </w:r>
      <w:bookmarkEnd w:id="1"/>
    </w:p>
    <w:p>
      <w:pPr>
        <w:spacing w:before="0" w:after="0" w:line="312" w:lineRule="auto"/>
        <w:ind w:firstLine="480"/>
      </w:pPr>
      <w:r>
        <w:rPr>
          <w:color w:val="000000"/>
          <w:sz w:val="24"/>
          <w:szCs w:val="24"/>
          <w:rFonts w:ascii="SimSun" w:eastAsia="SimSun" w:hAnsi="SimSun" w:cs="SimSun"/>
        </w:rPr>
        <w:t xml:space="preserve">本项目51套房源分布于罗湖、福田两区6个居住小区，单点房源数量少、分布零散，且改造后统一按保障性租赁住房政策运营，运营方案须在兼顾政策合规性与分散管理效率的基础上，建立覆盖房源接收、招租配租、租务管理、维修养护、安全管理和退出移交全周期的运营管理体系。运营责任主体为深圳市罗湖安居有限公司，可自行运营或委托集团内其他主体实施，但不得委托集团外第三方运营（来源：《市税务局第一批合作房源改造为保障性租赁住房项目合作协议（草案）》）。</w:t>
      </w:r>
    </w:p>
    <w:p>
      <w:pPr>
        <w:pStyle w:val="Heading3"/>
        <w:keepNext/>
        <w:spacing w:before="160" w:after="80" w:line="360" w:lineRule="auto"/>
      </w:pPr>
      <w:r>
        <w:rPr>
          <w:b/>
          <w:bCs/>
          <w:color w:val="000000"/>
          <w:sz w:val="24"/>
          <w:szCs w:val="24"/>
          <w:rFonts w:ascii="SimSun" w:eastAsia="SimSun" w:hAnsi="SimSun" w:cs="SimSun"/>
        </w:rPr>
        <w:t xml:space="preserve">6.3.1 运营管理模式与组织保障</w:t>
      </w:r>
    </w:p>
    <w:p>
      <w:pPr>
        <w:spacing w:before="0" w:after="0" w:line="312" w:lineRule="auto"/>
        <w:ind w:firstLine="480"/>
      </w:pPr>
      <w:r>
        <w:rPr>
          <w:color w:val="000000"/>
          <w:sz w:val="24"/>
          <w:szCs w:val="24"/>
          <w:rFonts w:ascii="SimSun" w:eastAsia="SimSun" w:hAnsi="SimSun" w:cs="SimSun"/>
        </w:rPr>
        <w:t xml:space="preserve">项目运营采取“公司统筹—片区管理—专业协同”的三级管理架构。公司层面设立保障性租赁住房运营管理专班，统筹6个小区房源的租务管理、财务核算、客户服务与合规管控；鉴于房源分散于银湖半山、宝泉庄、松园小区、碧波花园、愉天小区、梅兴苑等6个小区，单点房源1至37套不等，不设固定驻点人员，按片区划分管理网格，由运营专员分片包干，定期巡查；保洁、保安、维修等专项服务按小区分别委托专业服务单位承担，由运营专班统一监督考核。运营团队须在项目取得《深圳市保障性租赁住房项目认定书》前组建到位，并完成保障性租赁住房政策、租赁监管平台操作、客户服务标准等岗前培训。</w:t>
      </w:r>
    </w:p>
    <w:p>
      <w:pPr>
        <w:pStyle w:val="Heading3"/>
        <w:keepNext/>
        <w:spacing w:before="160" w:after="80" w:line="360" w:lineRule="auto"/>
      </w:pPr>
      <w:r>
        <w:rPr>
          <w:b/>
          <w:bCs/>
          <w:color w:val="000000"/>
          <w:sz w:val="24"/>
          <w:szCs w:val="24"/>
          <w:rFonts w:ascii="SimSun" w:eastAsia="SimSun" w:hAnsi="SimSun" w:cs="SimSun"/>
        </w:rPr>
        <w:t xml:space="preserve">6.3.2 招租渠道与配租管理</w:t>
      </w:r>
    </w:p>
    <w:p>
      <w:pPr>
        <w:spacing w:before="0" w:after="0" w:line="312" w:lineRule="auto"/>
        <w:ind w:firstLine="480"/>
      </w:pPr>
      <w:r>
        <w:rPr>
          <w:color w:val="000000"/>
          <w:sz w:val="24"/>
          <w:szCs w:val="24"/>
          <w:rFonts w:ascii="SimSun" w:eastAsia="SimSun" w:hAnsi="SimSun" w:cs="SimSun"/>
        </w:rPr>
        <w:t xml:space="preserve">项目房源全部纳入深圳市保障性租赁住房统一管理体系，严格执行保障性租赁住房的准入条件、配租标准和租金定价要求。招租以深圳市保障性租赁住房管理服务平台为主要渠道，同步对接房源所在罗湖、福田两区街道、社区及重点企事业单位的住房需求信息，建立轮候意向客户库。配租顺序按照深圳市保障性租赁住房相关规定执行，优先满足房源所在辖区符合条件的住房困难家庭及新市民、青年人等群体的租赁需求。房源交付后，运营团队逐套核验房屋状况，建立“一房一档”，记录户型、面积、设施设备及交付状态，作为租务管理和退出移交的基础资料。</w:t>
      </w:r>
    </w:p>
    <w:p>
      <w:pPr>
        <w:pStyle w:val="Heading3"/>
        <w:keepNext/>
        <w:spacing w:before="160" w:after="80" w:line="360" w:lineRule="auto"/>
      </w:pPr>
      <w:r>
        <w:rPr>
          <w:b/>
          <w:bCs/>
          <w:color w:val="000000"/>
          <w:sz w:val="24"/>
          <w:szCs w:val="24"/>
          <w:rFonts w:ascii="SimSun" w:eastAsia="SimSun" w:hAnsi="SimSun" w:cs="SimSun"/>
        </w:rPr>
        <w:t xml:space="preserve">6.3.3 租金定价与收缴管理</w:t>
      </w:r>
    </w:p>
    <w:p>
      <w:pPr>
        <w:spacing w:before="0" w:after="0" w:line="312" w:lineRule="auto"/>
        <w:ind w:firstLine="480"/>
      </w:pPr>
      <w:r>
        <w:rPr>
          <w:color w:val="000000"/>
          <w:sz w:val="24"/>
          <w:szCs w:val="24"/>
          <w:rFonts w:ascii="SimSun" w:eastAsia="SimSun" w:hAnsi="SimSun" w:cs="SimSun"/>
        </w:rPr>
        <w:t xml:space="preserve">租金标准按届时同地段、同品质市场参考租金的90%确定，首次定价以周边市场化租赁住房租金调研数据为基准，经备案后执行。租金收缴实行“先付后住、按月收取”，通过银行代扣、线上支付等非现金方式归集，逐户建立收缴台账。对连续拖欠租金经催收仍不缴纳的，按租赁合同约定及保障性租赁住房管理相关规定启动退出程序。租金收入专项核算，定期与委托运营方及房源提供方对账，收益分成按合作协议约定执行。合作期限12年，期满后如双方均有意继续合作则自动顺延，运营期内租金定价调整须符合保障性租赁住房租金监管要求，不得随意上浮（来源：《市税务局第一批合作房源改造为保障性租赁住房项目合作协议（草案）》）。</w:t>
      </w:r>
    </w:p>
    <w:p>
      <w:pPr>
        <w:pStyle w:val="Heading3"/>
        <w:keepNext/>
        <w:spacing w:before="160" w:after="80" w:line="360" w:lineRule="auto"/>
      </w:pPr>
      <w:r>
        <w:rPr>
          <w:b/>
          <w:bCs/>
          <w:color w:val="000000"/>
          <w:sz w:val="24"/>
          <w:szCs w:val="24"/>
          <w:rFonts w:ascii="SimSun" w:eastAsia="SimSun" w:hAnsi="SimSun" w:cs="SimSun"/>
        </w:rPr>
        <w:t xml:space="preserve">6.3.4 物业服务与维修养护</w:t>
      </w:r>
    </w:p>
    <w:p>
      <w:pPr>
        <w:spacing w:before="0" w:after="0" w:line="312" w:lineRule="auto"/>
        <w:ind w:firstLine="480"/>
      </w:pPr>
      <w:r>
        <w:rPr>
          <w:color w:val="000000"/>
          <w:sz w:val="24"/>
          <w:szCs w:val="24"/>
          <w:rFonts w:ascii="SimSun" w:eastAsia="SimSun" w:hAnsi="SimSun" w:cs="SimSun"/>
        </w:rPr>
        <w:t xml:space="preserve">鉴于6个小区均为既有成熟社区，本项目不单独引入物业管理团队，日常物业服务依托小区现有物业管理单位，运营专班负责对接协调。物业服务内容涵盖公共区域保洁、绿化养护、秩序维护、共用设施设备巡检等。户内维修实行分级响应：日常小修（水龙头、灯具、门窗五金等）由运营专班接单后48小时内处理；涉及墙体、防水、管线等中大型维修，按程序报修后组织专业施工单位实施。建立维修台账，记录报修时间、处理结果及费用归属，作为运营成本核算和房屋移交时点设施状况的凭据。运营期间因改造施工或使用不当造成的损坏，由运营方负责维修；因房屋交付前已存在的结构缺陷导致的维修，按合作协议约定由房源提供方承担相应责任（来源：《市税务局第一批合作房源改造为保障性租赁住房项目合作协议（草案）》）。</w:t>
      </w:r>
    </w:p>
    <w:p>
      <w:pPr>
        <w:pStyle w:val="Heading3"/>
        <w:keepNext/>
        <w:spacing w:before="160" w:after="80" w:line="360" w:lineRule="auto"/>
      </w:pPr>
      <w:r>
        <w:rPr>
          <w:b/>
          <w:bCs/>
          <w:color w:val="000000"/>
          <w:sz w:val="24"/>
          <w:szCs w:val="24"/>
          <w:rFonts w:ascii="SimSun" w:eastAsia="SimSun" w:hAnsi="SimSun" w:cs="SimSun"/>
        </w:rPr>
        <w:t xml:space="preserve">6.3.5 安全管理与合规运营</w:t>
      </w:r>
    </w:p>
    <w:p>
      <w:pPr>
        <w:spacing w:before="0" w:after="0" w:line="312" w:lineRule="auto"/>
        <w:ind w:firstLine="480"/>
      </w:pPr>
      <w:r>
        <w:rPr>
          <w:color w:val="000000"/>
          <w:sz w:val="24"/>
          <w:szCs w:val="24"/>
          <w:rFonts w:ascii="SimSun" w:eastAsia="SimSun" w:hAnsi="SimSun" w:cs="SimSun"/>
        </w:rPr>
        <w:t xml:space="preserve">运营方对运营期间消防及用电用气安全、治安管理等承担主体责任。逐套配备灭火器、烟感报警器等消防器材并定期检验，每年组织一次消防演练；建立房屋安全巡查制度，运营专员每月对分片房源入户巡查不少于一次，重点检查违规用火用电、擅自改变房屋结构或用途、违规转租转借等行为。严禁擅自变更房屋用途、违规群租、整体转租或变相销售房源，一经发现立即纠正并按合同约定及监管规定处理。涉及燃气安全的，配合燃气公司定期入户安检；涉及治安管理的，配合社区警务室做好租住人员信息登记。运营期内须确保《深圳市保障性租赁住房项目认定书》持续有效，认定书有效期届满前6个月启动续期程序，房源提供方予以配合（来源：《市税务局第一批合作房源改造为保障性租赁住房项目合作协议（草案）》）。</w:t>
      </w:r>
    </w:p>
    <w:p>
      <w:pPr>
        <w:pStyle w:val="Heading3"/>
        <w:keepNext/>
        <w:spacing w:before="160" w:after="80" w:line="360" w:lineRule="auto"/>
      </w:pPr>
      <w:r>
        <w:rPr>
          <w:b/>
          <w:bCs/>
          <w:color w:val="000000"/>
          <w:sz w:val="24"/>
          <w:szCs w:val="24"/>
          <w:rFonts w:ascii="SimSun" w:eastAsia="SimSun" w:hAnsi="SimSun" w:cs="SimSun"/>
        </w:rPr>
        <w:t xml:space="preserve">6.3.6 租户服务与社区融合</w:t>
      </w:r>
    </w:p>
    <w:p>
      <w:pPr>
        <w:spacing w:before="0" w:after="0" w:line="312" w:lineRule="auto"/>
        <w:ind w:firstLine="480"/>
      </w:pPr>
      <w:r>
        <w:rPr>
          <w:color w:val="000000"/>
          <w:sz w:val="24"/>
          <w:szCs w:val="24"/>
          <w:rFonts w:ascii="SimSun" w:eastAsia="SimSun" w:hAnsi="SimSun" w:cs="SimSun"/>
        </w:rPr>
        <w:t xml:space="preserve">为提升租户居住体验和项目稳定性，运营方建立常态化租户沟通机制，设立服务热线受理咨询、报修及投诉，一般诉求48小时内响应处理。鉴于各小区房源分散、与既有住户混居的特点，运营方不组织独立的社区活动，但引导租户融入既有社区，配合社区工作站开展人口登记、垃圾分类、文明创建等公共事务。租户入住时发放《租户手册》，明确居住行为规范、设施使用注意事项及紧急联系方式。运营期内定期开展租户满意度调查，调查结果作为物业服务单位考核和运营服务改进的依据。</w:t>
      </w:r>
    </w:p>
    <w:p>
      <w:pPr>
        <w:pStyle w:val="Heading3"/>
        <w:keepNext/>
        <w:spacing w:before="160" w:after="80" w:line="360" w:lineRule="auto"/>
      </w:pPr>
      <w:r>
        <w:rPr>
          <w:b/>
          <w:bCs/>
          <w:color w:val="000000"/>
          <w:sz w:val="24"/>
          <w:szCs w:val="24"/>
          <w:rFonts w:ascii="SimSun" w:eastAsia="SimSun" w:hAnsi="SimSun" w:cs="SimSun"/>
        </w:rPr>
        <w:t xml:space="preserve">6.3.7 期满移交与退出管理</w:t>
      </w:r>
    </w:p>
    <w:p>
      <w:pPr>
        <w:spacing w:before="0" w:after="0" w:line="312" w:lineRule="auto"/>
        <w:ind w:firstLine="480"/>
      </w:pPr>
      <w:r>
        <w:rPr>
          <w:color w:val="000000"/>
          <w:sz w:val="24"/>
          <w:szCs w:val="24"/>
          <w:rFonts w:ascii="SimSun" w:eastAsia="SimSun" w:hAnsi="SimSun" w:cs="SimSun"/>
        </w:rPr>
        <w:t xml:space="preserve">合作期限届满或协议提前终止后，运营方应在30日内将合作房源、运营管理资料及改造形成的附着于房屋的固定装修、不可拆除设施一并移交房源提供方，并配合办理相关交接手续（来源：《市税务局第一批合作房源改造为保障性租赁住房项目合作协议（草案）》）。移交前运营方须完成租户清退或妥善安置、费用清算及房屋状态核验，确保移交时房屋及设施完好。因不可抗力、政策调整、政府征收征用等不可归责于双方的事由导致项目无法继续履行的，按合作协议约定完成清算后终止，双方互不承担违约责任。因一方违约导致协议提前终止的，违约方按合作协议约定承担相应责任。</w:t>
      </w:r>
    </w:p>
    <w:p>
      <w:pPr>
        <w:pStyle w:val="Heading1"/>
        <w:pageBreakBefore/>
        <w:spacing w:after="360" w:line="312" w:lineRule="auto"/>
        <w:jc w:val="center"/>
      </w:pPr>
      <w:bookmarkStart w:name="_tc6" w:id="1"/>
      <w:r>
        <w:rPr>
          <w:b/>
          <w:bCs/>
          <w:color w:val="000000"/>
          <w:sz w:val="44"/>
          <w:szCs w:val="44"/>
          <w:rFonts w:ascii="SimSun" w:eastAsia="SimSun" w:hAnsi="SimSun" w:cs="SimSun"/>
        </w:rPr>
        <w:t xml:space="preserve">第七章　项目合作模式</w:t>
      </w:r>
      <w:bookmarkEnd w:id="1"/>
    </w:p>
    <w:p>
      <w:pPr>
        <w:pStyle w:val="Heading2"/>
        <w:spacing w:before="280" w:after="160" w:line="312" w:lineRule="auto"/>
      </w:pPr>
      <w:bookmarkStart w:name="_tc6_0" w:id="1"/>
      <w:r>
        <w:rPr>
          <w:b/>
          <w:bCs/>
          <w:color w:val="000000"/>
          <w:sz w:val="28"/>
          <w:szCs w:val="28"/>
          <w:rFonts w:ascii="SimSun" w:eastAsia="SimSun" w:hAnsi="SimSun" w:cs="SimSun"/>
        </w:rPr>
        <w:t xml:space="preserve">7.1　合作模式</w:t>
      </w:r>
      <w:bookmarkEnd w:id="1"/>
    </w:p>
    <w:p>
      <w:pPr>
        <w:spacing w:before="0" w:after="0" w:line="312" w:lineRule="auto"/>
        <w:ind w:firstLine="480"/>
      </w:pPr>
      <w:r>
        <w:rPr>
          <w:color w:val="000000"/>
          <w:sz w:val="24"/>
          <w:szCs w:val="24"/>
          <w:rFonts w:ascii="SimSun" w:eastAsia="SimSun" w:hAnsi="SimSun" w:cs="SimSun"/>
        </w:rPr>
        <w:t xml:space="preserve">本项目合作模式为“满租金整租经营”，即国家税务总局深圳市税务局作为房源产权方，将名下51套存量住宅按现状整体交付；深圳市罗湖安居有限公司作为投资改造与运营主体，承担改造投资、保障性租赁住房认定申报、施工组织、竣工验收及全周期运营管理责任。双方已于2026年7月14日签署《保障性租赁住房项目合作框架协议》，本次合作为该框架协议项下第一批合作房源的具体实施，双方权责以《市税务局第一批合作房源改造为保障性租赁住房项目合作协议》为直接依据（来源：《市税务局第一批合作房源改造为保障性租赁住房项目合作协议（草案）》）。</w:t>
      </w:r>
    </w:p>
    <w:p>
      <w:pPr>
        <w:spacing w:before="0" w:after="0" w:line="312" w:lineRule="auto"/>
        <w:ind w:firstLine="480"/>
      </w:pPr>
      <w:r>
        <w:rPr>
          <w:color w:val="000000"/>
          <w:sz w:val="24"/>
          <w:szCs w:val="24"/>
          <w:rFonts w:ascii="SimSun" w:eastAsia="SimSun" w:hAnsi="SimSun" w:cs="SimSun"/>
        </w:rPr>
        <w:t xml:space="preserve">在权责划分上，国家税务总局深圳市税务局负责提供拥有合法权属、不存在影响项目实施权利瑕疵的合作房源，并在协议生效后5日内按现状交付，承担因房屋交付前已存在的主体结构固有缺陷、权属瑕疵产生的责任；深圳市罗湖安居有限公司自接管房源起承担改造施工安全、运营期间消防及用电用气安全、治安管理等全部日常管理责任，全权负责保障性租赁住房认定申报、改造实施、竣工验收、认定书续期及后期运营管理，相关投入支出全部由其承担。运营层面，深圳市罗湖安居有限公司可自行运营，亦可委托集团内其他主体实施，但未经产权方书面同意不得委托集团外第三方运营，且须严格遵守保障性租赁住房监管规定，严禁擅自变更房屋用途、违规群租、整体转租或变相销售房源。</w:t>
      </w:r>
    </w:p>
    <w:p>
      <w:pPr>
        <w:spacing w:before="0" w:after="0" w:line="312" w:lineRule="auto"/>
        <w:ind w:firstLine="480"/>
      </w:pPr>
      <w:r>
        <w:rPr>
          <w:color w:val="000000"/>
          <w:sz w:val="24"/>
          <w:szCs w:val="24"/>
          <w:rFonts w:ascii="SimSun" w:eastAsia="SimSun" w:hAnsi="SimSun" w:cs="SimSun"/>
        </w:rPr>
        <w:t xml:space="preserve">合作期限方面，首期合作期限为12年，自项目取得《深圳市保障性租赁住房项目认定书》且合作房源正式投入运营之日起算；期满后如双方均有意愿则自动顺延同等期限，任一方不愿继续合作的须提前6个月书面提出。因不可抗力、政策调整或政府征收征用等不可归责事由导致协议终止的，双方互不承担违约责任，深圳市罗湖安居有限公司形成的附合改造资本性投入按合作期限直线折旧核算剩余净值，由国家税务总局深圳市税务局按剩余净值补偿；涉及政府征收补偿的，改造附着物对应的补偿款项归属深圳市罗湖安居有限公司。因一方违约导致提前终止的，按协议违约责任条款执行。合作期满或终止后，深圳市罗湖安居有限公司应在30日内将房源、运营管理资料及固定装修、不可拆除设施一并移交产权方。</w:t>
      </w:r>
    </w:p>
    <w:p>
      <w:pPr>
        <w:spacing w:before="0" w:after="0" w:line="312" w:lineRule="auto"/>
        <w:ind w:firstLine="480"/>
      </w:pPr>
      <w:r>
        <w:rPr>
          <w:color w:val="000000"/>
          <w:sz w:val="24"/>
          <w:szCs w:val="24"/>
          <w:rFonts w:ascii="SimSun" w:eastAsia="SimSun" w:hAnsi="SimSun" w:cs="SimSun"/>
        </w:rPr>
        <w:t xml:space="preserve">本项目采用收益分成方式合作，深圳市罗湖安居有限公司以整租形式取得房源运营权并向产权方支付收楼租金，收楼单价为25元/㎡/月，运营期内住宅租金收入扣除收楼成本、工程费用、运营费用、财务费用及税金后的净收益归运营方所有。根据内置财务测算模型（测算周期2027—2039年，建设期1年、运营期12年），全周期住宅租金收入合计21,750.94万元，总成本费用18,444万元，税金及附加1,163.75万元，净利润1,250.24万元，累计净现值880.47万元，全投资内部收益率（IRR）为25.79%，累计净现金流于2033年（运营第7年）回正，项目具备经济可行性。上述测算参数经zgbyd于2026年9月2日确认，复核以导出《测算说明书》及Excel模型为准。</w:t>
      </w:r>
    </w:p>
    <w:p>
      <w:pPr>
        <w:spacing w:before="0" w:after="0" w:line="312" w:lineRule="auto"/>
        <w:ind w:firstLine="480"/>
      </w:pPr>
      <w:r>
        <w:rPr>
          <w:color w:val="000000"/>
          <w:sz w:val="24"/>
          <w:szCs w:val="24"/>
          <w:rFonts w:ascii="SimSun" w:eastAsia="SimSun" w:hAnsi="SimSun" w:cs="SimSun"/>
        </w:rPr>
        <w:t xml:space="preserve">合作核心条款如下表所示：</w:t>
      </w:r>
    </w:p>
    <w:p>
      <w:pPr>
        <w:spacing w:before="0" w:after="0" w:line="312" w:lineRule="auto"/>
        <w:ind w:firstLine="480"/>
      </w:pPr>
      <w:r>
        <w:rPr>
          <w:color w:val="000000"/>
          <w:sz w:val="24"/>
          <w:szCs w:val="24"/>
          <w:rFonts w:ascii="SimSun" w:eastAsia="SimSun" w:hAnsi="SimSun" w:cs="SimSun"/>
        </w:rPr>
        <w:t xml:space="preserve">详见第7.2节“合作核心条款表”。</w:t>
      </w:r>
    </w:p>
    <w:p>
      <w:pPr>
        <w:spacing w:before="0" w:after="0" w:line="312" w:lineRule="auto"/>
        <w:ind w:firstLine="480"/>
      </w:pPr>
      <w:r>
        <w:rPr>
          <w:color w:val="000000"/>
          <w:sz w:val="24"/>
          <w:szCs w:val="24"/>
          <w:rFonts w:ascii="SimSun" w:eastAsia="SimSun" w:hAnsi="SimSun" w:cs="SimSun"/>
        </w:rPr>
        <w:t xml:space="preserve">该合作模式下，深圳市罗湖安居有限公司作为罗湖区保障性住房专营机构，具备保障性租赁住房改造、工程建设和报批报建专业能力，能够独立完成从投资改造到运营管理的全链条实施；国家税务总局深圳市税务局无需承担改造投入与运营风险，以房源整租形式获取稳定的收楼租金收益，实现闲置存量住宅的盘活利用。双方权责边界清晰、风险分担合理，符合国有企业与行政事业单位合作盘活存量资产的政策导向，具备实施可行性。</w:t>
      </w:r>
    </w:p>
    <w:p>
      <w:pPr>
        <w:spacing w:before="0" w:after="0" w:line="312" w:lineRule="auto"/>
        <w:ind w:firstLine="480"/>
      </w:pPr>
      <w:r>
        <w:rPr>
          <w:b/>
          <w:bCs/>
          <w:color w:val="C62828"/>
          <w:sz w:val="24"/>
          <w:szCs w:val="24"/>
          <w:rFonts w:ascii="SimSun" w:eastAsia="SimSun" w:hAnsi="SimSun" w:cs="SimSun"/>
        </w:rPr>
        <w:t xml:space="preserve">【待补：合作协议文件、交易文件、集团收益分配指引、同类项目分成案例、财务测算模型、合作协议条款、收益分配测算表、双方谈判记录、集团合作模式指引、同类项目合作案例、合作方背景调查、合作方案测算表、财务模型输出、双方权责划分表、合作模式比选分析报告、风险收益评估表】</w:t>
      </w:r>
    </w:p>
    <w:p>
      <w:pPr>
        <w:pStyle w:val="Heading2"/>
        <w:spacing w:before="280" w:after="160" w:line="312" w:lineRule="auto"/>
      </w:pPr>
      <w:bookmarkStart w:name="_tc6_1" w:id="1"/>
      <w:r>
        <w:rPr>
          <w:b/>
          <w:bCs/>
          <w:color w:val="000000"/>
          <w:sz w:val="28"/>
          <w:szCs w:val="28"/>
          <w:rFonts w:ascii="SimSun" w:eastAsia="SimSun" w:hAnsi="SimSun" w:cs="SimSun"/>
        </w:rPr>
        <w:t xml:space="preserve">7.2　合作核心条款</w:t>
      </w:r>
      <w:bookmarkEnd w:id="1"/>
    </w:p>
    <w:p>
      <w:pPr>
        <w:spacing w:before="0" w:after="0" w:line="312" w:lineRule="auto"/>
        <w:ind w:firstLine="480"/>
      </w:pPr>
      <w:r>
        <w:rPr>
          <w:color w:val="000000"/>
          <w:sz w:val="24"/>
          <w:szCs w:val="24"/>
          <w:rFonts w:ascii="SimSun" w:eastAsia="SimSun" w:hAnsi="SimSun" w:cs="SimSun"/>
        </w:rPr>
        <w:t xml:space="preserve">本项目合作核心条款以国家税务总局深圳市税务局与深圳市罗湖安居有限公司签订的《第一批合作房源改造为保障性租赁住房项目合作协议》为基础框架，结合项目实际运营模式与财务测算条件，将双方在合作期限、投资改造责任、运营管理、收益分配及退出机制等方面的权利义务予以固化。本节所列条款为项目合作的基本制度安排，具体执行细节以正式签署生效的合作协议及附件为准。</w:t>
      </w:r>
    </w:p>
    <w:p>
      <w:pPr>
        <w:pStyle w:val="Heading3"/>
        <w:keepNext/>
        <w:spacing w:before="160" w:after="80" w:line="360" w:lineRule="auto"/>
      </w:pPr>
      <w:r>
        <w:rPr>
          <w:b/>
          <w:bCs/>
          <w:color w:val="000000"/>
          <w:sz w:val="24"/>
          <w:szCs w:val="24"/>
          <w:rFonts w:ascii="SimSun" w:eastAsia="SimSun" w:hAnsi="SimSun" w:cs="SimSun"/>
        </w:rPr>
        <w:t xml:space="preserve">7.2.1 合作模式与基本结构</w:t>
      </w:r>
    </w:p>
    <w:p>
      <w:pPr>
        <w:spacing w:before="0" w:after="0" w:line="312" w:lineRule="auto"/>
        <w:ind w:firstLine="480"/>
      </w:pPr>
      <w:r>
        <w:rPr>
          <w:color w:val="000000"/>
          <w:sz w:val="24"/>
          <w:szCs w:val="24"/>
          <w:rFonts w:ascii="SimSun" w:eastAsia="SimSun" w:hAnsi="SimSun" w:cs="SimSun"/>
        </w:rPr>
        <w:t xml:space="preserve">本项目采用“满租金整租经营”模式，即深圳市罗湖安居有限公司作为保障性租赁住房专营机构，整体承租国家税务总局深圳市税务局提供的51套存量住宅房源，负责完成保障性租赁住房认定申报、改造投资、施工组织及全周期运营管理，并以整租租金为对价基础，通过市场化经营获取收益。该模式将房源权属方与运营投资方责任清晰分离，有利于发挥深圳市罗湖安居有限公司在保障性租赁住房改造与运营领域的专业优势，同时确保国家税务总局深圳市税务局存量资产得到系统性盘活。</w:t>
      </w:r>
    </w:p>
    <w:p>
      <w:pPr>
        <w:pStyle w:val="Heading3"/>
        <w:keepNext/>
        <w:spacing w:before="160" w:after="80" w:line="360" w:lineRule="auto"/>
      </w:pPr>
      <w:r>
        <w:rPr>
          <w:b/>
          <w:bCs/>
          <w:color w:val="000000"/>
          <w:sz w:val="24"/>
          <w:szCs w:val="24"/>
          <w:rFonts w:ascii="SimSun" w:eastAsia="SimSun" w:hAnsi="SimSun" w:cs="SimSun"/>
        </w:rPr>
        <w:t xml:space="preserve">7.2.2 条款设计要点说明</w:t>
      </w:r>
    </w:p>
    <w:p>
      <w:pPr>
        <w:spacing w:before="0" w:after="0" w:line="312" w:lineRule="auto"/>
        <w:ind w:firstLine="480"/>
      </w:pPr>
      <w:r>
        <w:rPr>
          <w:color w:val="000000"/>
          <w:sz w:val="24"/>
          <w:szCs w:val="24"/>
          <w:rFonts w:ascii="SimSun" w:eastAsia="SimSun" w:hAnsi="SimSun" w:cs="SimSun"/>
        </w:rPr>
        <w:t xml:space="preserve">上述条款体系围绕三个核心逻辑展开：其一，以12年合作期限匹配保障性租赁住房认定书有效期及项目投资回收周期，确保深圳市罗湖安居有限公司在完整运营周期内实现投资平衡；其二，以“乙方投资、乙方运营、乙方受益”为基本权责配置，国家税务总局深圳市税务局以房源使用权让渡换取存量资产盘活与保障性住房供应增量，不承担改造运营的市场风险；其三，以提前终止清算条款保障深圳市罗湖安居有限公司在非违约情形下的资本性投入剩余价值回收权利，降低长期合作中的政策不确定性风险。</w:t>
      </w:r>
    </w:p>
    <w:p>
      <w:pPr>
        <w:spacing w:before="0" w:after="0" w:line="312" w:lineRule="auto"/>
        <w:ind w:firstLine="480"/>
      </w:pPr>
      <w:r>
        <w:rPr>
          <w:color w:val="000000"/>
          <w:sz w:val="24"/>
          <w:szCs w:val="24"/>
          <w:rFonts w:ascii="SimSun" w:eastAsia="SimSun" w:hAnsi="SimSun" w:cs="SimSun"/>
        </w:rPr>
        <w:t xml:space="preserve">合作期限届满后的自动顺延机制与认定书续期义务相衔接，为项目长期稳定运营预留制度空间。深圳市罗湖安居有限公司须在认定书有效期届满前6个月启动续期程序，国家税务总局深圳市税务局予以配合，确保项目合规性贯穿全周期。</w:t>
      </w:r>
    </w:p>
    <w:p>
      <w:pPr>
        <w:spacing w:before="0" w:after="0" w:line="312" w:lineRule="auto"/>
        <w:ind w:firstLine="480"/>
      </w:pPr>
      <w:r>
        <w:rPr>
          <w:color w:val="000000"/>
          <w:sz w:val="24"/>
          <w:szCs w:val="24"/>
          <w:rFonts w:ascii="SimSun" w:eastAsia="SimSun" w:hAnsi="SimSun" w:cs="SimSun"/>
        </w:rPr>
        <w:t xml:space="preserve">资料待补提示</w:t>
      </w:r>
    </w:p>
    <w:p>
      <w:pPr>
        <w:spacing w:before="0" w:after="0" w:line="312" w:lineRule="auto"/>
        <w:ind w:firstLine="480"/>
      </w:pPr>
      <w:r>
        <w:rPr>
          <w:b/>
          <w:bCs/>
          <w:color w:val="C62828"/>
          <w:sz w:val="24"/>
          <w:szCs w:val="24"/>
          <w:rFonts w:ascii="SimSun" w:eastAsia="SimSun" w:hAnsi="SimSun" w:cs="SimSun"/>
        </w:rPr>
        <w:t xml:space="preserve">【待补：合作协议文件、融资协议、集团合同模板、法务审核要点、同类项目纠纷案例、集团改造标准指引、集采价格库、改造分工方案、造价咨询报告、各方成本估算表、单方造价对比表】</w:t>
      </w:r>
    </w:p>
    <w:p>
      <w:pPr>
        <w:keepNext/>
        <w:spacing w:before="180" w:after="100"/>
        <w:jc w:val="center"/>
      </w:pPr>
      <w:r>
        <w:rPr>
          <w:b/>
          <w:bCs/>
          <w:color w:val="000000"/>
          <w:sz w:val="22"/>
          <w:szCs w:val="22"/>
          <w:rFonts w:ascii="SimSun" w:eastAsia="SimSun" w:hAnsi="SimSun" w:cs="SimSun"/>
        </w:rPr>
        <w:t xml:space="preserve">合作核心条款表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条款类别</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约定内容</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产权方职责</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投资改造方职责</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运营方职责</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待确认事项</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合作房源</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国家税务总局深圳市税务局拥有合法权属的51套存量住宅，分布于罗湖区银湖半山、宝泉庄、松园小区、碧波花园、愉天小区及福田区梅兴苑等6个小区，总建筑面积约5,621.15㎡，全部为住宅用途；国家税务总局深圳市税务局名下51套存量住宅，分布于银湖半山、宝泉庄、松园小区、碧波花园、愉天小区、梅兴苑6个小区，总建筑面积约5,621.15㎡</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合作期限</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首期合作期限12年，自项目取得《深圳市保障性租赁住房项目认定书》且房源正式投入运营之日起算；期满双方均有意继续合作的，自动顺延同等期限；任一方不愿继续的，应于期限届满前6个月书面提出；首期12年，自取得项目认定书且正式投入运营之日起算；期满可自动顺延同等期限</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交付与接管</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国家税务总局深圳市税务局于协议生效后5日内按现状交付房源；交付后因改造施工、运营管理期间发生的事故及日常管理责任由深圳市罗湖安居有限公司承担；交付前已存在的主体结构固有缺陷、权属瑕疵责任由国家税务总局深圳市税务局承担</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投资与改造责任</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深圳市罗湖安居有限公司负责全部改造投资，全权负责保障性租赁住房认定申报、改造施工、竣工验收、认定书续期及后期运营管理；项目相关全部投入支出由深圳市罗湖安居有限公司承担</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运营管理</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深圳市罗湖安居有限公司统筹运营管理，可自行运营或委托集团内其他主体实施；未经国家税务总局深圳市税务局书面同意，不得委托集团外第三方运营；须严格遵守保障性租赁住房监管规定，严禁擅自变更房屋用途、违规群租、整体转租、变相销售</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收益机制</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采用满租金整租经营模式，深圳市罗湖安居有限公司按约定标准向国家税务总局深圳市税务局支付整租租金，运营收益归深圳市罗湖安居有限公司所有，用于覆盖改造成本、运营费用及合理回报</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费用承担</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改造投资、运营管理、维修养护、日常能耗等费用由深圳市罗湖安居有限公司承担；房屋交付前已存在的维修义务由国家税务总局深圳市税务局承担</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交付标准与退出移交</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合作期限届满或提前终止后，深圳市罗湖安居有限公司应在30日内将房源、运营管理资料及附着于房屋的固定装修、不可拆除设施一并移交国家税务总局深圳市税务局</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提前终止与清算</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因不可抗力、政策调整、政府征收征用等不可归责事由导致无法继续履行的，协议可提前终止，双方互不承担违约责任；深圳市罗湖安居有限公司形成附合的改造资本性投入按合作期限直线折旧核算剩余净值，由国家税务总局深圳市税务局按剩余净值补偿；涉及政府征收补偿的，改造附着物对应补偿款归属深圳市罗湖安居有限公司</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违约与争议解决</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因一方违约导致协议提前终止的，违约方按协议约定承担违约责任；双方争议优先协商解决，协商不成的依法通过诉讼途径处理</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合作模式</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满租金整租经营，收益分成</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产权方职责</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提供权属清晰房源，按现状交付，承担交付前既有缺陷责任，配合办理审批申报手续</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投资运营方职责</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承担改造投资及运营全部费用，负责认定申报、改造实施、竣工验收、续期及运营管理</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收益分配</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运营期内深圳市罗湖安居有限公司按25元/㎡/月支付收楼租金，剩余净收益归运营方</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终止补偿</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不可归责事由终止时，附合改造投入按直线折旧剩余净值由产权方补偿；政府征收补偿中改造附着物对应部分归运营方</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期满移交</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期满或终止后30日内移交房源、管理资料及固定装修、不可拆除设施</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bl>
    <w:p>
      <w:pPr>
        <w:pStyle w:val="Heading1"/>
        <w:pageBreakBefore/>
        <w:spacing w:after="360" w:line="312" w:lineRule="auto"/>
        <w:jc w:val="center"/>
      </w:pPr>
      <w:bookmarkStart w:name="_tc7" w:id="1"/>
      <w:r>
        <w:rPr>
          <w:b/>
          <w:bCs/>
          <w:color w:val="000000"/>
          <w:sz w:val="44"/>
          <w:szCs w:val="44"/>
          <w:rFonts w:ascii="SimSun" w:eastAsia="SimSun" w:hAnsi="SimSun" w:cs="SimSun"/>
        </w:rPr>
        <w:t xml:space="preserve">第八章　投资估算与资金筹措</w:t>
      </w:r>
      <w:bookmarkEnd w:id="1"/>
    </w:p>
    <w:p>
      <w:pPr>
        <w:pStyle w:val="Heading2"/>
        <w:spacing w:before="280" w:after="160" w:line="312" w:lineRule="auto"/>
      </w:pPr>
      <w:bookmarkStart w:name="_tc7_0" w:id="1"/>
      <w:r>
        <w:rPr>
          <w:b/>
          <w:bCs/>
          <w:color w:val="000000"/>
          <w:sz w:val="28"/>
          <w:szCs w:val="28"/>
          <w:rFonts w:ascii="SimSun" w:eastAsia="SimSun" w:hAnsi="SimSun" w:cs="SimSun"/>
        </w:rPr>
        <w:t xml:space="preserve">8.1　投资估算</w:t>
      </w:r>
      <w:bookmarkEnd w:id="1"/>
    </w:p>
    <w:p>
      <w:pPr>
        <w:pStyle w:val="Heading3"/>
        <w:keepNext/>
        <w:spacing w:before="160" w:after="80" w:line="360" w:lineRule="auto"/>
      </w:pPr>
      <w:r>
        <w:rPr>
          <w:b/>
          <w:bCs/>
          <w:color w:val="000000"/>
          <w:sz w:val="24"/>
          <w:szCs w:val="24"/>
          <w:rFonts w:ascii="SimSun" w:eastAsia="SimSun" w:hAnsi="SimSun" w:cs="SimSun"/>
        </w:rPr>
        <w:t xml:space="preserve">8.1.1 编制范围与编制依据</w:t>
      </w:r>
    </w:p>
    <w:p>
      <w:pPr>
        <w:spacing w:before="0" w:after="0" w:line="312" w:lineRule="auto"/>
        <w:ind w:firstLine="480"/>
      </w:pPr>
      <w:r>
        <w:rPr>
          <w:color w:val="000000"/>
          <w:sz w:val="24"/>
          <w:szCs w:val="24"/>
          <w:rFonts w:ascii="SimSun" w:eastAsia="SimSun" w:hAnsi="SimSun" w:cs="SimSun"/>
        </w:rPr>
        <w:t xml:space="preserve">本项目投资估算范围覆盖市税务局第一批合作房源（51套存量住宅，总建筑面积约5,621.15㎡，分布于罗湖区金湖路6号银湖半山、红桂路1008号宝泉庄、松园小区、碧波花园、愉天小区及福田区上梅林梅兴苑等6个居住小区）改造为保障性租赁住房所需的全部费用，具体包括：交割前前期费用（含项目策划、可行性研究、勘察设计、结构鉴定检测、造价咨询、招标代理、监理等）、改造工程费用（含室内精装、机电改造、配套工程等）、建设期融资费用及不可预见费。估算编制以2026年9月确认的测算参数为基准期价格水平，静态投资按该时点价格计列，未考虑建设期价格波动因素。</w:t>
      </w:r>
    </w:p>
    <w:p>
      <w:pPr>
        <w:spacing w:before="0" w:after="0" w:line="312" w:lineRule="auto"/>
        <w:ind w:firstLine="480"/>
      </w:pPr>
      <w:r>
        <w:rPr>
          <w:color w:val="000000"/>
          <w:sz w:val="24"/>
          <w:szCs w:val="24"/>
          <w:rFonts w:ascii="SimSun" w:eastAsia="SimSun" w:hAnsi="SimSun" w:cs="SimSun"/>
        </w:rPr>
        <w:t xml:space="preserve">估算编制依据主要包括：《深圳市保障性租赁住房项目认定办法（试行）》（深建规〔2023〕4号）、深圳市罗湖安居有限公司与国家税务总局深圳市税务局签订的《保障性租赁住房项目合作框架协议》及《第一批合作房源改造为保障性租赁住房项目合作协议（草案）》、项目投资立项请示及批复文件</w:t>
      </w:r>
      <w:r>
        <w:rPr>
          <w:b/>
          <w:bCs/>
          <w:color w:val="C62828"/>
          <w:sz w:val="24"/>
          <w:szCs w:val="24"/>
          <w:rFonts w:ascii="SimSun" w:eastAsia="SimSun" w:hAnsi="SimSun" w:cs="SimSun"/>
        </w:rPr>
        <w:t xml:space="preserve">【待补：具体批复文号】</w:t>
      </w:r>
      <w:r>
        <w:rPr>
          <w:color w:val="000000"/>
          <w:sz w:val="24"/>
          <w:szCs w:val="24"/>
          <w:rFonts w:ascii="SimSun" w:eastAsia="SimSun" w:hAnsi="SimSun" w:cs="SimSun"/>
        </w:rPr>
        <w:t xml:space="preserve">、各点位房源现场勘察记录及改造方案、深圳市同类保障性住房改造项目造价指标及历史项目类比数据，以及公司《可研报告编制与审查指引》中关于投资估算的取值标准。</w:t>
      </w:r>
    </w:p>
    <w:p>
      <w:pPr>
        <w:pStyle w:val="Heading3"/>
        <w:keepNext/>
        <w:spacing w:before="160" w:after="80" w:line="360" w:lineRule="auto"/>
      </w:pPr>
      <w:r>
        <w:rPr>
          <w:b/>
          <w:bCs/>
          <w:color w:val="000000"/>
          <w:sz w:val="24"/>
          <w:szCs w:val="24"/>
          <w:rFonts w:ascii="SimSun" w:eastAsia="SimSun" w:hAnsi="SimSun" w:cs="SimSun"/>
        </w:rPr>
        <w:t xml:space="preserve">8.1.2 投资估算编制方法</w:t>
      </w:r>
    </w:p>
    <w:p>
      <w:pPr>
        <w:spacing w:before="0" w:after="0" w:line="312" w:lineRule="auto"/>
        <w:ind w:firstLine="480"/>
      </w:pPr>
      <w:r>
        <w:rPr>
          <w:color w:val="000000"/>
          <w:sz w:val="24"/>
          <w:szCs w:val="24"/>
          <w:rFonts w:ascii="SimSun" w:eastAsia="SimSun" w:hAnsi="SimSun" w:cs="SimSun"/>
        </w:rPr>
        <w:t xml:space="preserve">本项目为存量住宅改造为保障性租赁住房，采用"满租金整租经营"合作模式，深圳市罗湖安居有限公司作为投资及运营主体，承担全部改造投入。投资估算采用分类估算法，按费用性质划分为交割前前期费用、改造工程费用（含精装改造工程费、机电改造费、配套工程费）、不可预见费及建设期融资费用四大类。鉴于6个点位房源现状及改造标准存在差异（银湖半山小区现状较好，室内为精装修，仅需简单翻新及增配家具家电；其余点位房源相对老旧，需室内全部翻新并配置家具家电），本次估算按各点位实际改造内容分别计列工程费用，再汇总形成项目总投资。</w:t>
      </w:r>
    </w:p>
    <w:p>
      <w:pPr>
        <w:spacing w:before="0" w:after="0" w:line="312" w:lineRule="auto"/>
        <w:ind w:firstLine="480"/>
      </w:pPr>
      <w:r>
        <w:rPr>
          <w:color w:val="000000"/>
          <w:sz w:val="24"/>
          <w:szCs w:val="24"/>
          <w:rFonts w:ascii="SimSun" w:eastAsia="SimSun" w:hAnsi="SimSun" w:cs="SimSun"/>
        </w:rPr>
        <w:t xml:space="preserve">改造工程费用依据各点位建筑面积及单方造价指标测算，单方造价指标参照深圳市近期同类存量住宅改造项目实际造价水平及公司集采价格库综合确定，具体构成如下：</w:t>
      </w:r>
    </w:p>
    <w:p>
      <w:pPr>
        <w:spacing w:before="0" w:after="0" w:line="312" w:lineRule="auto"/>
        <w:ind w:firstLine="480"/>
      </w:pPr>
      <w:r>
        <w:rPr>
          <w:color w:val="000000"/>
          <w:sz w:val="24"/>
          <w:szCs w:val="24"/>
          <w:rFonts w:ascii="SimSun" w:eastAsia="SimSun" w:hAnsi="SimSun" w:cs="SimSun"/>
        </w:rPr>
        <w:t xml:space="preserve">详见第1.5节“软硬装投资估算表”。</w:t>
      </w:r>
    </w:p>
    <w:p>
      <w:pPr>
        <w:spacing w:before="0" w:after="0" w:line="312" w:lineRule="auto"/>
        <w:ind w:firstLine="480"/>
      </w:pPr>
      <w:r>
        <w:rPr>
          <w:color w:val="000000"/>
          <w:sz w:val="24"/>
          <w:szCs w:val="24"/>
          <w:rFonts w:ascii="SimSun" w:eastAsia="SimSun" w:hAnsi="SimSun" w:cs="SimSun"/>
        </w:rPr>
        <w:t xml:space="preserve">注：上述单方造价指标参照深圳市近期同类存量住宅改造项目造价水平及公司集采价格库综合确定，最终以施工图预算及造价咨询报告核定为准</w:t>
      </w:r>
      <w:r>
        <w:rPr>
          <w:b/>
          <w:bCs/>
          <w:color w:val="C62828"/>
          <w:sz w:val="24"/>
          <w:szCs w:val="24"/>
          <w:rFonts w:ascii="SimSun" w:eastAsia="SimSun" w:hAnsi="SimSun" w:cs="SimSun"/>
        </w:rPr>
        <w:t xml:space="preserve">【待补：造价咨询报告】</w:t>
      </w:r>
      <w:r>
        <w:rPr>
          <w:color w:val="000000"/>
          <w:sz w:val="24"/>
          <w:szCs w:val="24"/>
          <w:rFonts w:ascii="SimSun" w:eastAsia="SimSun" w:hAnsi="SimSun" w:cs="SimSun"/>
        </w:rPr>
        <w:t xml:space="preserve">。</w:t>
      </w:r>
    </w:p>
    <w:p>
      <w:pPr>
        <w:pStyle w:val="Heading3"/>
        <w:keepNext/>
        <w:spacing w:before="160" w:after="80" w:line="360" w:lineRule="auto"/>
      </w:pPr>
      <w:r>
        <w:rPr>
          <w:b/>
          <w:bCs/>
          <w:color w:val="000000"/>
          <w:sz w:val="24"/>
          <w:szCs w:val="24"/>
          <w:rFonts w:ascii="SimSun" w:eastAsia="SimSun" w:hAnsi="SimSun" w:cs="SimSun"/>
        </w:rPr>
        <w:t xml:space="preserve">8.1.3 投资估算成果</w:t>
      </w:r>
    </w:p>
    <w:p>
      <w:pPr>
        <w:spacing w:before="0" w:after="0" w:line="312" w:lineRule="auto"/>
        <w:ind w:firstLine="480"/>
      </w:pPr>
      <w:r>
        <w:rPr>
          <w:color w:val="000000"/>
          <w:sz w:val="24"/>
          <w:szCs w:val="24"/>
          <w:rFonts w:ascii="SimSun" w:eastAsia="SimSun" w:hAnsi="SimSun" w:cs="SimSun"/>
        </w:rPr>
        <w:t xml:space="preserve">本项目测算周期为2027—2039年（建设期1年，运营期12年），总投资规模为13,892万元。按费用构成划分，主要包括改造工程费用、交割前前期费用及建设期融资费用三部分。其中，改造工程费用为投资主体部分，含首次装修工程费、机电改造及配套工程等；交割前前期费用涵盖代建管理、方案及施工图设计、结构鉴定检测、造价咨询、样板间施工等多项前期工作。建设期融资费用按借款本金及约定利率测算。具体投资估算构成如下表所示：</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26"/>
        <w:gridCol w:w="2126"/>
        <w:gridCol w:w="2126"/>
        <w:gridCol w:w="2128"/>
      </w:tblGrid>
      <w:tr>
        <w:trPr>
          <w:tblHeader/>
        </w:trPr>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费用类别</w:t>
            </w:r>
          </w:p>
        </w:tc>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估算金额（万元）</w:t>
            </w:r>
          </w:p>
        </w:tc>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占比（%）</w:t>
            </w:r>
          </w:p>
        </w:tc>
        <w:tc>
          <w:tcPr>
            <w:tcW w:type="dxa" w:w="2128"/>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测算说明</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改造工程费用</w:t>
            </w:r>
          </w:p>
        </w:tc>
        <w:tc>
          <w:tcPr>
            <w:tcW w:type="dxa" w:w="2126"/>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2126"/>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含首次装修1,500元/㎡及机电、配套改造，全周期装修2次合计3,900万元</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交割前前期费用</w:t>
            </w:r>
          </w:p>
        </w:tc>
        <w:tc>
          <w:tcPr>
            <w:tcW w:type="dxa" w:w="2126"/>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2126"/>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含代建管理、设计、造价咨询、检测、样板间等，按建安费用一定比例计列</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不可预见费</w:t>
            </w:r>
          </w:p>
        </w:tc>
        <w:tc>
          <w:tcPr>
            <w:tcW w:type="dxa" w:w="2126"/>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2126"/>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按前期费用与改造工程费用合计的一定比例预留</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建设期融资费用</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127.20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0.92</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按计息本金10,600万元、利率3%×折扣0.8测算</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总投资估算</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13,892.00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100.00</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含建设期利息</w:t>
            </w:r>
          </w:p>
        </w:tc>
      </w:tr>
    </w:tbl>
    <w:p>
      <w:pPr>
        <w:spacing w:before="0" w:after="0" w:line="312" w:lineRule="auto"/>
        <w:ind w:firstLine="480"/>
      </w:pPr>
      <w:r>
        <w:rPr>
          <w:color w:val="000000"/>
          <w:sz w:val="24"/>
          <w:szCs w:val="24"/>
          <w:rFonts w:ascii="SimSun" w:eastAsia="SimSun" w:hAnsi="SimSun" w:cs="SimSun"/>
        </w:rPr>
        <w:t xml:space="preserve">注：改造工程费用及交割前前期费用明细待施工图预算及造价咨询报告出具后核定</w:t>
      </w:r>
      <w:r>
        <w:rPr>
          <w:b/>
          <w:bCs/>
          <w:color w:val="C62828"/>
          <w:sz w:val="24"/>
          <w:szCs w:val="24"/>
          <w:rFonts w:ascii="SimSun" w:eastAsia="SimSun" w:hAnsi="SimSun" w:cs="SimSun"/>
        </w:rPr>
        <w:t xml:space="preserve">【待补：造价咨询报告】</w:t>
      </w:r>
      <w:r>
        <w:rPr>
          <w:color w:val="000000"/>
          <w:sz w:val="24"/>
          <w:szCs w:val="24"/>
          <w:rFonts w:ascii="SimSun" w:eastAsia="SimSun" w:hAnsi="SimSun" w:cs="SimSun"/>
        </w:rPr>
        <w:t xml:space="preserve">。</w:t>
      </w:r>
    </w:p>
    <w:p>
      <w:pPr>
        <w:pStyle w:val="Heading3"/>
        <w:keepNext/>
        <w:spacing w:before="160" w:after="80" w:line="360" w:lineRule="auto"/>
      </w:pPr>
      <w:r>
        <w:rPr>
          <w:b/>
          <w:bCs/>
          <w:color w:val="000000"/>
          <w:sz w:val="24"/>
          <w:szCs w:val="24"/>
          <w:rFonts w:ascii="SimSun" w:eastAsia="SimSun" w:hAnsi="SimSun" w:cs="SimSun"/>
        </w:rPr>
        <w:t xml:space="preserve">8.1.4 建设期分年度资金使用计划</w:t>
      </w:r>
    </w:p>
    <w:p>
      <w:pPr>
        <w:spacing w:before="0" w:after="0" w:line="312" w:lineRule="auto"/>
        <w:ind w:firstLine="480"/>
      </w:pPr>
      <w:r>
        <w:rPr>
          <w:color w:val="000000"/>
          <w:sz w:val="24"/>
          <w:szCs w:val="24"/>
          <w:rFonts w:ascii="SimSun" w:eastAsia="SimSun" w:hAnsi="SimSun" w:cs="SimSun"/>
        </w:rPr>
        <w:t xml:space="preserve">本项目2027年为建设期，当年完成房源接收、改造施工及竣工验收备案，并于2028年正式投入运营。建设期资金使用集中于2027年，主要用于支付交割前前期费用、首期装修工程费及建设期融资费用。根据全周期现金流量测算，2027年现金流出127.20万元，为当年建设期利息支出；2028年现金流出1,605.36万元，含收楼成本450万元、工程费用325万元、运营费用530万元、财务费用254.40万元及税金附加等，为资金支出高峰年份。建设期及投入运营初期（2027—2029年）累计净现金流为负，主要依靠深圳市罗湖安居有限公司自有资金及银行借款解决，自2030年起项目实现年度净现金流为正，至2033年累计净现金流回正，资金压力逐步缓解。分年度资金使用计划详见本报告"财务评价"章节现金流量表。</w:t>
      </w:r>
    </w:p>
    <w:p>
      <w:pPr>
        <w:pStyle w:val="Heading2"/>
        <w:spacing w:before="280" w:after="160" w:line="312" w:lineRule="auto"/>
      </w:pPr>
      <w:bookmarkStart w:name="_tc7_1" w:id="1"/>
      <w:r>
        <w:rPr>
          <w:b/>
          <w:bCs/>
          <w:color w:val="000000"/>
          <w:sz w:val="28"/>
          <w:szCs w:val="28"/>
          <w:rFonts w:ascii="SimSun" w:eastAsia="SimSun" w:hAnsi="SimSun" w:cs="SimSun"/>
        </w:rPr>
        <w:t xml:space="preserve">8.2　资金筹措</w:t>
      </w:r>
      <w:bookmarkEnd w:id="1"/>
    </w:p>
    <w:p>
      <w:pPr>
        <w:spacing w:before="0" w:after="0" w:line="312" w:lineRule="auto"/>
        <w:ind w:firstLine="480"/>
      </w:pPr>
      <w:r>
        <w:rPr>
          <w:color w:val="000000"/>
          <w:sz w:val="24"/>
          <w:szCs w:val="24"/>
          <w:rFonts w:ascii="SimSun" w:eastAsia="SimSun" w:hAnsi="SimSun" w:cs="SimSun"/>
        </w:rPr>
        <w:t xml:space="preserve">本项目总投资13,892万元，资金来源拟通过“资本金+债务融资”组合方式筹措。资本金部分由深圳市罗湖安居有限公司以自有资金投入，金额为</w:t>
      </w:r>
      <w:r>
        <w:rPr>
          <w:b/>
          <w:bCs/>
          <w:color w:val="C62828"/>
          <w:sz w:val="24"/>
          <w:szCs w:val="24"/>
          <w:rFonts w:ascii="SimSun" w:eastAsia="SimSun" w:hAnsi="SimSun" w:cs="SimSun"/>
        </w:rPr>
        <w:t xml:space="preserve">【待补：资本金金额及占总投资的比例】</w:t>
      </w:r>
      <w:r>
        <w:rPr>
          <w:color w:val="000000"/>
          <w:sz w:val="24"/>
          <w:szCs w:val="24"/>
          <w:rFonts w:ascii="SimSun" w:eastAsia="SimSun" w:hAnsi="SimSun" w:cs="SimSun"/>
        </w:rPr>
        <w:t xml:space="preserve">，其余部分通过金融机构债务融资解决。鉴于本项目属于保障性租赁住房改造项目，具有现金流稳定、政策支持明确的特征，拟申请住房租赁支持贷款或经营性物业贷款，贷款额度</w:t>
      </w:r>
      <w:r>
        <w:rPr>
          <w:b/>
          <w:bCs/>
          <w:color w:val="C62828"/>
          <w:sz w:val="24"/>
          <w:szCs w:val="24"/>
          <w:rFonts w:ascii="SimSun" w:eastAsia="SimSun" w:hAnsi="SimSun" w:cs="SimSun"/>
        </w:rPr>
        <w:t xml:space="preserve">【待补：贷款额度及杠杆率】</w:t>
      </w:r>
      <w:r>
        <w:rPr>
          <w:color w:val="000000"/>
          <w:sz w:val="24"/>
          <w:szCs w:val="24"/>
          <w:rFonts w:ascii="SimSun" w:eastAsia="SimSun" w:hAnsi="SimSun" w:cs="SimSun"/>
        </w:rPr>
        <w:t xml:space="preserve">，贷款年限</w:t>
      </w:r>
      <w:r>
        <w:rPr>
          <w:b/>
          <w:bCs/>
          <w:color w:val="C62828"/>
          <w:sz w:val="24"/>
          <w:szCs w:val="24"/>
          <w:rFonts w:ascii="SimSun" w:eastAsia="SimSun" w:hAnsi="SimSun" w:cs="SimSun"/>
        </w:rPr>
        <w:t xml:space="preserve">【待补：贷款年限】</w:t>
      </w:r>
      <w:r>
        <w:rPr>
          <w:color w:val="000000"/>
          <w:sz w:val="24"/>
          <w:szCs w:val="24"/>
          <w:rFonts w:ascii="SimSun" w:eastAsia="SimSun" w:hAnsi="SimSun" w:cs="SimSun"/>
        </w:rPr>
        <w:t xml:space="preserve">，贷款利率参照同期贷款市场报价利率（LPR）及租赁住房贷款支持政策执行，预计综合融资成本不高于3.00%（测算口径：利率3%×折扣0.8，折合实际计息利率2.40%），担保方式拟采用项目公司股权质押及集团连带责任担保</w:t>
      </w:r>
      <w:r>
        <w:rPr>
          <w:b/>
          <w:bCs/>
          <w:color w:val="C62828"/>
          <w:sz w:val="24"/>
          <w:szCs w:val="24"/>
          <w:rFonts w:ascii="SimSun" w:eastAsia="SimSun" w:hAnsi="SimSun" w:cs="SimSun"/>
        </w:rPr>
        <w:t xml:space="preserve">【待补：融资协议及担保安排】</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本项目计息本金为10,600万元，占总投资比例约76.3%，财务费用按实际提款进度及还款计划逐年计入。根据测算结果，2027年（建设期）财务费用为127.2万元，此后随本金偿还逐年递减，至2039年降至42.4万元，全周期财务费用合计1,961.6万元。资金使用计划与改造工程进度相衔接：前期费用及设计咨询费于2027年上半年投入，建安及装修工程费按施工进度分阶段支付，首次装修工程费于2027—2028年集中发生，软装及家具家电配置随装修进度同步采购，运营期流动资金及收楼成本按年度租金支付节奏滚动安排。本项目投资计划与资金筹措情况如下表所示。</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17"/>
        <w:gridCol w:w="1417"/>
        <w:gridCol w:w="1417"/>
        <w:gridCol w:w="1417"/>
        <w:gridCol w:w="1417"/>
        <w:gridCol w:w="1421"/>
      </w:tblGrid>
      <w:tr>
        <w:trPr>
          <w:tblHeader/>
        </w:trPr>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项目</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2027年</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2028年</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2029—2033年</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2034—2039年</w:t>
            </w:r>
          </w:p>
        </w:tc>
        <w:tc>
          <w:tcPr>
            <w:tcW w:type="dxa" w:w="1421"/>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合计</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资本金投入</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待补</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债务融资提款</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13,892</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财务费用（计入总成本）</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127.2</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254.4</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逐年递减</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逐年递减</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1,961.6</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工程费用（装修）</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3,900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收楼成本</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450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待补</w:t>
            </w:r>
          </w:p>
        </w:tc>
      </w:tr>
    </w:tbl>
    <w:p>
      <w:pPr>
        <w:spacing w:before="0" w:after="0" w:line="312" w:lineRule="auto"/>
        <w:ind w:firstLine="480"/>
      </w:pPr>
      <w:r>
        <w:rPr>
          <w:color w:val="000000"/>
          <w:sz w:val="24"/>
          <w:szCs w:val="24"/>
          <w:rFonts w:ascii="SimSun" w:eastAsia="SimSun" w:hAnsi="SimSun" w:cs="SimSun"/>
        </w:rPr>
        <w:t xml:space="preserve">从资金到位保障角度分析，深圳市罗湖安居有限公司作为罗湖区保障性住房专营机构及深圳市安居集团有限公司控股子公司，具备稳定的资本金补充能力和集团内部资金统筹机制，项目资本金可依据工程进度及时足额到位。债务融资方面，本项目已纳入保障性租赁住房政策支持范围，拟申请的政策性贷款在额度、期限及利率上均具有较高的可获批性，资金到位进度与建设工期基本匹配，不存在重大资金缺口风险。全周期累计净现金流量于2033年（运营第7年）回正，表明项目自身现金流具备覆盖债务本息的能力，偿债保障程度良好。若后续具备申请政府投资补助或贷款贴息的条件，建议在项目认定书取得后另行研究申报额度及可行性</w:t>
      </w:r>
      <w:r>
        <w:rPr>
          <w:b/>
          <w:bCs/>
          <w:color w:val="C62828"/>
          <w:sz w:val="24"/>
          <w:szCs w:val="24"/>
          <w:rFonts w:ascii="SimSun" w:eastAsia="SimSun" w:hAnsi="SimSun" w:cs="SimSun"/>
        </w:rPr>
        <w:t xml:space="preserve">【待补：拟申报补助/贴息额度及政策依据】</w:t>
      </w:r>
      <w:r>
        <w:rPr>
          <w:color w:val="000000"/>
          <w:sz w:val="24"/>
          <w:szCs w:val="24"/>
          <w:rFonts w:ascii="SimSun" w:eastAsia="SimSun" w:hAnsi="SimSun" w:cs="SimSun"/>
        </w:rPr>
        <w:t xml:space="preserve">。</w:t>
      </w:r>
    </w:p>
    <w:p>
      <w:pPr>
        <w:pStyle w:val="Heading1"/>
        <w:pageBreakBefore/>
        <w:spacing w:after="360" w:line="312" w:lineRule="auto"/>
        <w:jc w:val="center"/>
      </w:pPr>
      <w:bookmarkStart w:name="_tc8" w:id="1"/>
      <w:r>
        <w:rPr>
          <w:b/>
          <w:bCs/>
          <w:color w:val="000000"/>
          <w:sz w:val="44"/>
          <w:szCs w:val="44"/>
          <w:rFonts w:ascii="SimSun" w:eastAsia="SimSun" w:hAnsi="SimSun" w:cs="SimSun"/>
        </w:rPr>
        <w:t xml:space="preserve">第九章　财务评价</w:t>
      </w:r>
      <w:bookmarkEnd w:id="1"/>
    </w:p>
    <w:p>
      <w:pPr>
        <w:pStyle w:val="Heading2"/>
        <w:spacing w:before="280" w:after="160" w:line="312" w:lineRule="auto"/>
      </w:pPr>
      <w:bookmarkStart w:name="_tc8_0" w:id="1"/>
      <w:r>
        <w:rPr>
          <w:b/>
          <w:bCs/>
          <w:color w:val="000000"/>
          <w:sz w:val="28"/>
          <w:szCs w:val="28"/>
          <w:rFonts w:ascii="SimSun" w:eastAsia="SimSun" w:hAnsi="SimSun" w:cs="SimSun"/>
        </w:rPr>
        <w:t xml:space="preserve">9.1　财务评价基础数据和假设</w:t>
      </w:r>
      <w:bookmarkEnd w:id="1"/>
    </w:p>
    <w:p>
      <w:pPr>
        <w:spacing w:before="0" w:after="0" w:line="312" w:lineRule="auto"/>
        <w:ind w:firstLine="480"/>
      </w:pPr>
      <w:r>
        <w:rPr>
          <w:color w:val="000000"/>
          <w:sz w:val="24"/>
          <w:szCs w:val="24"/>
          <w:rFonts w:ascii="SimSun" w:eastAsia="SimSun" w:hAnsi="SimSun" w:cs="SimSun"/>
        </w:rPr>
        <w:t xml:space="preserve">本项目财务评价以满租金整租经营模式为基础，采用全投资税后口径，测算周期为2027—2039年（建设期1年，运营期12年）。项目整体租赁计算收益年限为12年，预计2027年底前完成施工改造及开业准备，2028年1月起计算租赁收入，至2039年12月运营期届满。评价基准期设定为2026年9月，价格水平以该时点市场调研数据及项目实际运营计划为依据进行预测，建设投资、租金收入、运营成本等均采用预测价格，未考虑通货膨胀因素。财务评价范围涵盖项目全周期收入、成本费用、税费及现金流，据此计算财务内部收益率（IRR）、财务净现值（NPV）及投资回收期等评价指标。</w:t>
      </w:r>
    </w:p>
    <w:p>
      <w:pPr>
        <w:spacing w:before="0" w:after="0" w:line="312" w:lineRule="auto"/>
        <w:ind w:firstLine="480"/>
      </w:pPr>
      <w:r>
        <w:rPr>
          <w:color w:val="000000"/>
          <w:sz w:val="24"/>
          <w:szCs w:val="24"/>
          <w:rFonts w:ascii="SimSun" w:eastAsia="SimSun" w:hAnsi="SimSun" w:cs="SimSun"/>
        </w:rPr>
        <w:t xml:space="preserve">本项目折现率按社会主体组织配租的保障性租赁住房标准取5%（LPR上浮150BP，LPR按3.5%计），与测算引擎采用的6%存在口径差异，本报告以测算引擎结果为准，实际评价时按主管部门意见调整。项目借款总额13,892万元，其中计息本金10,600万元，利率按集团现阶段贷款利率3%乘以折扣系数0.8即2.4%测算，随市场变化动态调整。本项目财务评价相关测算规则及评价口径依据集团测算规则引擎及财务评价规范执行</w:t>
      </w:r>
      <w:r>
        <w:rPr>
          <w:b/>
          <w:bCs/>
          <w:color w:val="C62828"/>
          <w:sz w:val="24"/>
          <w:szCs w:val="24"/>
          <w:rFonts w:ascii="SimSun" w:eastAsia="SimSun" w:hAnsi="SimSun" w:cs="SimSun"/>
        </w:rPr>
        <w:t xml:space="preserve">【待补：测算规则引擎、财务评价规范、退出估值模型】</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本项目所涉及的主要税费以财政部及深圳市税务主管部门确定标准为准，具体如下：增值税按住房租赁服务适用简易计税方法，征收率5%；城市维护建设税按增值税税额的7%计征；教育费附加及地方教育附加分别按增值税税额的3%和2%计征；房产税按从租计征，税率为租金收入的12%；城镇土地使用税按房产所在地段适用税额标准计征；印花税按租赁合同金额的0.1%贴花；企业所得税税率为25%，按照国家企业所得税法规定执行，应纳税所得额按利润总额弥补以前年度亏损后计算。上述税费取值以财政部及深圳市税务主管部门确定标准为准，具体执行中如遇税收优惠政策调整，按最新规定执行。</w:t>
      </w:r>
    </w:p>
    <w:p>
      <w:pPr>
        <w:spacing w:before="0" w:after="0" w:line="312" w:lineRule="auto"/>
        <w:ind w:firstLine="480"/>
      </w:pPr>
      <w:r>
        <w:rPr>
          <w:color w:val="000000"/>
          <w:sz w:val="24"/>
          <w:szCs w:val="24"/>
          <w:rFonts w:ascii="SimSun" w:eastAsia="SimSun" w:hAnsi="SimSun" w:cs="SimSun"/>
        </w:rPr>
        <w:t xml:space="preserve">本项目涉及的主要税费及税率汇总如下：</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26"/>
        <w:gridCol w:w="2126"/>
        <w:gridCol w:w="2126"/>
        <w:gridCol w:w="2128"/>
      </w:tblGrid>
      <w:tr>
        <w:trPr>
          <w:tblHeader/>
        </w:trPr>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序号</w:t>
            </w:r>
          </w:p>
        </w:tc>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税种</w:t>
            </w:r>
          </w:p>
        </w:tc>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计税依据</w:t>
            </w:r>
          </w:p>
        </w:tc>
        <w:tc>
          <w:tcPr>
            <w:tcW w:type="dxa" w:w="2128"/>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税率/征收率</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增值税</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住房租赁服务收入（简易计税）</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城市维护建设税</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增值税税额</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教育费附加</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增值税税额</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地方教育附加</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增值税税额</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房产税</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租金收入（从租计征）</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城镇土地使用税</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房产所在地段适用税额标准</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按标准执行</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印花税</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租赁合同金额</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0.1%</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企业所得税</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应纳税所得额</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25%</w:t>
            </w:r>
          </w:p>
        </w:tc>
      </w:tr>
    </w:tbl>
    <w:p>
      <w:pPr>
        <w:spacing w:before="0" w:after="0" w:line="312" w:lineRule="auto"/>
        <w:ind w:firstLine="480"/>
      </w:pPr>
      <w:r>
        <w:rPr>
          <w:color w:val="000000"/>
          <w:sz w:val="24"/>
          <w:szCs w:val="24"/>
          <w:rFonts w:ascii="SimSun" w:eastAsia="SimSun" w:hAnsi="SimSun" w:cs="SimSun"/>
        </w:rPr>
        <w:t xml:space="preserve">运营成本方面，本项目采用满租金整租经营模式，主要成本项目包括收楼成本、工程费用、运营费用及财务费用四类。收楼成本按25元/㎡/月计，即向房源提供方支付的合作分成成本；工程费用为首次装修及二次装修投入，首次装修标准1,500元/㎡，全周期装修两次，工程费合计3,900万元；运营费用包含物业管理费、能耗成本、人工成本、维修维护费用及营销费用等，按单套800元/月综合测算，其中物业管理费根据与物业服务方签订的协议执行，整体单方运营成本约合XX元/㎡/月</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。财务费用按借款余额及约定利率逐年计息。全周期总成本费用18,444万元，其中运营期各年成本介于1,417.4万元至1,629.4万元之间，呈逐年下降趋势，主要系财务费用随本金偿还逐步减少所致。</w:t>
      </w:r>
    </w:p>
    <w:p>
      <w:pPr>
        <w:spacing w:before="0" w:after="0" w:line="312" w:lineRule="auto"/>
        <w:ind w:firstLine="480"/>
      </w:pPr>
      <w:r>
        <w:rPr>
          <w:color w:val="000000"/>
          <w:sz w:val="24"/>
          <w:szCs w:val="24"/>
          <w:rFonts w:ascii="SimSun" w:eastAsia="SimSun" w:hAnsi="SimSun" w:cs="SimSun"/>
        </w:rPr>
        <w:t xml:space="preserve">收入测算方面，项目住宅可出租面积20,000㎡，起始租金75元/㎡/月，每3年递增5%，首年出租率按75%计，稳定期出租率按95%计，按市场租金水平确定后以不低于市场价9折对外出租。全周期住宅租金总收入21,750.94万元，分年收入自2028年1,350万元逐年增长至2039年1,979.54万元。税金及附加合计1,163.75万元，净利润合计1,250.24万元，累计净现值（折现率6%）880.47万元，全投资内部收益率IRR为25.79%，累计净现金流量于2033年（运营期第6年）回正。上述财务评价指标详见《财务评价指标表》。</w:t>
      </w:r>
    </w:p>
    <w:p>
      <w:pPr>
        <w:spacing w:before="0" w:after="0" w:line="312" w:lineRule="auto"/>
        <w:ind w:firstLine="480"/>
      </w:pPr>
      <w:r>
        <w:rPr>
          <w:color w:val="000000"/>
          <w:sz w:val="24"/>
          <w:szCs w:val="24"/>
          <w:rFonts w:ascii="SimSun" w:eastAsia="SimSun" w:hAnsi="SimSun" w:cs="SimSun"/>
        </w:rPr>
        <w:t xml:space="preserve">本项目财务评价计价货币为人民币。由于保留小数位数的缘故，某些合计项显示数值与单项显示数值累加之和不一致，并非计算有误。</w:t>
      </w:r>
    </w:p>
    <w:p>
      <w:pPr>
        <w:pStyle w:val="Heading2"/>
        <w:spacing w:before="280" w:after="160" w:line="312" w:lineRule="auto"/>
      </w:pPr>
      <w:bookmarkStart w:name="_tc8_1" w:id="1"/>
      <w:r>
        <w:rPr>
          <w:b/>
          <w:bCs/>
          <w:color w:val="000000"/>
          <w:sz w:val="28"/>
          <w:szCs w:val="28"/>
          <w:rFonts w:ascii="SimSun" w:eastAsia="SimSun" w:hAnsi="SimSun" w:cs="SimSun"/>
        </w:rPr>
        <w:t xml:space="preserve">9.2　盈利能力分析</w:t>
      </w:r>
      <w:bookmarkEnd w:id="1"/>
    </w:p>
    <w:p>
      <w:pPr>
        <w:spacing w:before="0" w:after="0" w:line="312" w:lineRule="auto"/>
        <w:ind w:firstLine="480"/>
      </w:pPr>
      <w:r>
        <w:rPr>
          <w:color w:val="000000"/>
          <w:sz w:val="24"/>
          <w:szCs w:val="24"/>
          <w:rFonts w:ascii="SimSun" w:eastAsia="SimSun" w:hAnsi="SimSun" w:cs="SimSun"/>
        </w:rPr>
        <w:t xml:space="preserve">本项目财务测算周期为2027—2039年，其中建设期1年（2027年），运营期12年（2028—2039年）。测算范围涵盖住宅租金收入、收楼成本、工程费用、运营费用及财务费用等全口径现金流。依据内置测算引擎输出结果，本项目全周期总收入21,750.94万元，总成本费用18,444.00万元，税金及附加合计1,163.75万元，净利润合计1,250.24万元，项目整体具备正向盈利空间。</w:t>
      </w:r>
    </w:p>
    <w:p>
      <w:pPr>
        <w:spacing w:before="0" w:after="0" w:line="312" w:lineRule="auto"/>
        <w:ind w:firstLine="480"/>
      </w:pPr>
      <w:r>
        <w:rPr>
          <w:color w:val="000000"/>
          <w:sz w:val="24"/>
          <w:szCs w:val="24"/>
          <w:rFonts w:ascii="SimSun" w:eastAsia="SimSun" w:hAnsi="SimSun" w:cs="SimSun"/>
        </w:rPr>
        <w:t xml:space="preserve">1. 收入结构分析</w:t>
      </w:r>
    </w:p>
    <w:p>
      <w:pPr>
        <w:spacing w:before="0" w:after="0" w:line="312" w:lineRule="auto"/>
        <w:ind w:firstLine="480"/>
      </w:pPr>
      <w:r>
        <w:rPr>
          <w:color w:val="000000"/>
          <w:sz w:val="24"/>
          <w:szCs w:val="24"/>
          <w:rFonts w:ascii="SimSun" w:eastAsia="SimSun" w:hAnsi="SimSun" w:cs="SimSun"/>
        </w:rPr>
        <w:t xml:space="preserve">项目运营期内住宅租金收入为唯一收入来源，无商业配套及经营性多种经营收入。运营期首年（2028年）出租率按75%计，自2029年起进入稳定期，出租率按95%计。租金单价起始为75元/㎡/月，每3年递增5%，至2037—2039年租金单价升至86.82元/㎡/月。全周期租金收入呈阶梯式增长态势：2028年收入1,350.00万元为最低点，主要受爬坡期出租率偏低影响；2037年起年收入达1,979.54万元并维持至测算期末，反映租金递增机制对收入端的支撑作用。收入测算未计租金收缴率折减，实际执行中租金收缴率参照同类型已改造保障性租赁住房项目运营情况确定</w:t>
      </w:r>
      <w:r>
        <w:rPr>
          <w:b/>
          <w:bCs/>
          <w:color w:val="C62828"/>
          <w:sz w:val="24"/>
          <w:szCs w:val="24"/>
          <w:rFonts w:ascii="SimSun" w:eastAsia="SimSun" w:hAnsi="SimSun" w:cs="SimSun"/>
        </w:rPr>
        <w:t xml:space="preserve">【待补：同类型项目收缴率参考值】</w:t>
      </w:r>
      <w:r>
        <w:rPr>
          <w:color w:val="000000"/>
          <w:sz w:val="24"/>
          <w:szCs w:val="24"/>
          <w:rFonts w:ascii="SimSun" w:eastAsia="SimSun" w:hAnsi="SimSun" w:cs="SimSun"/>
        </w:rPr>
        <w:t xml:space="preserve">。全周期经营收入分析详见下表：</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26"/>
        <w:gridCol w:w="2126"/>
        <w:gridCol w:w="2126"/>
        <w:gridCol w:w="2128"/>
      </w:tblGrid>
      <w:tr>
        <w:trPr>
          <w:tblHeader/>
        </w:trPr>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年份</w:t>
            </w:r>
          </w:p>
        </w:tc>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住宅租金收入（万元）</w:t>
            </w:r>
          </w:p>
        </w:tc>
        <w:tc>
          <w:tcPr>
            <w:tcW w:type="dxa" w:w="212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出租率</w:t>
            </w:r>
          </w:p>
        </w:tc>
        <w:tc>
          <w:tcPr>
            <w:tcW w:type="dxa" w:w="2128"/>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租金单价（元/㎡/月）</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2028</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1,350.00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75.00</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2029</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1,710.00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75.00</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1,710.00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75.00</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2031</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1,795.50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78.75</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2032</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1,795.50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78.75</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2033</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1,795.50</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78.75</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2034</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1,885.28</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82.69</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2035</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1,885.28</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82.69</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2036</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1,885.28</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82.69</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2037</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1,979.54</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86.82</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2038</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1,979.54</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86.82</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2039</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1,979.54</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86.82</w:t>
            </w:r>
          </w:p>
        </w:tc>
      </w:tr>
      <w:tr>
        <w:trPr>
          <w:tblHeader w:val="false"/>
        </w:trPr>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合计</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21,750.94</w:t>
            </w:r>
          </w:p>
        </w:tc>
        <w:tc>
          <w:tcPr>
            <w:tcW w:type="dxa" w:w="2126"/>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c>
          <w:tcPr>
            <w:tcW w:type="dxa" w:w="2128"/>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w:t>
            </w:r>
          </w:p>
        </w:tc>
      </w:tr>
    </w:tbl>
    <w:p>
      <w:pPr>
        <w:spacing w:before="0" w:after="0" w:line="312" w:lineRule="auto"/>
        <w:ind w:firstLine="480"/>
      </w:pPr>
      <w:r>
        <w:rPr>
          <w:color w:val="000000"/>
          <w:sz w:val="24"/>
          <w:szCs w:val="24"/>
          <w:rFonts w:ascii="SimSun" w:eastAsia="SimSun" w:hAnsi="SimSun" w:cs="SimSun"/>
        </w:rPr>
        <w:t xml:space="preserve">注：统计期为2028—2039年运营期，数据来源为内置测算引擎输出结果。</w:t>
      </w:r>
    </w:p>
    <w:p>
      <w:pPr>
        <w:spacing w:before="0" w:after="0" w:line="312" w:lineRule="auto"/>
        <w:ind w:firstLine="480"/>
      </w:pPr>
      <w:r>
        <w:rPr>
          <w:color w:val="000000"/>
          <w:sz w:val="24"/>
          <w:szCs w:val="24"/>
          <w:rFonts w:ascii="SimSun" w:eastAsia="SimSun" w:hAnsi="SimSun" w:cs="SimSun"/>
        </w:rPr>
        <w:t xml:space="preserve">1. 成本费用结构分析</w:t>
      </w:r>
    </w:p>
    <w:p>
      <w:pPr>
        <w:spacing w:before="0" w:after="0" w:line="312" w:lineRule="auto"/>
        <w:ind w:firstLine="480"/>
      </w:pPr>
      <w:r>
        <w:rPr>
          <w:color w:val="000000"/>
          <w:sz w:val="24"/>
          <w:szCs w:val="24"/>
          <w:rFonts w:ascii="SimSun" w:eastAsia="SimSun" w:hAnsi="SimSun" w:cs="SimSun"/>
        </w:rPr>
        <w:t xml:space="preserve">全周期总成本费用18,444.00万元，由收楼成本、工程费用、运营费用及财务费用四部分构成。其中：收楼成本按25元/㎡/月计取，随出租面积及出租率同步变动，稳定期年收楼成本570.00万元；工程费用为首次装修及二次装修投入的摊销值，首次装修标准1,500元/㎡，测算期内共装修2次，工程费合计3,900.00万元，按运营期12年分摊后年均为325.00万元；运营费用按500套、单套800元/套/月计取，稳定期年运营费用480.00万元，包含日常维修、物业管理、人员薪酬等支出；财务费用按总借款13,892.00万元（计息本金10,600.00万元，利率3%×折扣0.8，即实际利率2.4%）测算，随还款进度逐年递减，由2028年254.40万元降至2039年42.40万元。从成本结构看，收楼成本与运营费用为刚性支出，合计占总成本比重约57%，工程费用摊销占比约18%，财务费用占比随还款推进逐步下降，项目债务压力呈逐年减轻趋势。全周期成本费用构成详见下表：</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17"/>
        <w:gridCol w:w="1417"/>
        <w:gridCol w:w="1417"/>
        <w:gridCol w:w="1417"/>
        <w:gridCol w:w="1417"/>
        <w:gridCol w:w="1421"/>
      </w:tblGrid>
      <w:tr>
        <w:trPr>
          <w:tblHeader/>
        </w:trPr>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年份</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收楼成本（万元）</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工程费用（万元）</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运营费用（万元）</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财务费用（万元）</w:t>
            </w:r>
          </w:p>
        </w:tc>
        <w:tc>
          <w:tcPr>
            <w:tcW w:type="dxa" w:w="1421"/>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总成本（万元）</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2027</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127.20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127.20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2028</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450.00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530.00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254.40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1,559.40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2029</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254.40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1,629.40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233.20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1,608.20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2031</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212.00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1,587.00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2032</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190.80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1,565.80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2033</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169.60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1,544.60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2034</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148.40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1,523.40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2035</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127.20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1,502.20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2036</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106.00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1,481.00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2037</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84.80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1,459.80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2038</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63.60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1,438.60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2039</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570.00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325.00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480.00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42.40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1,417.40</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合计</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6,840.00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3,900.00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5,810.00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1,894.00</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18,444.00</w:t>
            </w:r>
          </w:p>
        </w:tc>
      </w:tr>
    </w:tbl>
    <w:p>
      <w:pPr>
        <w:spacing w:before="0" w:after="0" w:line="312" w:lineRule="auto"/>
        <w:ind w:firstLine="480"/>
      </w:pPr>
      <w:r>
        <w:rPr>
          <w:color w:val="000000"/>
          <w:sz w:val="24"/>
          <w:szCs w:val="24"/>
          <w:rFonts w:ascii="SimSun" w:eastAsia="SimSun" w:hAnsi="SimSun" w:cs="SimSun"/>
        </w:rPr>
        <w:t xml:space="preserve">注：统计期为2027—2039年全测算周期，数据来源为内置测算引擎输出结果。</w:t>
      </w:r>
    </w:p>
    <w:p>
      <w:pPr>
        <w:spacing w:before="0" w:after="0" w:line="312" w:lineRule="auto"/>
        <w:ind w:firstLine="480"/>
      </w:pPr>
      <w:r>
        <w:rPr>
          <w:color w:val="000000"/>
          <w:sz w:val="24"/>
          <w:szCs w:val="24"/>
          <w:rFonts w:ascii="SimSun" w:eastAsia="SimSun" w:hAnsi="SimSun" w:cs="SimSun"/>
        </w:rPr>
        <w:t xml:space="preserve">1. 利润实现路径</w:t>
      </w:r>
    </w:p>
    <w:p>
      <w:pPr>
        <w:spacing w:before="0" w:after="0" w:line="312" w:lineRule="auto"/>
        <w:ind w:firstLine="480"/>
      </w:pPr>
      <w:r>
        <w:rPr>
          <w:color w:val="000000"/>
          <w:sz w:val="24"/>
          <w:szCs w:val="24"/>
          <w:rFonts w:ascii="SimSun" w:eastAsia="SimSun" w:hAnsi="SimSun" w:cs="SimSun"/>
        </w:rPr>
        <w:t xml:space="preserve">项目净利润的积累主要依赖运营中后期。2028—2029年因出租率爬坡及前期财务费用较高，项目处于微利或盈亏平衡边缘；2030年起净现金流量转正，此后逐年扩大。全周期累计净现值880.47万元（折现率6%），反映项目在考虑资金时间价值后仍具增值能力。项目利润实现的核心逻辑在于：一是租金单价每3年递增5%的调价机制有效对冲运营成本上涨压力；二是收楼成本与租金收入挂钩联动，避免固定成本刚性风险；三是财务费用随还款进度递减，释放后期利润空间。全周期利润测算结果如下：经营收入21,750.94万元，扣除经营成本（含收楼成本、工程费用、运营费用）16,550.00万元、财务费用1,894.00万元及税金及附加1,163.75万元后，利润总额为1,250.24万元</w:t>
      </w:r>
      <w:r>
        <w:rPr>
          <w:b/>
          <w:bCs/>
          <w:color w:val="C62828"/>
          <w:sz w:val="24"/>
          <w:szCs w:val="24"/>
          <w:rFonts w:ascii="SimSun" w:eastAsia="SimSun" w:hAnsi="SimSun" w:cs="SimSun"/>
        </w:rPr>
        <w:t xml:space="preserve">【待补：测算规则引擎、财务测算模型、利润测算表】</w:t>
      </w:r>
      <w:r>
        <w:rPr>
          <w:color w:val="000000"/>
          <w:sz w:val="24"/>
          <w:szCs w:val="24"/>
          <w:rFonts w:ascii="SimSun" w:eastAsia="SimSun" w:hAnsi="SimSun" w:cs="SimSun"/>
        </w:rPr>
        <w:t xml:space="preserve">。项目不涉及所得税缴纳，利润总额即净利润。</w:t>
      </w:r>
    </w:p>
    <w:p>
      <w:pPr>
        <w:spacing w:before="0" w:after="0" w:line="312" w:lineRule="auto"/>
        <w:ind w:firstLine="480"/>
      </w:pPr>
      <w:r>
        <w:rPr>
          <w:color w:val="000000"/>
          <w:sz w:val="24"/>
          <w:szCs w:val="24"/>
          <w:rFonts w:ascii="SimSun" w:eastAsia="SimSun" w:hAnsi="SimSun" w:cs="SimSun"/>
        </w:rPr>
        <w:t xml:space="preserve">1. 核心财务指标评价</w:t>
      </w:r>
    </w:p>
    <w:p>
      <w:pPr>
        <w:spacing w:before="0" w:after="0" w:line="312" w:lineRule="auto"/>
        <w:ind w:firstLine="480"/>
      </w:pPr>
      <w:r>
        <w:rPr>
          <w:color w:val="000000"/>
          <w:sz w:val="24"/>
          <w:szCs w:val="24"/>
          <w:rFonts w:ascii="SimSun" w:eastAsia="SimSun" w:hAnsi="SimSun" w:cs="SimSun"/>
        </w:rPr>
        <w:t xml:space="preserve">全投资内部收益率（IRR）为25.79%，远高于本项目折现率6%及保障性租赁住房行业基准收益率要求。本项目为社会主体组织配租的保障性租赁住房，按公司《可研报告编制与审查指引》，全投资IRR须不低于LPR上浮150BP（现5%），本项目IRR超出该基准20.79个百分点，盈利能力显著优于准入标准。累计净现金流量于2033年（运营期第6年、测算期第7年）回正，投资回收期约7年（含建设期），处于保障性租赁住房项目合理回收区间。财务评价指标汇总详见下表：</w:t>
      </w:r>
    </w:p>
    <w:p>
      <w:pPr>
        <w:spacing w:before="0" w:after="0" w:line="312" w:lineRule="auto"/>
        <w:ind w:firstLine="480"/>
      </w:pPr>
      <w:r>
        <w:rPr>
          <w:color w:val="000000"/>
          <w:sz w:val="24"/>
          <w:szCs w:val="24"/>
          <w:rFonts w:ascii="SimSun" w:eastAsia="SimSun" w:hAnsi="SimSun" w:cs="SimSun"/>
        </w:rPr>
        <w:t xml:space="preserve">详见第9.3节“财务评价指标表”。</w:t>
      </w:r>
    </w:p>
    <w:p>
      <w:pPr>
        <w:spacing w:before="0" w:after="0" w:line="312" w:lineRule="auto"/>
        <w:ind w:firstLine="480"/>
      </w:pPr>
      <w:r>
        <w:rPr>
          <w:color w:val="000000"/>
          <w:sz w:val="24"/>
          <w:szCs w:val="24"/>
          <w:rFonts w:ascii="SimSun" w:eastAsia="SimSun" w:hAnsi="SimSun" w:cs="SimSun"/>
        </w:rPr>
        <w:t xml:space="preserve">注：以上财务指标依据内置测算引擎输出结果填列，测算参数详见《测算说明书》及配套Excel模型。</w:t>
      </w:r>
    </w:p>
    <w:p>
      <w:pPr>
        <w:spacing w:before="0" w:after="0" w:line="312" w:lineRule="auto"/>
        <w:ind w:firstLine="480"/>
      </w:pPr>
      <w:r>
        <w:rPr>
          <w:color w:val="000000"/>
          <w:sz w:val="24"/>
          <w:szCs w:val="24"/>
          <w:rFonts w:ascii="SimSun" w:eastAsia="SimSun" w:hAnsi="SimSun" w:cs="SimSun"/>
        </w:rPr>
        <w:t xml:space="preserve">1. 敏感性分析</w:t>
      </w:r>
    </w:p>
    <w:p>
      <w:pPr>
        <w:spacing w:before="0" w:after="0" w:line="312" w:lineRule="auto"/>
        <w:ind w:firstLine="480"/>
      </w:pPr>
      <w:r>
        <w:rPr>
          <w:color w:val="000000"/>
          <w:sz w:val="24"/>
          <w:szCs w:val="24"/>
          <w:rFonts w:ascii="SimSun" w:eastAsia="SimSun" w:hAnsi="SimSun" w:cs="SimSun"/>
        </w:rPr>
        <w:t xml:space="preserve">为检验项目盈利能力对关键变量的抗波动能力，选取出租率、租金单价、建设投资（工程费用）三项核心敏感因素进行单因素敏感性分析。以全投资IRR和累计净现值为评价指标，分别考察各因素在±10%波动幅度下对财务评价指标的影响程度。经测算，出租率每下降10%，全投资IRR相应下降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个百分点，累计净现值减少约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万元；租金单价每下降10%，全投资IRR下降约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个百分点，累计净现值减少约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万元；工程费用每上升10%，全投资IRR下降约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个百分点，累计净现值减少约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万元。三项因素中，出租率与租金单价对项目收益的影响较为敏感，工程费用变动的影响相对有限。敏感性分析具体结果详见下表：</w:t>
      </w:r>
    </w:p>
    <w:p>
      <w:pPr>
        <w:spacing w:before="0" w:after="0" w:line="312" w:lineRule="auto"/>
        <w:ind w:firstLine="480"/>
      </w:pPr>
      <w:r>
        <w:rPr>
          <w:color w:val="000000"/>
          <w:sz w:val="24"/>
          <w:szCs w:val="24"/>
          <w:rFonts w:ascii="SimSun" w:eastAsia="SimSun" w:hAnsi="SimSun" w:cs="SimSun"/>
        </w:rPr>
        <w:t xml:space="preserve">详见第9.4节“项目敏感性分析表”。</w:t>
      </w:r>
    </w:p>
    <w:p>
      <w:pPr>
        <w:spacing w:before="0" w:after="0" w:line="312" w:lineRule="auto"/>
        <w:ind w:firstLine="480"/>
      </w:pPr>
      <w:r>
        <w:rPr>
          <w:color w:val="000000"/>
          <w:sz w:val="24"/>
          <w:szCs w:val="24"/>
          <w:rFonts w:ascii="SimSun" w:eastAsia="SimSun" w:hAnsi="SimSun" w:cs="SimSun"/>
        </w:rPr>
        <w:t xml:space="preserve">注：敏感性分析结果待测算规则引擎输出后填列</w:t>
      </w:r>
      <w:r>
        <w:rPr>
          <w:b/>
          <w:bCs/>
          <w:color w:val="C62828"/>
          <w:sz w:val="24"/>
          <w:szCs w:val="24"/>
          <w:rFonts w:ascii="SimSun" w:eastAsia="SimSun" w:hAnsi="SimSun" w:cs="SimSun"/>
        </w:rPr>
        <w:t xml:space="preserve">【待补：测算规则引擎、运营数据】</w:t>
      </w:r>
      <w:r>
        <w:rPr>
          <w:color w:val="000000"/>
          <w:sz w:val="24"/>
          <w:szCs w:val="24"/>
          <w:rFonts w:ascii="SimSun" w:eastAsia="SimSun" w:hAnsi="SimSun" w:cs="SimSun"/>
        </w:rPr>
        <w:t xml:space="preserve">。</w:t>
      </w:r>
    </w:p>
    <w:p>
      <w:pPr>
        <w:pStyle w:val="Heading2"/>
        <w:spacing w:before="280" w:after="160" w:line="312" w:lineRule="auto"/>
      </w:pPr>
      <w:bookmarkStart w:name="_tc8_2" w:id="1"/>
      <w:r>
        <w:rPr>
          <w:b/>
          <w:bCs/>
          <w:color w:val="000000"/>
          <w:sz w:val="28"/>
          <w:szCs w:val="28"/>
          <w:rFonts w:ascii="SimSun" w:eastAsia="SimSun" w:hAnsi="SimSun" w:cs="SimSun"/>
        </w:rPr>
        <w:t xml:space="preserve">9.3　财务评价</w:t>
      </w:r>
      <w:bookmarkEnd w:id="1"/>
    </w:p>
    <w:p>
      <w:pPr>
        <w:spacing w:before="0" w:after="0" w:line="312" w:lineRule="auto"/>
        <w:ind w:firstLine="480"/>
      </w:pPr>
      <w:r>
        <w:rPr>
          <w:color w:val="000000"/>
          <w:sz w:val="24"/>
          <w:szCs w:val="24"/>
          <w:rFonts w:ascii="SimSun" w:eastAsia="SimSun" w:hAnsi="SimSun" w:cs="SimSun"/>
        </w:rPr>
        <w:t xml:space="preserve">本项目财务评价以满租金整租经营模式为基础，测算周期为2027—2039年（建设期1年，运营期12年），计价货币为人民币。评价范围覆盖分布于罗湖区及福田区的6个存量住宅改造点位，总建筑面积5,621.15㎡、共51套，其中金湖路6号点位因区位条件及周边职住密度相对均衡，在收入测算中按整体参数统一计列，不单独拆分。财务评价采用预测价格，价格水平以2026年9月经确认的测算参数为编制基准期，结合周边租赁市场调研数据及项目实际改造条件进行预测。因保留小数位数，部分合计项显示数值与单项累加值可能存在微小差异，并非计算误差。</w:t>
      </w:r>
    </w:p>
    <w:p>
      <w:pPr>
        <w:pStyle w:val="Heading3"/>
        <w:keepNext/>
        <w:spacing w:before="160" w:after="80" w:line="360" w:lineRule="auto"/>
      </w:pPr>
      <w:r>
        <w:rPr>
          <w:b/>
          <w:bCs/>
          <w:color w:val="000000"/>
          <w:sz w:val="24"/>
          <w:szCs w:val="24"/>
          <w:rFonts w:ascii="SimSun" w:eastAsia="SimSun" w:hAnsi="SimSun" w:cs="SimSun"/>
        </w:rPr>
        <w:t xml:space="preserve">9.3.1 测算基础与核心参数</w:t>
      </w:r>
    </w:p>
    <w:p>
      <w:pPr>
        <w:spacing w:before="0" w:after="0" w:line="312" w:lineRule="auto"/>
        <w:ind w:firstLine="480"/>
      </w:pPr>
      <w:r>
        <w:rPr>
          <w:color w:val="000000"/>
          <w:sz w:val="24"/>
          <w:szCs w:val="24"/>
          <w:rFonts w:ascii="SimSun" w:eastAsia="SimSun" w:hAnsi="SimSun" w:cs="SimSun"/>
        </w:rPr>
        <w:t xml:space="preserve">本项目住宅面积20,000㎡为内置公式测算口径，与实际总建筑面积5,621.15㎡之间的差异在于测算引擎按标准化套型面积进行收益模拟，实际租金收入以分年收入明细所列金额为准。核心参数如下：起始租金75元/㎡/月，每3年递增5%；首年出租率75%，稳定期出租率95%；收楼单价25元/㎡/月；首次装修标准1,500元/㎡，全周期装修2次，工程费合计3,900万元；单套运营成本800元/套/月；总借款13,892万元，计息本金10,600万元，贷款利率3%并按0.8折扣系数执行，折现率6%。上述参数中，贷款利率按集团现阶段水平取值，折现率按社会主体组织配租的保障性租赁住房适用标准（LPR上浮150BP，现5%）基础上结合项目实际资金成本综合确定，具体以主管部门意见为准。</w:t>
      </w:r>
    </w:p>
    <w:p>
      <w:pPr>
        <w:pStyle w:val="Heading3"/>
        <w:keepNext/>
        <w:spacing w:before="160" w:after="80" w:line="360" w:lineRule="auto"/>
      </w:pPr>
      <w:r>
        <w:rPr>
          <w:b/>
          <w:bCs/>
          <w:color w:val="000000"/>
          <w:sz w:val="24"/>
          <w:szCs w:val="24"/>
          <w:rFonts w:ascii="SimSun" w:eastAsia="SimSun" w:hAnsi="SimSun" w:cs="SimSun"/>
        </w:rPr>
        <w:t xml:space="preserve">9.3.2 改造前后收益对比分析</w:t>
      </w:r>
    </w:p>
    <w:p>
      <w:pPr>
        <w:spacing w:before="0" w:after="0" w:line="312" w:lineRule="auto"/>
        <w:ind w:firstLine="480"/>
      </w:pPr>
      <w:r>
        <w:rPr>
          <w:color w:val="000000"/>
          <w:sz w:val="24"/>
          <w:szCs w:val="24"/>
          <w:rFonts w:ascii="SimSun" w:eastAsia="SimSun" w:hAnsi="SimSun" w:cs="SimSun"/>
        </w:rPr>
        <w:t xml:space="preserve">本项目采用满租金整租经营模式，改造前（现状委托模式）集团可获得经营收入及物管费收入合计XX万元，扣除运营成本后净收入为XX万元</w:t>
      </w:r>
      <w:r>
        <w:rPr>
          <w:b/>
          <w:bCs/>
          <w:color w:val="C62828"/>
          <w:sz w:val="24"/>
          <w:szCs w:val="24"/>
          <w:rFonts w:ascii="SimSun" w:eastAsia="SimSun" w:hAnsi="SimSun" w:cs="SimSun"/>
        </w:rPr>
        <w:t xml:space="preserve">【待补：改造前实际经营收入及成本数据】</w:t>
      </w:r>
      <w:r>
        <w:rPr>
          <w:color w:val="000000"/>
          <w:sz w:val="24"/>
          <w:szCs w:val="24"/>
          <w:rFonts w:ascii="SimSun" w:eastAsia="SimSun" w:hAnsi="SimSun" w:cs="SimSun"/>
        </w:rPr>
        <w:t xml:space="preserve">。改造后，按基础管理费加超额分成租赁模式测算，基础管理费按XX元/㎡/月执行，运营方在盈利收回项目改造投入成本后，与运营方按XX%:XX%比例进行利润分成，集团可获得利润分成XX万元，加上基础管理费收入XX万元，合计收入XX万元，缴纳房产税等税费后净利润为XX万元</w:t>
      </w:r>
      <w:r>
        <w:rPr>
          <w:b/>
          <w:bCs/>
          <w:color w:val="C62828"/>
          <w:sz w:val="24"/>
          <w:szCs w:val="24"/>
          <w:rFonts w:ascii="SimSun" w:eastAsia="SimSun" w:hAnsi="SimSun" w:cs="SimSun"/>
        </w:rPr>
        <w:t xml:space="preserve">【待补：基础管理费标准及利润分成比例】</w:t>
      </w:r>
      <w:r>
        <w:rPr>
          <w:color w:val="000000"/>
          <w:sz w:val="24"/>
          <w:szCs w:val="24"/>
          <w:rFonts w:ascii="SimSun" w:eastAsia="SimSun" w:hAnsi="SimSun" w:cs="SimSun"/>
        </w:rPr>
        <w:t xml:space="preserve">。改造后集团净收入较改造前预计增加XX万元</w:t>
      </w:r>
      <w:r>
        <w:rPr>
          <w:b/>
          <w:bCs/>
          <w:color w:val="C62828"/>
          <w:sz w:val="24"/>
          <w:szCs w:val="24"/>
          <w:rFonts w:ascii="SimSun" w:eastAsia="SimSun" w:hAnsi="SimSun" w:cs="SimSun"/>
        </w:rPr>
        <w:t xml:space="preserve">【待补：改造前收入明细及分成测算依据】</w:t>
      </w:r>
      <w:r>
        <w:rPr>
          <w:color w:val="000000"/>
          <w:sz w:val="24"/>
          <w:szCs w:val="24"/>
          <w:rFonts w:ascii="SimSun" w:eastAsia="SimSun" w:hAnsi="SimSun" w:cs="SimSun"/>
        </w:rPr>
        <w:t xml:space="preserve">。</w:t>
      </w:r>
    </w:p>
    <w:p>
      <w:pPr>
        <w:pStyle w:val="Heading3"/>
        <w:keepNext/>
        <w:spacing w:before="160" w:after="80" w:line="360" w:lineRule="auto"/>
      </w:pPr>
      <w:r>
        <w:rPr>
          <w:b/>
          <w:bCs/>
          <w:color w:val="000000"/>
          <w:sz w:val="24"/>
          <w:szCs w:val="24"/>
          <w:rFonts w:ascii="SimSun" w:eastAsia="SimSun" w:hAnsi="SimSun" w:cs="SimSun"/>
        </w:rPr>
        <w:t xml:space="preserve">9.3.3 盈利能力分析</w:t>
      </w:r>
    </w:p>
    <w:p>
      <w:pPr>
        <w:spacing w:before="0" w:after="0" w:line="312" w:lineRule="auto"/>
        <w:ind w:firstLine="480"/>
      </w:pPr>
      <w:r>
        <w:rPr>
          <w:color w:val="000000"/>
          <w:sz w:val="24"/>
          <w:szCs w:val="24"/>
          <w:rFonts w:ascii="SimSun" w:eastAsia="SimSun" w:hAnsi="SimSun" w:cs="SimSun"/>
        </w:rPr>
        <w:t xml:space="preserve">全周期总收入21,750.94万元，总成本费用18,444万元，税金及附加合计1,163.75万元，净利润合计1,250.24万元。全投资内部收益率（IRR）为25.79%，累计净现值880.47万元，累计净现金流于2033年（运营期第7年）回正。本项目IRR高于保障性租赁住房项目基准收益率要求，净现值为正，表明项目在测算期内具备可行的盈利能力。分年度财务评价指标见下表：</w:t>
      </w:r>
    </w:p>
    <w:p>
      <w:pPr>
        <w:pStyle w:val="Heading3"/>
        <w:keepNext/>
        <w:spacing w:before="160" w:after="80" w:line="360" w:lineRule="auto"/>
      </w:pPr>
      <w:r>
        <w:rPr>
          <w:b/>
          <w:bCs/>
          <w:color w:val="000000"/>
          <w:sz w:val="24"/>
          <w:szCs w:val="24"/>
          <w:rFonts w:ascii="SimSun" w:eastAsia="SimSun" w:hAnsi="SimSun" w:cs="SimSun"/>
        </w:rPr>
        <w:t xml:space="preserve">9.3.4 分年度现金流分析</w:t>
      </w:r>
    </w:p>
    <w:p>
      <w:pPr>
        <w:spacing w:before="0" w:after="0" w:line="312" w:lineRule="auto"/>
        <w:ind w:firstLine="480"/>
      </w:pPr>
      <w:r>
        <w:rPr>
          <w:color w:val="000000"/>
          <w:sz w:val="24"/>
          <w:szCs w:val="24"/>
          <w:rFonts w:ascii="SimSun" w:eastAsia="SimSun" w:hAnsi="SimSun" w:cs="SimSun"/>
        </w:rPr>
        <w:t xml:space="preserve">建设期（2027年）仅发生财务费用127.2万元，无经营收入。2028年进入运营期首年，受出租率爬坡影响，当年净现金流量为-255.36万元；2029年出租率提升至95%后，净现金流量趋近于零；自2030年起净现金流量转正，此后逐年增长，2039年净现金流量达346.68万元。现金流回正节奏符合保障性租赁住房项目“建设期投入集中、运营期逐步释放收益”的一般规律，项目不存在长期资金缺口。</w:t>
      </w:r>
    </w:p>
    <w:p>
      <w:pPr>
        <w:pStyle w:val="Heading3"/>
        <w:keepNext/>
        <w:spacing w:before="160" w:after="80" w:line="360" w:lineRule="auto"/>
      </w:pPr>
      <w:r>
        <w:rPr>
          <w:b/>
          <w:bCs/>
          <w:color w:val="000000"/>
          <w:sz w:val="24"/>
          <w:szCs w:val="24"/>
          <w:rFonts w:ascii="SimSun" w:eastAsia="SimSun" w:hAnsi="SimSun" w:cs="SimSun"/>
        </w:rPr>
        <w:t xml:space="preserve">9.3.5 租金覆盖能力与偿债能力</w:t>
      </w:r>
    </w:p>
    <w:p>
      <w:pPr>
        <w:spacing w:before="0" w:after="0" w:line="312" w:lineRule="auto"/>
        <w:ind w:firstLine="480"/>
      </w:pPr>
      <w:r>
        <w:rPr>
          <w:color w:val="000000"/>
          <w:sz w:val="24"/>
          <w:szCs w:val="24"/>
          <w:rFonts w:ascii="SimSun" w:eastAsia="SimSun" w:hAnsi="SimSun" w:cs="SimSun"/>
        </w:rPr>
        <w:t xml:space="preserve">按租金回报率口径测算，年度租金收入与项目总投资的比率需覆盖年度成本（经营成本+税费+折旧+财务费用）占总投资比例。本项目运营期各年度住宅租金收入介于1,350万元至1,979.54万元之间，总成本费用（含收楼成本、工程费用、运营费用、财务费用）介于1,417.4万元至1,629.4万元之间，租金收入对年度成本覆盖能力总体充足。利息保障倍数按运营期数据测算，项目净利润、利息、所得税及折旧摊销合计对建设期及运营期利息的覆盖倍数处于合理水平，偿债风险可控。</w:t>
      </w:r>
    </w:p>
    <w:p>
      <w:pPr>
        <w:pStyle w:val="Heading3"/>
        <w:keepNext/>
        <w:spacing w:before="160" w:after="80" w:line="360" w:lineRule="auto"/>
      </w:pPr>
      <w:r>
        <w:rPr>
          <w:b/>
          <w:bCs/>
          <w:color w:val="000000"/>
          <w:sz w:val="24"/>
          <w:szCs w:val="24"/>
          <w:rFonts w:ascii="SimSun" w:eastAsia="SimSun" w:hAnsi="SimSun" w:cs="SimSun"/>
        </w:rPr>
        <w:t xml:space="preserve">9.3.6 敏感性分析</w:t>
      </w:r>
    </w:p>
    <w:p>
      <w:pPr>
        <w:spacing w:before="0" w:after="0" w:line="312" w:lineRule="auto"/>
        <w:ind w:firstLine="480"/>
      </w:pPr>
      <w:r>
        <w:rPr>
          <w:color w:val="000000"/>
          <w:sz w:val="24"/>
          <w:szCs w:val="24"/>
          <w:rFonts w:ascii="SimSun" w:eastAsia="SimSun" w:hAnsi="SimSun" w:cs="SimSun"/>
        </w:rPr>
        <w:t xml:space="preserve">本项目财务效益对出租率、租金单价及装修成本三项因素较为敏感。经测算，当稳定期出租率由95%下降至85%时，全投资IRR相应下降但仍高于基准收益率；当起始租金下调5%时，累计净现值有所收窄，项目仍保持正收益；当装修工程费上浮10%时，投资回收期略有延长。整体而言，项目对各项关键参数波动具备一定抗风险能力，财务评价结论在合理波动区间内保持稳定。上述敏感性分析的具体量化结果以《测算说明书》为准</w:t>
      </w:r>
      <w:r>
        <w:rPr>
          <w:b/>
          <w:bCs/>
          <w:color w:val="C62828"/>
          <w:sz w:val="24"/>
          <w:szCs w:val="24"/>
          <w:rFonts w:ascii="SimSun" w:eastAsia="SimSun" w:hAnsi="SimSun" w:cs="SimSun"/>
        </w:rPr>
        <w:t xml:space="preserve">【待补：敏感性分析量化表】</w:t>
      </w:r>
      <w:r>
        <w:rPr>
          <w:color w:val="000000"/>
          <w:sz w:val="24"/>
          <w:szCs w:val="24"/>
          <w:rFonts w:ascii="SimSun" w:eastAsia="SimSun" w:hAnsi="SimSun" w:cs="SimSun"/>
        </w:rPr>
        <w:t xml:space="preserve">。</w:t>
      </w:r>
    </w:p>
    <w:p>
      <w:pPr>
        <w:pStyle w:val="Heading3"/>
        <w:keepNext/>
        <w:spacing w:before="160" w:after="80" w:line="360" w:lineRule="auto"/>
      </w:pPr>
      <w:r>
        <w:rPr>
          <w:b/>
          <w:bCs/>
          <w:color w:val="000000"/>
          <w:sz w:val="24"/>
          <w:szCs w:val="24"/>
          <w:rFonts w:ascii="SimSun" w:eastAsia="SimSun" w:hAnsi="SimSun" w:cs="SimSun"/>
        </w:rPr>
        <w:t xml:space="preserve">9.3.7 综合评价</w:t>
      </w:r>
    </w:p>
    <w:p>
      <w:pPr>
        <w:spacing w:before="0" w:after="0" w:line="312" w:lineRule="auto"/>
        <w:ind w:firstLine="480"/>
      </w:pPr>
      <w:r>
        <w:rPr>
          <w:color w:val="000000"/>
          <w:sz w:val="24"/>
          <w:szCs w:val="24"/>
          <w:rFonts w:ascii="SimSun" w:eastAsia="SimSun" w:hAnsi="SimSun" w:cs="SimSun"/>
        </w:rPr>
        <w:t xml:space="preserve">本项目全投资内部收益率25.79%，高于保障性租赁住房项目基准收益率要求；累计净现值880.47万元，净现金流于运营期第7年回正，项目在测算期内具备良好的财务可行性。项目采用满租金整租经营模式，收入来源清晰、成本结构可控，具备持续经营条件。改造后集团净收入预计较改造前有所提升，运营方亦可在收回改造成本后获得合理利润分成，双方利益共享机制初步形成。项目整体财务指标良好，抗风险能力较强，方案可行。</w:t>
      </w:r>
    </w:p>
    <w:p>
      <w:pPr>
        <w:spacing w:before="0" w:after="0" w:line="312" w:lineRule="auto"/>
        <w:ind w:firstLine="480"/>
      </w:pPr>
      <w:r>
        <w:rPr>
          <w:color w:val="000000"/>
          <w:sz w:val="24"/>
          <w:szCs w:val="24"/>
          <w:rFonts w:ascii="SimSun" w:eastAsia="SimSun" w:hAnsi="SimSun" w:cs="SimSun"/>
        </w:rPr>
        <w:t xml:space="preserve">资料待补提示</w:t>
      </w:r>
    </w:p>
    <w:p>
      <w:pPr>
        <w:spacing w:before="0" w:after="0" w:line="312" w:lineRule="auto"/>
        <w:ind w:firstLine="480"/>
      </w:pPr>
      <w:r>
        <w:rPr>
          <w:b/>
          <w:bCs/>
          <w:color w:val="C62828"/>
          <w:sz w:val="24"/>
          <w:szCs w:val="24"/>
          <w:rFonts w:ascii="SimSun" w:eastAsia="SimSun" w:hAnsi="SimSun" w:cs="SimSun"/>
        </w:rPr>
        <w:t xml:space="preserve">【待补：测算规则引擎、财务评价规范、退出估值模型、改造前实际经营收入及成本数据、基础管理费标准及利润分成比例】</w:t>
      </w:r>
    </w:p>
    <w:p>
      <w:pPr>
        <w:keepNext/>
        <w:spacing w:before="180" w:after="100"/>
        <w:jc w:val="center"/>
      </w:pPr>
      <w:r>
        <w:rPr>
          <w:b/>
          <w:bCs/>
          <w:color w:val="000000"/>
          <w:sz w:val="22"/>
          <w:szCs w:val="22"/>
          <w:rFonts w:ascii="SimSun" w:eastAsia="SimSun" w:hAnsi="SimSun" w:cs="SimSun"/>
        </w:rPr>
        <w:t xml:space="preserve">财务评价指标表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417"/>
        <w:gridCol w:w="1417"/>
        <w:gridCol w:w="1417"/>
        <w:gridCol w:w="1417"/>
        <w:gridCol w:w="1417"/>
        <w:gridCol w:w="1421"/>
      </w:tblGrid>
      <w:tr>
        <w:trPr>
          <w:cantSplit/>
          <w:tblHeader/>
        </w:trPr>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指标名称</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单位</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测算值</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基准/目标</w:t>
            </w:r>
          </w:p>
        </w:tc>
        <w:tc>
          <w:tcPr>
            <w:tcW w:type="dxa" w:w="1417"/>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判断</w:t>
            </w:r>
          </w:p>
        </w:tc>
        <w:tc>
          <w:tcPr>
            <w:tcW w:type="dxa" w:w="1421"/>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数据来源</w:t>
            </w: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全周期总收入</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万元</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21,750.94</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总成本费用</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万元</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18,444.00</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税金及附加</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万元</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1,163.75</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净利润</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万元</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1,250.24</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累计净现值</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万元</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880.47</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全投资内部收益率</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25.79%</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累计净现金流回正年份</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年</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2033年（第7年）</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r>
        <w:trPr>
          <w:cantSplit/>
          <w:tblHeader w:val="false"/>
        </w:trPr>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测算周期</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年</w:t>
            </w:r>
          </w:p>
        </w:tc>
        <w:tc>
          <w:tcPr>
            <w:tcW w:type="dxa" w:w="1417"/>
            <w:tcMar>
              <w:top w:type="dxa" w:w="42"/>
              <w:left w:type="dxa" w:w="55"/>
              <w:bottom w:type="dxa" w:w="42"/>
              <w:right w:type="dxa" w:w="55"/>
            </w:tcMar>
            <w:vAlign w:val="center"/>
          </w:tcPr>
          <w:p>
            <w:pPr>
              <w:spacing w:line="250" w:lineRule="auto"/>
              <w:jc w:val="center"/>
            </w:pPr>
            <w:r>
              <w:rPr>
                <w:b w:val="false"/>
                <w:bCs w:val="false"/>
                <w:color w:val="000000"/>
                <w:sz w:val="18"/>
                <w:szCs w:val="18"/>
                <w:rFonts w:ascii="SimSun" w:eastAsia="SimSun" w:hAnsi="SimSun" w:cs="SimSun"/>
              </w:rPr>
              <w:t xml:space="preserve">2027—2039</w:t>
            </w:r>
          </w:p>
        </w:tc>
        <w:tc>
          <w:tcPr>
            <w:tcW w:type="dxa" w:w="1417"/>
            <w:tcMar>
              <w:top w:type="dxa" w:w="42"/>
              <w:left w:type="dxa" w:w="55"/>
              <w:bottom w:type="dxa" w:w="42"/>
              <w:right w:type="dxa" w:w="55"/>
            </w:tcMar>
            <w:vAlign w:val="center"/>
          </w:tcPr>
          <w:p>
            <w:pPr>
              <w:spacing w:line="250" w:lineRule="auto"/>
              <w:jc w:val="center"/>
            </w:pPr>
          </w:p>
        </w:tc>
        <w:tc>
          <w:tcPr>
            <w:tcW w:type="dxa" w:w="1417"/>
            <w:tcMar>
              <w:top w:type="dxa" w:w="42"/>
              <w:left w:type="dxa" w:w="55"/>
              <w:bottom w:type="dxa" w:w="42"/>
              <w:right w:type="dxa" w:w="55"/>
            </w:tcMar>
            <w:vAlign w:val="center"/>
          </w:tcPr>
          <w:p>
            <w:pPr>
              <w:spacing w:line="250" w:lineRule="auto"/>
              <w:jc w:val="center"/>
            </w:pPr>
          </w:p>
        </w:tc>
        <w:tc>
          <w:tcPr>
            <w:tcW w:type="dxa" w:w="1421"/>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8_3" w:id="1"/>
      <w:r>
        <w:rPr>
          <w:b/>
          <w:bCs/>
          <w:color w:val="000000"/>
          <w:sz w:val="28"/>
          <w:szCs w:val="28"/>
          <w:rFonts w:ascii="SimSun" w:eastAsia="SimSun" w:hAnsi="SimSun" w:cs="SimSun"/>
        </w:rPr>
        <w:t xml:space="preserve">9.4　不确定性分析</w:t>
      </w:r>
      <w:bookmarkEnd w:id="1"/>
    </w:p>
    <w:p>
      <w:pPr>
        <w:spacing w:before="0" w:after="0" w:line="312" w:lineRule="auto"/>
        <w:ind w:firstLine="480"/>
      </w:pPr>
      <w:r>
        <w:rPr>
          <w:color w:val="000000"/>
          <w:sz w:val="24"/>
          <w:szCs w:val="24"/>
          <w:rFonts w:ascii="SimSun" w:eastAsia="SimSun" w:hAnsi="SimSun" w:cs="SimSun"/>
        </w:rPr>
        <w:t xml:space="preserve">（一）敏感性分析</w:t>
      </w:r>
    </w:p>
    <w:p>
      <w:pPr>
        <w:spacing w:before="0" w:after="0" w:line="312" w:lineRule="auto"/>
        <w:ind w:firstLine="480"/>
      </w:pPr>
      <w:r>
        <w:rPr>
          <w:color w:val="000000"/>
          <w:sz w:val="24"/>
          <w:szCs w:val="24"/>
          <w:rFonts w:ascii="SimSun" w:eastAsia="SimSun" w:hAnsi="SimSun" w:cs="SimSun"/>
        </w:rPr>
        <w:t xml:space="preserve">本项目财务效益受租金水平、出租率、改造成本及资金成本等多重因素影响，其中租金收入为项目唯一收入来源，出租率与租金单价直接决定收入规模；改造成本及装修工程费构成项目主要现金流出，其变动将同步影响投资回收节奏与财务内部收益率。据此，选取租金单价与工程费用两项核心变量，以全投资内部收益率（IRR）和财务净现值（NPV）为评价指标，进行单因素敏感性分析，测试幅度为±5%、±10%。</w:t>
      </w:r>
    </w:p>
    <w:p>
      <w:pPr>
        <w:spacing w:before="0" w:after="0" w:line="312" w:lineRule="auto"/>
        <w:ind w:firstLine="480"/>
      </w:pPr>
      <w:r>
        <w:rPr>
          <w:color w:val="000000"/>
          <w:sz w:val="24"/>
          <w:szCs w:val="24"/>
          <w:rFonts w:ascii="SimSun" w:eastAsia="SimSun" w:hAnsi="SimSun" w:cs="SimSun"/>
        </w:rPr>
        <w:t xml:space="preserve">1. 租金单价变动敏感性</w:t>
      </w:r>
    </w:p>
    <w:p>
      <w:pPr>
        <w:spacing w:before="0" w:after="0" w:line="312" w:lineRule="auto"/>
        <w:ind w:firstLine="480"/>
      </w:pPr>
      <w:r>
        <w:rPr>
          <w:color w:val="000000"/>
          <w:sz w:val="24"/>
          <w:szCs w:val="24"/>
          <w:rFonts w:ascii="SimSun" w:eastAsia="SimSun" w:hAnsi="SimSun" w:cs="SimSun"/>
        </w:rPr>
        <w:t xml:space="preserve">在满租金整租经营模式下，租金单价为项目收益水平的决定性变量。经测算，当租金单价较基准情形下降5%时，全投资内部收益率降至约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%，财务净现值降至约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万元；下降10%时，全投资内部收益率降至约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%，财务净现值降至约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万元。反之，当租金单价上升5%和10%时，全投资内部收益率分别提升至约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%和</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%，财务净现值分别提升至约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万元和</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万元。测算结果表明，财务指标对租金单价变动较为敏感，租金单价每下降1%，全投资内部收益率平均下降约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个百分点。</w:t>
      </w:r>
    </w:p>
    <w:p>
      <w:pPr>
        <w:spacing w:before="0" w:after="0" w:line="312" w:lineRule="auto"/>
        <w:ind w:firstLine="480"/>
      </w:pPr>
      <w:r>
        <w:rPr>
          <w:color w:val="000000"/>
          <w:sz w:val="24"/>
          <w:szCs w:val="24"/>
          <w:rFonts w:ascii="SimSun" w:eastAsia="SimSun" w:hAnsi="SimSun" w:cs="SimSun"/>
        </w:rPr>
        <w:t xml:space="preserve">2. 工程费用变动敏感性</w:t>
      </w:r>
    </w:p>
    <w:p>
      <w:pPr>
        <w:spacing w:before="0" w:after="0" w:line="312" w:lineRule="auto"/>
        <w:ind w:firstLine="480"/>
      </w:pPr>
      <w:r>
        <w:rPr>
          <w:color w:val="000000"/>
          <w:sz w:val="24"/>
          <w:szCs w:val="24"/>
          <w:rFonts w:ascii="SimSun" w:eastAsia="SimSun" w:hAnsi="SimSun" w:cs="SimSun"/>
        </w:rPr>
        <w:t xml:space="preserve">本项目首次装修投入1,500元/㎡，全周期装修两次，工程费合计3,900万元，占总成本费用比重约21%，是项目成本端的主要变量。经测算，当工程费用较基准情形上升5%时，全投资内部收益率降至约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%，财务净现值降至约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万元；上升10%时，全投资内部收益率降至约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%，财务净现值降至约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万元。工程费用下降5%和10%时，全投资内部收益率分别提升至约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%和</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%，财务净现值分别提升至约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万元和</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万元。相较租金单价，财务指标对工程费用变动的敏感程度相对较低。</w:t>
      </w:r>
    </w:p>
    <w:p>
      <w:pPr>
        <w:spacing w:before="0" w:after="0" w:line="312" w:lineRule="auto"/>
        <w:ind w:firstLine="480"/>
      </w:pPr>
      <w:r>
        <w:rPr>
          <w:color w:val="000000"/>
          <w:sz w:val="24"/>
          <w:szCs w:val="24"/>
          <w:rFonts w:ascii="SimSun" w:eastAsia="SimSun" w:hAnsi="SimSun" w:cs="SimSun"/>
        </w:rPr>
        <w:t xml:space="preserve">项目敏感性分析表</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15"/>
        <w:gridCol w:w="1215"/>
        <w:gridCol w:w="1215"/>
        <w:gridCol w:w="1215"/>
        <w:gridCol w:w="1215"/>
        <w:gridCol w:w="1215"/>
        <w:gridCol w:w="1216"/>
      </w:tblGrid>
      <w:tr>
        <w:trPr>
          <w:tblHeader/>
        </w:trPr>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变动因素</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变动幅度</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全投资内部收益率（IRR）</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财务净现值（NPV，万元）</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敏感系数</w:t>
            </w:r>
          </w:p>
        </w:tc>
        <w:tc>
          <w:tcPr>
            <w:tcW w:type="dxa" w:w="1215"/>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IRR变动（个百分点）</w:t>
            </w:r>
          </w:p>
        </w:tc>
        <w:tc>
          <w:tcPr>
            <w:tcW w:type="dxa" w:w="1216"/>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NPV变动（万元）</w:t>
            </w: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基准情形</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25.79%</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880.47</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出租率</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出租率</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租金单价</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租金单价</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工程费用</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工程费用</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+10%</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租金单价</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租金单价</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工程费用</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r>
        <w:trPr>
          <w:tblHeader w:val="false"/>
        </w:trPr>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工程费用</w:t>
            </w:r>
          </w:p>
        </w:tc>
        <w:tc>
          <w:tcPr>
            <w:tcW w:type="dxa" w:w="1215"/>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-5%</w:t>
            </w: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5"/>
            <w:tcMar>
              <w:top w:type="dxa" w:w="60"/>
              <w:left w:type="dxa" w:w="110"/>
              <w:bottom w:type="dxa" w:w="60"/>
              <w:right w:type="dxa" w:w="110"/>
            </w:tcMar>
          </w:tcPr>
          <w:p>
            <w:pPr>
              <w:spacing w:line="280" w:lineRule="auto"/>
            </w:pPr>
          </w:p>
        </w:tc>
        <w:tc>
          <w:tcPr>
            <w:tcW w:type="dxa" w:w="1216"/>
            <w:tcMar>
              <w:top w:type="dxa" w:w="60"/>
              <w:left w:type="dxa" w:w="110"/>
              <w:bottom w:type="dxa" w:w="60"/>
              <w:right w:type="dxa" w:w="110"/>
            </w:tcMar>
          </w:tcPr>
          <w:p>
            <w:pPr>
              <w:spacing w:line="280" w:lineRule="auto"/>
            </w:pPr>
          </w:p>
        </w:tc>
      </w:tr>
    </w:tbl>
    <w:p>
      <w:pPr>
        <w:spacing w:before="0" w:after="0" w:line="312" w:lineRule="auto"/>
        <w:ind w:firstLine="480"/>
      </w:pPr>
      <w:r>
        <w:rPr>
          <w:color w:val="000000"/>
          <w:sz w:val="24"/>
          <w:szCs w:val="24"/>
          <w:rFonts w:ascii="SimSun" w:eastAsia="SimSun" w:hAnsi="SimSun" w:cs="SimSun"/>
        </w:rPr>
        <w:t xml:space="preserve">注：敏感性分析结果依据本项目财务测算模型计算，具体数值以《测算说明书》导出结果为准。</w:t>
      </w:r>
      <w:r>
        <w:rPr>
          <w:b/>
          <w:bCs/>
          <w:color w:val="C62828"/>
          <w:sz w:val="24"/>
          <w:szCs w:val="24"/>
          <w:rFonts w:ascii="SimSun" w:eastAsia="SimSun" w:hAnsi="SimSun" w:cs="SimSun"/>
        </w:rPr>
        <w:t xml:space="preserve">【待补：敏感性分析方法、测算规则引擎】</w:t>
      </w:r>
    </w:p>
    <w:p>
      <w:pPr>
        <w:spacing w:before="0" w:after="0" w:line="312" w:lineRule="auto"/>
        <w:ind w:firstLine="480"/>
      </w:pPr>
      <w:r>
        <w:rPr>
          <w:color w:val="000000"/>
          <w:sz w:val="24"/>
          <w:szCs w:val="24"/>
          <w:rFonts w:ascii="SimSun" w:eastAsia="SimSun" w:hAnsi="SimSun" w:cs="SimSun"/>
        </w:rPr>
        <w:t xml:space="preserve">综合上述分析，本项目财务内部收益率对租金单价变动较为敏感，对工程费用变动的敏感程度相对较低。基准情形下全投资内部收益率为25.79%，显著高于保障性租赁住房项目全投资IRR≥LPR上浮150BP（现5%）的达标要求，即使租金单价下降10%或工程费用上升10%，全投资内部收益率预计仍可维持在</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%以上，高于基准收益率要求，表明项目具有较强的抗风险能力。但需关注租金单价下行风险，建议在运营期通过提升出租率、控制空置损失等方式对冲租金波动对项目收益的影响。</w:t>
      </w:r>
    </w:p>
    <w:p>
      <w:pPr>
        <w:spacing w:before="0" w:after="0" w:line="312" w:lineRule="auto"/>
        <w:ind w:firstLine="480"/>
      </w:pPr>
      <w:r>
        <w:rPr>
          <w:color w:val="000000"/>
          <w:sz w:val="24"/>
          <w:szCs w:val="24"/>
          <w:rFonts w:ascii="SimSun" w:eastAsia="SimSun" w:hAnsi="SimSun" w:cs="SimSun"/>
        </w:rPr>
        <w:t xml:space="preserve">（二）盈亏平衡分析</w:t>
      </w:r>
    </w:p>
    <w:p>
      <w:pPr>
        <w:spacing w:before="0" w:after="0" w:line="312" w:lineRule="auto"/>
        <w:ind w:firstLine="480"/>
      </w:pPr>
      <w:r>
        <w:rPr>
          <w:color w:val="000000"/>
          <w:sz w:val="24"/>
          <w:szCs w:val="24"/>
          <w:rFonts w:ascii="SimSun" w:eastAsia="SimSun" w:hAnsi="SimSun" w:cs="SimSun"/>
        </w:rPr>
        <w:t xml:space="preserve">本项目采用满租金整租经营模式，收入端为住宅租金收入，成本端由收楼成本、工程费用、运营费用及财务费用构成。以运营期（2028—2039年）为测算区间，按稳定期出租率95%、租金单价75元/㎡/月（每3年递增5%）测算，项目全周期总收入21,750.94万元，总成本费用18,444万元，税金及附加1,163.75万元，净利润合计1,250.24万元，累计净现金流于2033年（第7年）回正。</w:t>
      </w:r>
    </w:p>
    <w:p>
      <w:pPr>
        <w:spacing w:before="0" w:after="0" w:line="312" w:lineRule="auto"/>
        <w:ind w:firstLine="480"/>
      </w:pPr>
      <w:r>
        <w:rPr>
          <w:color w:val="000000"/>
          <w:sz w:val="24"/>
          <w:szCs w:val="24"/>
          <w:rFonts w:ascii="SimSun" w:eastAsia="SimSun" w:hAnsi="SimSun" w:cs="SimSun"/>
        </w:rPr>
        <w:t xml:space="preserve">以生产能力利用率表示的盈亏平衡点计算公式为：BEP＝年固定成本／（年销售收入－年可变成本－年税金及附加）×100%。本项目成本构成中，收楼成本与工程费用为固定投入性质，运营费用中单套运营成本800元/套/月随出租套数变动，属可变成本。经测算，项目运营期平均盈亏平衡点约为</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%，即当出租率不低于</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%时，项目即可实现收支平衡。基准情形下稳定期出租率设定为95%，高于盈亏平衡点约</w:t>
      </w:r>
      <w:r>
        <w:rPr>
          <w:b/>
          <w:bCs/>
          <w:color w:val="C62828"/>
          <w:sz w:val="24"/>
          <w:szCs w:val="24"/>
          <w:rFonts w:ascii="SimSun" w:eastAsia="SimSun" w:hAnsi="SimSun" w:cs="SimSun"/>
        </w:rPr>
        <w:t xml:space="preserve">【待补】</w:t>
      </w:r>
      <w:r>
        <w:rPr>
          <w:color w:val="000000"/>
          <w:sz w:val="24"/>
          <w:szCs w:val="24"/>
          <w:rFonts w:ascii="SimSun" w:eastAsia="SimSun" w:hAnsi="SimSun" w:cs="SimSun"/>
        </w:rPr>
        <w:t xml:space="preserve">个百分点，项目具备一定的安全边际。各分年盈亏平衡情况详见下表：</w:t>
      </w:r>
    </w:p>
    <w:p>
      <w:pPr>
        <w:spacing w:before="0" w:after="0" w:line="312" w:lineRule="auto"/>
        <w:ind w:firstLine="480"/>
      </w:pPr>
      <w:r>
        <w:rPr>
          <w:color w:val="000000"/>
          <w:sz w:val="24"/>
          <w:szCs w:val="24"/>
          <w:rFonts w:ascii="SimSun" w:eastAsia="SimSun" w:hAnsi="SimSun" w:cs="SimSun"/>
        </w:rPr>
        <w:t xml:space="preserve">分年盈亏平衡分析表</w:t>
      </w:r>
    </w:p>
    <w:tbl>
      <w:tblPr>
        <w:tblW w:type="dxa" w:w="8506"/>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17"/>
        <w:gridCol w:w="1417"/>
        <w:gridCol w:w="1417"/>
        <w:gridCol w:w="1417"/>
        <w:gridCol w:w="1417"/>
        <w:gridCol w:w="1421"/>
      </w:tblGrid>
      <w:tr>
        <w:trPr>
          <w:tblHeader/>
        </w:trPr>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年份</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租金收入（万元）</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总成本（万元）</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税金及附加（万元）</w:t>
            </w:r>
          </w:p>
        </w:tc>
        <w:tc>
          <w:tcPr>
            <w:tcW w:type="dxa" w:w="1417"/>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盈亏平衡点（%）</w:t>
            </w:r>
          </w:p>
        </w:tc>
        <w:tc>
          <w:tcPr>
            <w:tcW w:type="dxa" w:w="1421"/>
            <w:shd w:fill="EEEEEE" w:val="clear"/>
            <w:tcMar>
              <w:top w:type="dxa" w:w="60"/>
              <w:left w:type="dxa" w:w="110"/>
              <w:bottom w:type="dxa" w:w="60"/>
              <w:right w:type="dxa" w:w="110"/>
            </w:tcMar>
          </w:tcPr>
          <w:p>
            <w:pPr>
              <w:spacing w:line="280" w:lineRule="auto"/>
            </w:pPr>
            <w:r>
              <w:rPr>
                <w:b/>
                <w:bCs/>
                <w:color w:val="000000"/>
                <w:sz w:val="21"/>
                <w:szCs w:val="21"/>
                <w:rFonts w:ascii="SimSun" w:eastAsia="SimSun" w:hAnsi="SimSun" w:cs="SimSun"/>
              </w:rPr>
              <w:t xml:space="preserve">实际出租率（%）</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2028</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1,350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1,559.4</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75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2029</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1,710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1,629.4</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1,710</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1,608.2</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2031</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1,795.5</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1,587</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2032</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1,795.5</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1,565.8</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2033</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1,795.5</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1,544.6</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2034</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1,885.28</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1,523.4</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2035</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1,885.28</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1,502.2</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2036</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1,885.28</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1,481</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2037</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1,979.54</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1,459.8</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2038</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1,979.54</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1,438.6</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r>
        <w:trPr>
          <w:tblHeader w:val="false"/>
        </w:trPr>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2039</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1,979.54</w:t>
            </w:r>
          </w:p>
        </w:tc>
        <w:tc>
          <w:tcPr>
            <w:tcW w:type="dxa" w:w="1417"/>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1,417.4</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17"/>
            <w:tcMar>
              <w:top w:type="dxa" w:w="60"/>
              <w:left w:type="dxa" w:w="110"/>
              <w:bottom w:type="dxa" w:w="60"/>
              <w:right w:type="dxa" w:w="110"/>
            </w:tcMar>
          </w:tcPr>
          <w:p>
            <w:pPr>
              <w:spacing w:line="280" w:lineRule="auto"/>
            </w:pPr>
            <w:r>
              <w:rPr>
                <w:b/>
                <w:bCs/>
                <w:color w:val="C62828"/>
                <w:sz w:val="21"/>
                <w:szCs w:val="21"/>
                <w:rFonts w:ascii="SimSun" w:eastAsia="SimSun" w:hAnsi="SimSun" w:cs="SimSun"/>
              </w:rPr>
              <w:t xml:space="preserve">【待补】</w:t>
            </w:r>
          </w:p>
        </w:tc>
        <w:tc>
          <w:tcPr>
            <w:tcW w:type="dxa" w:w="1421"/>
            <w:tcMar>
              <w:top w:type="dxa" w:w="60"/>
              <w:left w:type="dxa" w:w="110"/>
              <w:bottom w:type="dxa" w:w="60"/>
              <w:right w:type="dxa" w:w="110"/>
            </w:tcMar>
          </w:tcPr>
          <w:p>
            <w:pPr>
              <w:spacing w:line="280" w:lineRule="auto"/>
            </w:pPr>
            <w:r>
              <w:rPr>
                <w:b w:val="false"/>
                <w:bCs w:val="false"/>
                <w:color w:val="000000"/>
                <w:sz w:val="21"/>
                <w:szCs w:val="21"/>
                <w:rFonts w:ascii="SimSun" w:eastAsia="SimSun" w:hAnsi="SimSun" w:cs="SimSun"/>
              </w:rPr>
              <w:t xml:space="preserve">95</w:t>
            </w:r>
          </w:p>
        </w:tc>
      </w:tr>
    </w:tbl>
    <w:p>
      <w:pPr>
        <w:spacing w:before="0" w:after="0" w:line="312" w:lineRule="auto"/>
        <w:ind w:firstLine="480"/>
      </w:pPr>
      <w:r>
        <w:rPr>
          <w:color w:val="000000"/>
          <w:sz w:val="24"/>
          <w:szCs w:val="24"/>
          <w:rFonts w:ascii="SimSun" w:eastAsia="SimSun" w:hAnsi="SimSun" w:cs="SimSun"/>
        </w:rPr>
        <w:t xml:space="preserve">注：盈亏平衡点按当年固定成本／（当年租金收入－当年可变成本－当年税金及附加）×100%测算；税金及附加分年数据以《测算说明书》导出结果为准。</w:t>
      </w:r>
      <w:r>
        <w:rPr>
          <w:b/>
          <w:bCs/>
          <w:color w:val="C62828"/>
          <w:sz w:val="24"/>
          <w:szCs w:val="24"/>
          <w:rFonts w:ascii="SimSun" w:eastAsia="SimSun" w:hAnsi="SimSun" w:cs="SimSun"/>
        </w:rPr>
        <w:t xml:space="preserve">【待补：分年税金及附加明细】</w:t>
      </w:r>
    </w:p>
    <w:p>
      <w:pPr>
        <w:pStyle w:val="Heading1"/>
        <w:pageBreakBefore/>
        <w:spacing w:after="360" w:line="312" w:lineRule="auto"/>
        <w:jc w:val="center"/>
      </w:pPr>
      <w:bookmarkStart w:name="_tc9" w:id="1"/>
      <w:r>
        <w:rPr>
          <w:b/>
          <w:bCs/>
          <w:color w:val="000000"/>
          <w:sz w:val="44"/>
          <w:szCs w:val="44"/>
          <w:rFonts w:ascii="SimSun" w:eastAsia="SimSun" w:hAnsi="SimSun" w:cs="SimSun"/>
        </w:rPr>
        <w:t xml:space="preserve">第十章　社会效益评价</w:t>
      </w:r>
      <w:bookmarkEnd w:id="1"/>
    </w:p>
    <w:p>
      <w:pPr>
        <w:pStyle w:val="Heading2"/>
        <w:spacing w:before="280" w:after="160" w:line="312" w:lineRule="auto"/>
      </w:pPr>
      <w:bookmarkStart w:name="_tc9_0" w:id="1"/>
      <w:r>
        <w:rPr>
          <w:b/>
          <w:bCs/>
          <w:color w:val="000000"/>
          <w:sz w:val="28"/>
          <w:szCs w:val="28"/>
          <w:rFonts w:ascii="SimSun" w:eastAsia="SimSun" w:hAnsi="SimSun" w:cs="SimSun"/>
        </w:rPr>
        <w:t xml:space="preserve">10.1　社会效益评价</w:t>
      </w:r>
      <w:bookmarkEnd w:id="1"/>
    </w:p>
    <w:p>
      <w:pPr>
        <w:spacing w:before="0" w:after="0" w:line="312" w:lineRule="auto"/>
        <w:ind w:firstLine="480"/>
      </w:pPr>
      <w:r>
        <w:rPr>
          <w:color w:val="000000"/>
          <w:sz w:val="24"/>
          <w:szCs w:val="24"/>
          <w:rFonts w:ascii="SimSun" w:eastAsia="SimSun" w:hAnsi="SimSun" w:cs="SimSun"/>
        </w:rPr>
        <w:t xml:space="preserve">本项目为市税务局51套存量住宅改造为保障性租赁住房的民生工程，建设地点分布于罗湖、福田两区6个小区，总建筑面积约5,621.15㎡，总投资13,892万元。项目以民生需求为核心导向，通过对存量住宅实施功能重塑与品质提升，将有效增加罗湖、福田核心城区的保障性租赁住房供给，切实发挥国有资产服务民生、平抑租金、优化住房供应结构的综合效益。本节从民生改善、国企担当、城市发展三个维度，对项目社会效益展开系统评价。</w:t>
      </w:r>
    </w:p>
    <w:p>
      <w:pPr>
        <w:pStyle w:val="Heading3"/>
        <w:keepNext/>
        <w:spacing w:before="160" w:after="80" w:line="360" w:lineRule="auto"/>
      </w:pPr>
      <w:r>
        <w:rPr>
          <w:b/>
          <w:bCs/>
          <w:color w:val="000000"/>
          <w:sz w:val="24"/>
          <w:szCs w:val="24"/>
          <w:rFonts w:ascii="SimSun" w:eastAsia="SimSun" w:hAnsi="SimSun" w:cs="SimSun"/>
        </w:rPr>
        <w:t xml:space="preserve">10.1.1 补齐民生短板，提升居住品质与居民幸福感</w:t>
      </w:r>
    </w:p>
    <w:p>
      <w:pPr>
        <w:spacing w:before="0" w:after="0" w:line="312" w:lineRule="auto"/>
        <w:ind w:firstLine="480"/>
      </w:pPr>
      <w:r>
        <w:rPr>
          <w:color w:val="000000"/>
          <w:sz w:val="24"/>
          <w:szCs w:val="24"/>
          <w:rFonts w:ascii="SimSun" w:eastAsia="SimSun" w:hAnsi="SimSun" w:cs="SimSun"/>
        </w:rPr>
        <w:t xml:space="preserve">本项目改造房源均位于罗湖、福田建成度较高的城区，周边人口密集、租赁需求旺盛，但部分存量住宅建成年代较早，建筑风貌陈旧、室内设施老化，与周边居民日益增长的美好居住需求存在一定差距。以罗湖区金湖路6号为例，该点位周边就业人口规模可观、通勤居住需求集中，但片区现状租赁供给以个人散租及老旧小区为主，缺乏规范化、品质化的机构运营房源。本次改造按照保障性租赁住房标准实施室内翻新与设施更新，并引入专业租赁运营管理，将以市场租金9折的价格对外出租，直接降低了新市民、青年人等群体的租房成本，同时提供了安全、便捷、舒适、多元的居住场景。项目建成后，将有效填补周边品质化保障性租赁住房的供给缺口，切实解决区域配套品质不足、服务供给不充分的民生痛点，显著提升辖区居民的生活便利度、获得感与幸福指数。</w:t>
      </w:r>
    </w:p>
    <w:p>
      <w:pPr>
        <w:pStyle w:val="Heading3"/>
        <w:keepNext/>
        <w:spacing w:before="160" w:after="80" w:line="360" w:lineRule="auto"/>
      </w:pPr>
      <w:r>
        <w:rPr>
          <w:b/>
          <w:bCs/>
          <w:color w:val="000000"/>
          <w:sz w:val="24"/>
          <w:szCs w:val="24"/>
          <w:rFonts w:ascii="SimSun" w:eastAsia="SimSun" w:hAnsi="SimSun" w:cs="SimSun"/>
        </w:rPr>
        <w:t xml:space="preserve">10.1.2 践行国企担当，实现国有资产保值增值与服务民生的统一</w:t>
      </w:r>
    </w:p>
    <w:p>
      <w:pPr>
        <w:spacing w:before="0" w:after="0" w:line="312" w:lineRule="auto"/>
        <w:ind w:firstLine="480"/>
      </w:pPr>
      <w:r>
        <w:rPr>
          <w:color w:val="000000"/>
          <w:sz w:val="24"/>
          <w:szCs w:val="24"/>
          <w:rFonts w:ascii="SimSun" w:eastAsia="SimSun" w:hAnsi="SimSun" w:cs="SimSun"/>
        </w:rPr>
        <w:t xml:space="preserve">本项目由深圳市罗湖安居有限公司作为建设及委托单位组织实施，是区属国企履行住房保障职能、深耕民生服务领域的具体实践。一方面，通过对51套存量住宅实施系统性改造，原本功能滞后、使用效率偏低的国有资产得以焕新盘活，改造后以市场化方式运营出租，可形成持续稳定的租金收益，实现国有资产保值增值，筑牢国企服务民生的资产基本盘。另一方面，项目以保障性租赁住房的定位入市，租金定价低于同地段市场水平，兼顾了社会效益与经营可持续性，体现了国企兼顾公益属性与市场逻辑的双重职能。项目的实施亦有助于积累存量住宅改造为保障性租赁住房项目的改造经验与运营数据，为后续同类存量资产盘活提供可复制、可推广的实践范本，进一步巩固国企在住房保障领域的主力军地位。</w:t>
      </w:r>
    </w:p>
    <w:p>
      <w:pPr>
        <w:pStyle w:val="Heading3"/>
        <w:keepNext/>
        <w:spacing w:before="160" w:after="80" w:line="360" w:lineRule="auto"/>
      </w:pPr>
      <w:r>
        <w:rPr>
          <w:b/>
          <w:bCs/>
          <w:color w:val="000000"/>
          <w:sz w:val="24"/>
          <w:szCs w:val="24"/>
          <w:rFonts w:ascii="SimSun" w:eastAsia="SimSun" w:hAnsi="SimSun" w:cs="SimSun"/>
        </w:rPr>
        <w:t xml:space="preserve">10.1.3 优化城市住房供应结构，带动区域协调发展</w:t>
      </w:r>
    </w:p>
    <w:p>
      <w:pPr>
        <w:spacing w:before="0" w:after="0" w:line="312" w:lineRule="auto"/>
        <w:ind w:firstLine="480"/>
      </w:pPr>
      <w:r>
        <w:rPr>
          <w:color w:val="000000"/>
          <w:sz w:val="24"/>
          <w:szCs w:val="24"/>
          <w:rFonts w:ascii="SimSun" w:eastAsia="SimSun" w:hAnsi="SimSun" w:cs="SimSun"/>
        </w:rPr>
        <w:t xml:space="preserve">从城市发展视角看，本项目是落实国家加快发展保障性租赁住房决策部署的具体举措，契合深圳市多渠道增加保障性住房供给、解决大城市住房突出问题的政策导向。项目覆盖罗湖、福田两区6个小区，各点位在区位条件上各有侧重。其中，罗湖区金湖路6号周边交通条件较为便利，距泥岗地铁站约1公里，500米范围内分布有4个公交站点，具备较好的通勤可达性；松园小区、碧波花园、愉天小区等点位职住需求较为集中；福田区上梅林梅兴苑位于地铁梅村站约0.1公里处，轨道交通便利度突出。各点位改造后形成的增量租赁住房供给，将有助于疏解中心城区住房压力，促进职住平衡，优化人口与产业空间布局。同时，改造工程涉及土建翻新、设备安装、软装配置等环节，在建设期内可带动建筑装饰、家居建材等相关行业就业；项目投入运营后，亦将产生持续的物业管理、客户服务等运营维护岗位需求，对区域经济与就业具有积极的带动作用。</w:t>
      </w:r>
    </w:p>
    <w:p>
      <w:pPr>
        <w:spacing w:before="0" w:after="0" w:line="312" w:lineRule="auto"/>
        <w:ind w:firstLine="480"/>
      </w:pPr>
      <w:r>
        <w:rPr>
          <w:color w:val="000000"/>
          <w:sz w:val="24"/>
          <w:szCs w:val="24"/>
          <w:rFonts w:ascii="SimSun" w:eastAsia="SimSun" w:hAnsi="SimSun" w:cs="SimSun"/>
        </w:rPr>
        <w:t xml:space="preserve">综上，本项目契合城市更新与民生保障发展导向，是提升区域配套品质、满足居民美好生活需求的民生发展必需，也是落实国企功能定位、筑牢国有资产保值增值底线的战略管理必需，更是回应广大居民改善居住条件诉求、优化城市住房供应结构、践行国企民生服务社会责任的公益民生必需。项目社会效益显著，具备充分的实施价值与社会意义。</w:t>
      </w:r>
    </w:p>
    <w:p>
      <w:pPr>
        <w:pStyle w:val="Heading1"/>
        <w:pageBreakBefore/>
        <w:spacing w:after="360" w:line="312" w:lineRule="auto"/>
        <w:jc w:val="center"/>
      </w:pPr>
      <w:bookmarkStart w:name="_tc10" w:id="1"/>
      <w:r>
        <w:rPr>
          <w:b/>
          <w:bCs/>
          <w:color w:val="000000"/>
          <w:sz w:val="44"/>
          <w:szCs w:val="44"/>
          <w:rFonts w:ascii="SimSun" w:eastAsia="SimSun" w:hAnsi="SimSun" w:cs="SimSun"/>
        </w:rPr>
        <w:t xml:space="preserve">第十一章　项目风险分析及对策</w:t>
      </w:r>
      <w:bookmarkEnd w:id="1"/>
    </w:p>
    <w:p>
      <w:pPr>
        <w:pStyle w:val="Heading2"/>
        <w:spacing w:before="280" w:after="160" w:line="312" w:lineRule="auto"/>
      </w:pPr>
      <w:bookmarkStart w:name="_tc10_0" w:id="1"/>
      <w:r>
        <w:rPr>
          <w:b/>
          <w:bCs/>
          <w:color w:val="000000"/>
          <w:sz w:val="28"/>
          <w:szCs w:val="28"/>
          <w:rFonts w:ascii="SimSun" w:eastAsia="SimSun" w:hAnsi="SimSun" w:cs="SimSun"/>
        </w:rPr>
        <w:t xml:space="preserve">11.1　市场风险</w:t>
      </w:r>
      <w:bookmarkEnd w:id="1"/>
    </w:p>
    <w:p>
      <w:pPr>
        <w:spacing w:before="0" w:after="0" w:line="312" w:lineRule="auto"/>
        <w:ind w:firstLine="480"/>
      </w:pPr>
      <w:r>
        <w:rPr>
          <w:color w:val="000000"/>
          <w:sz w:val="24"/>
          <w:szCs w:val="24"/>
          <w:rFonts w:ascii="SimSun" w:eastAsia="SimSun" w:hAnsi="SimSun" w:cs="SimSun"/>
        </w:rPr>
        <w:t xml:space="preserve">本项目市场风险主要集中于改造期间收益衔接、改造后去化不及预期、周边竞品分流及租金增长受限等方面，需结合项目分散式布局与保障性租赁住房定价机制予以系统识别并制定针对性对策。</w:t>
      </w:r>
    </w:p>
    <w:p>
      <w:pPr>
        <w:pStyle w:val="Heading3"/>
        <w:keepNext/>
        <w:spacing w:before="160" w:after="80" w:line="360" w:lineRule="auto"/>
      </w:pPr>
      <w:r>
        <w:rPr>
          <w:b/>
          <w:bCs/>
          <w:color w:val="000000"/>
          <w:sz w:val="24"/>
          <w:szCs w:val="24"/>
          <w:rFonts w:ascii="SimSun" w:eastAsia="SimSun" w:hAnsi="SimSun" w:cs="SimSun"/>
        </w:rPr>
        <w:t xml:space="preserve">11.1.1 风险识别与分析</w:t>
      </w:r>
    </w:p>
    <w:p>
      <w:pPr>
        <w:spacing w:before="0" w:after="0" w:line="312" w:lineRule="auto"/>
        <w:ind w:firstLine="480"/>
      </w:pPr>
      <w:r>
        <w:rPr>
          <w:color w:val="000000"/>
          <w:sz w:val="24"/>
          <w:szCs w:val="24"/>
          <w:rFonts w:ascii="SimSun" w:eastAsia="SimSun" w:hAnsi="SimSun" w:cs="SimSun"/>
        </w:rPr>
        <w:t xml:space="preserve">（一）改造期间阶段性收益损失风险。本项目51套房源分散于罗湖、福田两区6个既有住宅小区，改造需逐套实施室内翻新及家私家电配置。施工期间相关房源无法对外出租，且部分房源现状为空置状态，改造周期内将产生阶段性租金收益空档。鉴于房源分散于不同小区、不同楼栋及单元，施工组织与工序衔接复杂度高于整栋集中改造项目，若工期控制不当，空置损失周期将相应延长。</w:t>
      </w:r>
    </w:p>
    <w:p>
      <w:pPr>
        <w:spacing w:before="0" w:after="0" w:line="312" w:lineRule="auto"/>
        <w:ind w:firstLine="480"/>
      </w:pPr>
      <w:r>
        <w:rPr>
          <w:color w:val="000000"/>
          <w:sz w:val="24"/>
          <w:szCs w:val="24"/>
          <w:rFonts w:ascii="SimSun" w:eastAsia="SimSun" w:hAnsi="SimSun" w:cs="SimSun"/>
        </w:rPr>
        <w:t xml:space="preserve">（二）改造后出租率不及预期风险。本项目定位为保障性租赁住房，按市场租金九折对外出租，预计2027年6月入市，稳定期出租率按85%测算。若入市时点区域租赁需求波动或项目认知度不足，可能导致爬坡期延长、稳定期出租率低于测算基准，直接影响项目现金流与收益分成安排。</w:t>
      </w:r>
    </w:p>
    <w:p>
      <w:pPr>
        <w:spacing w:before="0" w:after="0" w:line="312" w:lineRule="auto"/>
        <w:ind w:firstLine="480"/>
      </w:pPr>
      <w:r>
        <w:rPr>
          <w:color w:val="000000"/>
          <w:sz w:val="24"/>
          <w:szCs w:val="24"/>
          <w:rFonts w:ascii="SimSun" w:eastAsia="SimSun" w:hAnsi="SimSun" w:cs="SimSun"/>
        </w:rPr>
        <w:t xml:space="preserve">（三）周边竞品集中入市加剧竞争风险。本项目六个点位均位于罗湖、福田核心区成熟居住小区，周边市场化租赁住房供给较为充足。以房源最为集中的银湖半山小区（金湖路6号，37套，占总面积76%）为例，周边已有多家市场化租赁公寓运营主体，上述竞品租金水平与出租率数据尚待人工调研核实</w:t>
      </w:r>
      <w:r>
        <w:rPr>
          <w:b/>
          <w:bCs/>
          <w:color w:val="C62828"/>
          <w:sz w:val="24"/>
          <w:szCs w:val="24"/>
          <w:rFonts w:ascii="SimSun" w:eastAsia="SimSun" w:hAnsi="SimSun" w:cs="SimSun"/>
        </w:rPr>
        <w:t xml:space="preserve">【待补：周边竞品租金及出租率实地调研数据】</w:t>
      </w:r>
      <w:r>
        <w:rPr>
          <w:color w:val="000000"/>
          <w:sz w:val="24"/>
          <w:szCs w:val="24"/>
          <w:rFonts w:ascii="SimSun" w:eastAsia="SimSun" w:hAnsi="SimSun" w:cs="SimSun"/>
        </w:rPr>
        <w:t xml:space="preserve">。若周边同类产品在相近时段集中供应，将对本项目客源形成分流压力。其余五个点位（红桂路1008号宝泉庄、松园小区、碧波花园、愉天小区、梅兴苑）虽房源数量较少、单点影响有限，但均处于居住氛围成熟区域，周边亦存在一定数量的市场化租赁住房供给，需纳入整体竞争格局统筹研判。</w:t>
      </w:r>
    </w:p>
    <w:p>
      <w:pPr>
        <w:spacing w:before="0" w:after="0" w:line="312" w:lineRule="auto"/>
        <w:ind w:firstLine="480"/>
      </w:pPr>
      <w:r>
        <w:rPr>
          <w:color w:val="000000"/>
          <w:sz w:val="24"/>
          <w:szCs w:val="24"/>
          <w:rFonts w:ascii="SimSun" w:eastAsia="SimSun" w:hAnsi="SimSun" w:cs="SimSun"/>
        </w:rPr>
        <w:t xml:space="preserve">（四）租金上涨空间受限风险。本项目按市场租金九折定价，租金水平受保障性租赁住房政策约束，上调幅度及节奏须符合相关规定。同时，各点位周边租赁市场供需结构存在差异：银湖半山小区周边居住及就业配套较为成熟，职住均衡度相对较好，租金支撑较为稳固；松园小区、碧波花园、愉天小区等点位周边就业集聚度较高，租赁需求以职住通勤客群为主，租金敏感度相对较高；宝泉庄（红桂路1008号）周边就业集聚度相对偏弱</w:t>
      </w:r>
      <w:r>
        <w:rPr>
          <w:b/>
          <w:bCs/>
          <w:color w:val="C62828"/>
          <w:sz w:val="24"/>
          <w:szCs w:val="24"/>
          <w:rFonts w:ascii="SimSun" w:eastAsia="SimSun" w:hAnsi="SimSun" w:cs="SimSun"/>
        </w:rPr>
        <w:t xml:space="preserve">【待补：各点位周边就业及租赁需求结构实地调研数据】</w:t>
      </w:r>
      <w:r>
        <w:rPr>
          <w:color w:val="000000"/>
          <w:sz w:val="24"/>
          <w:szCs w:val="24"/>
          <w:rFonts w:ascii="SimSun" w:eastAsia="SimSun" w:hAnsi="SimSun" w:cs="SimSun"/>
        </w:rPr>
        <w:t xml:space="preserve">，租金上涨支撑需审慎评估。整体而言，项目租金溢价空间有限，成本上升向租金传导的能力受到双重制约。</w:t>
      </w:r>
    </w:p>
    <w:p>
      <w:pPr>
        <w:spacing w:before="0" w:after="0" w:line="312" w:lineRule="auto"/>
        <w:ind w:firstLine="480"/>
      </w:pPr>
      <w:r>
        <w:rPr>
          <w:color w:val="000000"/>
          <w:sz w:val="24"/>
          <w:szCs w:val="24"/>
          <w:rFonts w:ascii="SimSun" w:eastAsia="SimSun" w:hAnsi="SimSun" w:cs="SimSun"/>
        </w:rPr>
        <w:t xml:space="preserve">（五）租赁需求波动风险。保障性租赁住房需求与区域人口流动、就业形势及居民收入预期密切相关。宏观经济或区域产业结构调整可能引发租赁需求阶段性收缩，叠加房源分散布局带来的管理半径较大、单点房源数量少（单点1至37套不等）等特点，需求波动对项目出租率及租金收缴率的影响将被放大。</w:t>
      </w:r>
    </w:p>
    <w:p>
      <w:pPr>
        <w:pStyle w:val="Heading3"/>
        <w:keepNext/>
        <w:spacing w:before="160" w:after="80" w:line="360" w:lineRule="auto"/>
      </w:pPr>
      <w:r>
        <w:rPr>
          <w:b/>
          <w:bCs/>
          <w:color w:val="000000"/>
          <w:sz w:val="24"/>
          <w:szCs w:val="24"/>
          <w:rFonts w:ascii="SimSun" w:eastAsia="SimSun" w:hAnsi="SimSun" w:cs="SimSun"/>
        </w:rPr>
        <w:t xml:space="preserve">11.1.2 风险对策建议</w:t>
      </w:r>
    </w:p>
    <w:p>
      <w:pPr>
        <w:spacing w:before="0" w:after="0" w:line="312" w:lineRule="auto"/>
        <w:ind w:firstLine="480"/>
      </w:pPr>
      <w:r>
        <w:rPr>
          <w:color w:val="000000"/>
          <w:sz w:val="24"/>
          <w:szCs w:val="24"/>
          <w:rFonts w:ascii="SimSun" w:eastAsia="SimSun" w:hAnsi="SimSun" w:cs="SimSun"/>
        </w:rPr>
        <w:t xml:space="preserve">（一）精准项目定位，打造差异化竞争优势。立足各点位区位条件与客群结构，明确以“职住平衡、拎包入住、品质可靠”为核心的产品定位。银湖半山小区房源集中（37套，占总面积76%），应作为重点打造样板点位，形成品牌示范效应；其余点位结合周边职住特征实施差异化配置，避免与周边市场化租赁住房同质竞争。依托政企合作背景，强化房源权属清晰、租金透明、运营规范的信用优势。</w:t>
      </w:r>
    </w:p>
    <w:p>
      <w:pPr>
        <w:spacing w:before="0" w:after="0" w:line="312" w:lineRule="auto"/>
        <w:ind w:firstLine="480"/>
      </w:pPr>
      <w:r>
        <w:rPr>
          <w:color w:val="000000"/>
          <w:sz w:val="24"/>
          <w:szCs w:val="24"/>
          <w:rFonts w:ascii="SimSun" w:eastAsia="SimSun" w:hAnsi="SimSun" w:cs="SimSun"/>
        </w:rPr>
        <w:t xml:space="preserve">（二）实行招租前置策略，实现改造完成即开业。在改造施工阶段即启动预招租工作，通过合作框架协议项下的渠道资源及线上租赁平台提前发布房源信息，储备意向租户。对各点位按完工时序分批推进预签约，压缩交付与起租之间的空置期，最大限度降低改造期间收益损失。</w:t>
      </w:r>
    </w:p>
    <w:p>
      <w:pPr>
        <w:spacing w:before="0" w:after="0" w:line="312" w:lineRule="auto"/>
        <w:ind w:firstLine="480"/>
      </w:pPr>
      <w:r>
        <w:rPr>
          <w:color w:val="000000"/>
          <w:sz w:val="24"/>
          <w:szCs w:val="24"/>
          <w:rFonts w:ascii="SimSun" w:eastAsia="SimSun" w:hAnsi="SimSun" w:cs="SimSun"/>
        </w:rPr>
        <w:t xml:space="preserve">（三）执行稳健定价策略，兼顾政策约束与市场接受度。严格遵循保障性租赁住房按市场租金一定比例定价的政策要求，入市初期可结合各点位周边竞品实际租金水平，在政策允许范围内对优质客户给予适当优惠或短期免租支持，以提升首年出租率。定价调整须建立在对周边竞品租金及出租率持续监测的基础上，避免盲目调价。</w:t>
      </w:r>
    </w:p>
    <w:p>
      <w:pPr>
        <w:spacing w:before="0" w:after="0" w:line="312" w:lineRule="auto"/>
        <w:ind w:firstLine="480"/>
      </w:pPr>
      <w:r>
        <w:rPr>
          <w:color w:val="000000"/>
          <w:sz w:val="24"/>
          <w:szCs w:val="24"/>
          <w:rFonts w:ascii="SimSun" w:eastAsia="SimSun" w:hAnsi="SimSun" w:cs="SimSun"/>
        </w:rPr>
        <w:t xml:space="preserve">（四）持续监测市场动态，及时调整运营策略。建立覆盖全部六个点位的租赁市场动态监测机制，定期跟踪周边竞品租金、出租率及新增供应情况</w:t>
      </w:r>
      <w:r>
        <w:rPr>
          <w:b/>
          <w:bCs/>
          <w:color w:val="C62828"/>
          <w:sz w:val="24"/>
          <w:szCs w:val="24"/>
          <w:rFonts w:ascii="SimSun" w:eastAsia="SimSun" w:hAnsi="SimSun" w:cs="SimSun"/>
        </w:rPr>
        <w:t xml:space="preserve">【待补：周边竞品租金及出租率实地调研数据】</w:t>
      </w:r>
      <w:r>
        <w:rPr>
          <w:color w:val="000000"/>
          <w:sz w:val="24"/>
          <w:szCs w:val="24"/>
          <w:rFonts w:ascii="SimSun" w:eastAsia="SimSun" w:hAnsi="SimSun" w:cs="SimSun"/>
        </w:rPr>
        <w:t xml:space="preserve">。根据监测结果动态调整各点位的租金策略、推广渠道及服务配置，对出租率低于预期的点位及时启动专项去化措施。同时，依托收益分成合作模式，与国家税务总局深圳市税务局建立定期沟通机制，就市场变化对收益的影响保持信息对称，及时协商应对方案。</w:t>
      </w:r>
    </w:p>
    <w:p>
      <w:pPr>
        <w:spacing w:before="0" w:after="0" w:line="312" w:lineRule="auto"/>
        <w:ind w:firstLine="480"/>
      </w:pPr>
      <w:r>
        <w:rPr>
          <w:color w:val="000000"/>
          <w:sz w:val="24"/>
          <w:szCs w:val="24"/>
          <w:rFonts w:ascii="SimSun" w:eastAsia="SimSun" w:hAnsi="SimSun" w:cs="SimSun"/>
        </w:rPr>
        <w:t xml:space="preserve">上述风险及对策的系统落实情况，将直接关系本项目稳定期出租率85%的测算目标能否实现，应在项目运营阶段作为常态化管理事项予以持续跟踪与动态优化。</w:t>
      </w:r>
    </w:p>
    <w:p>
      <w:pPr>
        <w:keepNext/>
        <w:spacing w:before="180" w:after="100"/>
        <w:jc w:val="center"/>
      </w:pPr>
      <w:r>
        <w:rPr>
          <w:b/>
          <w:bCs/>
          <w:color w:val="000000"/>
          <w:sz w:val="22"/>
          <w:szCs w:val="22"/>
          <w:rFonts w:ascii="SimSun" w:eastAsia="SimSun" w:hAnsi="SimSun" w:cs="SimSun"/>
        </w:rPr>
        <w:t xml:space="preserve">风险分析及对策表</w:t>
      </w:r>
    </w:p>
    <w:tbl>
      <w:tblPr>
        <w:tblW w:type="dxa" w:w="8506"/>
        <w:jc w:val="center"/>
        <w:tblBorders>
          <w:top w:val="single" w:color="666666" w:sz="4"/>
          <w:left w:val="single" w:color="666666" w:sz="4"/>
          <w:bottom w:val="single" w:color="666666" w:sz="4"/>
          <w:right w:val="single" w:color="666666" w:sz="4"/>
          <w:insideH w:val="single" w:color="666666" w:sz="4"/>
          <w:insideV w:val="single" w:color="666666" w:sz="4"/>
        </w:tblBorders>
        <w:tblLayout w:type="fixed"/>
      </w:tblPr>
      <w:tblGrid>
        <w:gridCol w:w="1215"/>
        <w:gridCol w:w="1215"/>
        <w:gridCol w:w="1215"/>
        <w:gridCol w:w="1215"/>
        <w:gridCol w:w="1215"/>
        <w:gridCol w:w="1215"/>
        <w:gridCol w:w="1216"/>
      </w:tblGrid>
      <w:tr>
        <w:trPr>
          <w:cantSplit/>
          <w:tblHeader/>
        </w:trPr>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风险类别</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风险描述</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发生概率</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影响程度</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应对措施</w:t>
            </w:r>
          </w:p>
        </w:tc>
        <w:tc>
          <w:tcPr>
            <w:tcW w:type="dxa" w:w="1215"/>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责任单位</w:t>
            </w:r>
          </w:p>
        </w:tc>
        <w:tc>
          <w:tcPr>
            <w:tcW w:type="dxa" w:w="1216"/>
            <w:shd w:fill="E8F0F7" w:val="clear"/>
            <w:tcMar>
              <w:top w:type="dxa" w:w="42"/>
              <w:left w:type="dxa" w:w="55"/>
              <w:bottom w:type="dxa" w:w="42"/>
              <w:right w:type="dxa" w:w="55"/>
            </w:tcMar>
            <w:vAlign w:val="center"/>
          </w:tcPr>
          <w:p>
            <w:pPr>
              <w:spacing w:line="250" w:lineRule="auto"/>
              <w:jc w:val="center"/>
            </w:pPr>
            <w:r>
              <w:rPr>
                <w:b/>
                <w:bCs/>
                <w:color w:val="000000"/>
                <w:sz w:val="18"/>
                <w:szCs w:val="18"/>
                <w:rFonts w:ascii="SimSun" w:eastAsia="SimSun" w:hAnsi="SimSun" w:cs="SimSun"/>
              </w:rPr>
              <w:t xml:space="preserve">监测节点</w:t>
            </w: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r>
        <w:trPr>
          <w:cantSplit/>
          <w:tblHeader w:val="false"/>
        </w:trPr>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5"/>
            <w:tcMar>
              <w:top w:type="dxa" w:w="42"/>
              <w:left w:type="dxa" w:w="55"/>
              <w:bottom w:type="dxa" w:w="42"/>
              <w:right w:type="dxa" w:w="55"/>
            </w:tcMar>
            <w:vAlign w:val="center"/>
          </w:tcPr>
          <w:p>
            <w:pPr>
              <w:spacing w:line="250" w:lineRule="auto"/>
              <w:jc w:val="center"/>
            </w:pPr>
          </w:p>
        </w:tc>
        <w:tc>
          <w:tcPr>
            <w:tcW w:type="dxa" w:w="1216"/>
            <w:tcMar>
              <w:top w:type="dxa" w:w="42"/>
              <w:left w:type="dxa" w:w="55"/>
              <w:bottom w:type="dxa" w:w="42"/>
              <w:right w:type="dxa" w:w="55"/>
            </w:tcMar>
            <w:vAlign w:val="center"/>
          </w:tcPr>
          <w:p>
            <w:pPr>
              <w:spacing w:line="250" w:lineRule="auto"/>
              <w:jc w:val="center"/>
            </w:pPr>
          </w:p>
        </w:tc>
      </w:tr>
    </w:tbl>
    <w:p>
      <w:pPr>
        <w:pStyle w:val="Heading2"/>
        <w:spacing w:before="280" w:after="160" w:line="312" w:lineRule="auto"/>
      </w:pPr>
      <w:bookmarkStart w:name="_tc10_1" w:id="1"/>
      <w:r>
        <w:rPr>
          <w:b/>
          <w:bCs/>
          <w:color w:val="000000"/>
          <w:sz w:val="28"/>
          <w:szCs w:val="28"/>
          <w:rFonts w:ascii="SimSun" w:eastAsia="SimSun" w:hAnsi="SimSun" w:cs="SimSun"/>
        </w:rPr>
        <w:t xml:space="preserve">11.2　工程风险</w:t>
      </w:r>
      <w:bookmarkEnd w:id="1"/>
    </w:p>
    <w:p>
      <w:pPr>
        <w:spacing w:before="0" w:after="0" w:line="312" w:lineRule="auto"/>
        <w:ind w:firstLine="480"/>
      </w:pPr>
      <w:r>
        <w:rPr>
          <w:color w:val="000000"/>
          <w:sz w:val="24"/>
          <w:szCs w:val="24"/>
          <w:rFonts w:ascii="SimSun" w:eastAsia="SimSun" w:hAnsi="SimSun" w:cs="SimSun"/>
        </w:rPr>
        <w:t xml:space="preserve">工程风险是影响本项目投资目标实现的关键因素之一。本项目为既有住宅改造工程，涉及罗湖、福田两区6个小区共51套房源的室内翻新及家私家电配置，工程内容虽以室内装修为主，但点多面广、单点规模小、施工组织复杂，且部分房源楼龄较长，隐蔽工程条件存在不确定性，工程管理难度不容低估。结合项目特点，本节从成本、工期、安全、质量四个维度识别主要工程风险，并提出针对性对策。</w:t>
      </w:r>
    </w:p>
    <w:p>
      <w:pPr>
        <w:pStyle w:val="Heading3"/>
        <w:keepNext/>
        <w:spacing w:before="160" w:after="80" w:line="360" w:lineRule="auto"/>
      </w:pPr>
      <w:r>
        <w:rPr>
          <w:b/>
          <w:bCs/>
          <w:color w:val="000000"/>
          <w:sz w:val="24"/>
          <w:szCs w:val="24"/>
          <w:rFonts w:ascii="SimSun" w:eastAsia="SimSun" w:hAnsi="SimSun" w:cs="SimSun"/>
        </w:rPr>
        <w:t xml:space="preserve">11.2.1 成本管控风险及对策</w:t>
      </w:r>
    </w:p>
    <w:p>
      <w:pPr>
        <w:spacing w:before="0" w:after="0" w:line="312" w:lineRule="auto"/>
        <w:ind w:firstLine="480"/>
      </w:pPr>
      <w:r>
        <w:rPr>
          <w:color w:val="000000"/>
          <w:sz w:val="24"/>
          <w:szCs w:val="24"/>
          <w:rFonts w:ascii="SimSun" w:eastAsia="SimSun" w:hAnsi="SimSun" w:cs="SimSun"/>
        </w:rPr>
        <w:t xml:space="preserve">本项目投资规模13892万元，改造内容涉及室内翻新、给排水及电气线路局部更新、家具家电配置等，工程造价的准确性直接影响项目收益测算。主要风险在于：一是设计方案在施工阶段因现场条件与勘察不符而发生变更，导致投资增加；二是既有建筑隐蔽工程（如管线老化、防水层失效、墙体空鼓等）在拆除或翻新过程中暴露新问题，产生预估外工程量和费用；三是材料、人工价格波动对造价的影响。对策方面：建议委托专业造价咨询单位实施全过程造价跟踪审计，建立设计变更与现场签证分级审批制度，对超出一定金额的变更须经建设单位专题论证后方可实施；在概算编制阶段预留合理的预备费，用于消化不可预见工程内容；主要材料及设备宜通过集中采购或框架协议方式锁定价格，降低市场波动影响。</w:t>
      </w:r>
    </w:p>
    <w:p>
      <w:pPr>
        <w:pStyle w:val="Heading3"/>
        <w:keepNext/>
        <w:spacing w:before="160" w:after="80" w:line="360" w:lineRule="auto"/>
      </w:pPr>
      <w:r>
        <w:rPr>
          <w:b/>
          <w:bCs/>
          <w:color w:val="000000"/>
          <w:sz w:val="24"/>
          <w:szCs w:val="24"/>
          <w:rFonts w:ascii="SimSun" w:eastAsia="SimSun" w:hAnsi="SimSun" w:cs="SimSun"/>
        </w:rPr>
        <w:t xml:space="preserve">11.2.2 工期延误风险及对策</w:t>
      </w:r>
    </w:p>
    <w:p>
      <w:pPr>
        <w:spacing w:before="0" w:after="0" w:line="312" w:lineRule="auto"/>
        <w:ind w:firstLine="480"/>
      </w:pPr>
      <w:r>
        <w:rPr>
          <w:color w:val="000000"/>
          <w:sz w:val="24"/>
          <w:szCs w:val="24"/>
          <w:rFonts w:ascii="SimSun" w:eastAsia="SimSun" w:hAnsi="SimSun" w:cs="SimSun"/>
        </w:rPr>
        <w:t xml:space="preserve">本项目计划于2027年6月投入市场，改造工期安排较为紧凑。风险因素包括：多小区分散施工导致管理资源摊薄，各点位进度不均衡；部分房源位于成熟居住小区内，受限于小区物业管理规定，施工作业时间、材料运输及垃圾清运可能受到约束；改造过程中如遇隐蔽工程问题需补充设计，将直接延误工期。对策方面：建议制定覆盖各点位的总体施工进度计划和分栋分批作业计划，明确关键节点和里程碑目标，建立周调度、月检查的进度管理机制；提前与各小区物业管理单位沟通施工组织方案，落实材料垂直运输、垃圾清运路线及作业时间安排；对银湖半山等房源集中点位优先组织施工，形成样板示范，其余分散房源采取平行流水作业方式，合理压缩总工期；在施工合同中明确工期奖罚条款，强化承包商工期责任。</w:t>
      </w:r>
    </w:p>
    <w:p>
      <w:pPr>
        <w:pStyle w:val="Heading3"/>
        <w:keepNext/>
        <w:spacing w:before="160" w:after="80" w:line="360" w:lineRule="auto"/>
      </w:pPr>
      <w:r>
        <w:rPr>
          <w:b/>
          <w:bCs/>
          <w:color w:val="000000"/>
          <w:sz w:val="24"/>
          <w:szCs w:val="24"/>
          <w:rFonts w:ascii="SimSun" w:eastAsia="SimSun" w:hAnsi="SimSun" w:cs="SimSun"/>
        </w:rPr>
        <w:t xml:space="preserve">11.2.3 施工安全风险及对策</w:t>
      </w:r>
    </w:p>
    <w:p>
      <w:pPr>
        <w:spacing w:before="0" w:after="0" w:line="312" w:lineRule="auto"/>
        <w:ind w:firstLine="480"/>
      </w:pPr>
      <w:r>
        <w:rPr>
          <w:color w:val="000000"/>
          <w:sz w:val="24"/>
          <w:szCs w:val="24"/>
          <w:rFonts w:ascii="SimSun" w:eastAsia="SimSun" w:hAnsi="SimSun" w:cs="SimSun"/>
        </w:rPr>
        <w:t xml:space="preserve">本项目改造施工涉及拆除、水电改造、装饰装修等作业内容，且施工区域位于在用居住小区内，安全文明施工要求较高。主要风险包括：现场用电用气作业不规范引发火灾或触电事故；拆除作业中承重结构被误拆或损伤；施工噪音、粉尘及建筑垃圾对周边住户正常生活造成干扰，引发投诉。对策方面：建议严格落实安全生产责任制，建设单位与施工单位签订安全生产管理协议，明确各方安全职责；督促施工单位编制专项施工方案，对涉及结构安全或公共区域的作业内容履行审批程序；强化现场安全文明施工管理，落实围挡封闭、材料堆放、垃圾清运等标准化措施，严格控制作业时间，减少对周边居民的影响；定期开展安全巡查和隐患排查，建立应急响应机制，确保突发情况得到及时处置。</w:t>
      </w:r>
    </w:p>
    <w:p>
      <w:pPr>
        <w:pStyle w:val="Heading3"/>
        <w:keepNext/>
        <w:spacing w:before="160" w:after="80" w:line="360" w:lineRule="auto"/>
      </w:pPr>
      <w:r>
        <w:rPr>
          <w:b/>
          <w:bCs/>
          <w:color w:val="000000"/>
          <w:sz w:val="24"/>
          <w:szCs w:val="24"/>
          <w:rFonts w:ascii="SimSun" w:eastAsia="SimSun" w:hAnsi="SimSun" w:cs="SimSun"/>
        </w:rPr>
        <w:t xml:space="preserve">11.2.4 质量缺陷风险及对策</w:t>
      </w:r>
    </w:p>
    <w:p>
      <w:pPr>
        <w:spacing w:before="0" w:after="0" w:line="312" w:lineRule="auto"/>
        <w:ind w:firstLine="480"/>
      </w:pPr>
      <w:r>
        <w:rPr>
          <w:color w:val="000000"/>
          <w:sz w:val="24"/>
          <w:szCs w:val="24"/>
          <w:rFonts w:ascii="SimSun" w:eastAsia="SimSun" w:hAnsi="SimSun" w:cs="SimSun"/>
        </w:rPr>
        <w:t xml:space="preserve">本项目改造后房屋以拎包入住标准对外出租，翻新质量直接关系后续运营期租户居住体验和维修成本。主要风险在于：既有建筑基层条件差异大，若基层处理不到位，易出现墙面开裂、瓷砖空鼓、防水失效等质量通病；隐蔽工程（给排水管道、电路改造等）验收把关不严，投入使用后维修难度大、成本高。对策方面：建议在施工前对每套房源进行逐户查勘，形成详细的基层状况评估报告，据此优化设计方案和施工工艺；强化关键工序和隐蔽工程的过程验收，建立举牌验收和影像留存制度，做到质量责任可追溯；竣工阶段按照国家和深圳市有关验收标准组织分户验收，重点关注防水、电路、给排水等系统性功能的可靠性；明确保修责任和保修期限，督促施工单位履行保修义务，减少运营期维修支出。</w:t>
      </w:r>
    </w:p>
    <w:p>
      <w:pPr>
        <w:pStyle w:val="Heading3"/>
        <w:keepNext/>
        <w:spacing w:before="160" w:after="80" w:line="360" w:lineRule="auto"/>
      </w:pPr>
      <w:r>
        <w:rPr>
          <w:b/>
          <w:bCs/>
          <w:color w:val="000000"/>
          <w:sz w:val="24"/>
          <w:szCs w:val="24"/>
          <w:rFonts w:ascii="SimSun" w:eastAsia="SimSun" w:hAnsi="SimSun" w:cs="SimSun"/>
        </w:rPr>
        <w:t xml:space="preserve">11.2.5 各点位工程风险差异分析</w:t>
      </w:r>
    </w:p>
    <w:p>
      <w:pPr>
        <w:spacing w:before="0" w:after="0" w:line="312" w:lineRule="auto"/>
        <w:ind w:firstLine="480"/>
      </w:pPr>
      <w:r>
        <w:rPr>
          <w:color w:val="000000"/>
          <w:sz w:val="24"/>
          <w:szCs w:val="24"/>
          <w:rFonts w:ascii="SimSun" w:eastAsia="SimSun" w:hAnsi="SimSun" w:cs="SimSun"/>
        </w:rPr>
        <w:t xml:space="preserve">上述风险在各点位的影响程度存在一定差异。金湖路6号（银湖半山小区）房源37套、建筑面积4249.9㎡，占项目总面积的76%，且室内为精装修、现状较好，以简单翻新和增配家具家电为主，工程内容相对单一，成本与工期可控性较强，但因其体量集中，该点位的施工组织和质量管理成效基本决定了项目整体的工程风险水平。其余5个点位合计14套、建筑面积约1371.25㎡，分散于罗湖、福田两区5个小区，单点规模小但改造标准较高（室内全部翻新并配置家具家电），且楼龄相对较长，隐蔽工程不确定性更大，需重点关注逐户查勘深度和分散施工的管理效率。其中松园小区7套、宝泉庄3套相对集中，可分别作为一个施工标段统筹组织；愉天小区2套、碧波花园1套、梅兴苑1套为零散房源，建议纳入邻近标段统一管理，避免因单点工程量过小导致施工单位投入不足、质量管控弱化。</w:t>
      </w:r>
    </w:p>
    <w:p>
      <w:pPr>
        <w:pStyle w:val="Heading2"/>
        <w:spacing w:before="280" w:after="160" w:line="312" w:lineRule="auto"/>
      </w:pPr>
      <w:bookmarkStart w:name="_tc10_2" w:id="1"/>
      <w:r>
        <w:rPr>
          <w:b/>
          <w:bCs/>
          <w:color w:val="000000"/>
          <w:sz w:val="28"/>
          <w:szCs w:val="28"/>
          <w:rFonts w:ascii="SimSun" w:eastAsia="SimSun" w:hAnsi="SimSun" w:cs="SimSun"/>
        </w:rPr>
        <w:t xml:space="preserve">11.3　投资收益风险</w:t>
      </w:r>
      <w:bookmarkEnd w:id="1"/>
    </w:p>
    <w:p>
      <w:pPr>
        <w:spacing w:before="0" w:after="0" w:line="312" w:lineRule="auto"/>
        <w:ind w:firstLine="480"/>
      </w:pPr>
      <w:r>
        <w:rPr>
          <w:color w:val="000000"/>
          <w:sz w:val="24"/>
          <w:szCs w:val="24"/>
          <w:rFonts w:ascii="SimSun" w:eastAsia="SimSun" w:hAnsi="SimSun" w:cs="SimSun"/>
        </w:rPr>
        <w:t xml:space="preserve">本项目采用“满租金整租经营”合作模式，投资方深圳市罗湖安居有限公司以整租方式取得51套房源12年运营权，承担全部改造投资与运营成本，收益来源为租金收入与运营增值。该模式下投资收益风险集中体现为：资金回收周期较长，收益水平对租金单价、出租率及运营成本变动敏感，同时受改造投资控制、资金供应保障及合作方履约情况等多重因素叠加影响。依据内置财务测算，全周期（2027—2039年）累计净利润1,250.24万元，累计净现值880.47万元，全投资内部收益率IRR为25.79%，累计净现金流于2033年（第7年）回正，整体收益水平可行，但测算结果建立在首年出租率75%、稳定期出租率95%、起始租金75元/㎡/月且每3年递增5%等核心假设之上，任一参数未达预期均将直接影响财务平衡与投资回收。</w:t>
      </w:r>
    </w:p>
    <w:p>
      <w:pPr>
        <w:pStyle w:val="Heading3"/>
        <w:keepNext/>
        <w:spacing w:before="160" w:after="80" w:line="360" w:lineRule="auto"/>
      </w:pPr>
      <w:r>
        <w:rPr>
          <w:b/>
          <w:bCs/>
          <w:color w:val="000000"/>
          <w:sz w:val="24"/>
          <w:szCs w:val="24"/>
          <w:rFonts w:ascii="SimSun" w:eastAsia="SimSun" w:hAnsi="SimSun" w:cs="SimSun"/>
        </w:rPr>
        <w:t xml:space="preserve">11.3.1 主要风险因素分析</w:t>
      </w:r>
    </w:p>
    <w:p>
      <w:pPr>
        <w:spacing w:before="0" w:after="0" w:line="312" w:lineRule="auto"/>
        <w:ind w:firstLine="480"/>
      </w:pPr>
      <w:r>
        <w:rPr>
          <w:color w:val="000000"/>
          <w:sz w:val="24"/>
          <w:szCs w:val="24"/>
          <w:rFonts w:ascii="SimSun" w:eastAsia="SimSun" w:hAnsi="SimSun" w:cs="SimSun"/>
        </w:rPr>
        <w:t xml:space="preserve">（一）租金收入不及预期风险。本项目租金定价参照市场租金9折执行，起始租金设定为75元/㎡/月，高于《立项请示》中预估平均租金42.44元/㎡/月，差异主要源于测算基准与房源结构不同，但该定价能否实现取决于周边租赁市场承受能力。从区位条件看，金湖路6号点位周边住宅小区及企业写字楼分布较为密集，职住平衡基础较好，但周边竞品公寓（易间公寓、华利公寓、禾寓青年公寓等8家）租金及出租率数据尚待人工调研核实</w:t>
      </w:r>
      <w:r>
        <w:rPr>
          <w:b/>
          <w:bCs/>
          <w:color w:val="C62828"/>
          <w:sz w:val="24"/>
          <w:szCs w:val="24"/>
          <w:rFonts w:ascii="SimSun" w:eastAsia="SimSun" w:hAnsi="SimSun" w:cs="SimSun"/>
        </w:rPr>
        <w:t xml:space="preserve">【待补：竞品实地调研数据】</w:t>
      </w:r>
      <w:r>
        <w:rPr>
          <w:color w:val="000000"/>
          <w:sz w:val="24"/>
          <w:szCs w:val="24"/>
          <w:rFonts w:ascii="SimSun" w:eastAsia="SimSun" w:hAnsi="SimSun" w:cs="SimSun"/>
        </w:rPr>
        <w:t xml:space="preserve">。若市场实际租金水平低于测算取值，或保障性租赁住房入市对周边租金形成平抑效应，将直接压缩租金收入空间。</w:t>
      </w:r>
    </w:p>
    <w:p>
      <w:pPr>
        <w:spacing w:before="0" w:after="0" w:line="312" w:lineRule="auto"/>
        <w:ind w:firstLine="480"/>
      </w:pPr>
      <w:r>
        <w:rPr>
          <w:color w:val="000000"/>
          <w:sz w:val="24"/>
          <w:szCs w:val="24"/>
          <w:rFonts w:ascii="SimSun" w:eastAsia="SimSun" w:hAnsi="SimSun" w:cs="SimSun"/>
        </w:rPr>
        <w:t xml:space="preserve">（二）出租率波动风险。测算假设首年出租率75%、次年进入稳定期达95%，该爬坡节奏需在项目2027年6月入市后12个月内完成房源去化。本项目51套房源分布于罗湖、福田两区6个老旧小区，单点房源数量少则1套（碧波花园、梅兴苑）、多则37套（银湖半山），房源分散导致营销推广与带看管理成本较高，部分点位职住平衡条件偏弱，可能延长空置周期。若稳定期出租率低于95%假设，每下降1个百分点，年均减少租金收入约17—20万元，直接影响净现金流回正时间。</w:t>
      </w:r>
    </w:p>
    <w:p>
      <w:pPr>
        <w:spacing w:before="0" w:after="0" w:line="312" w:lineRule="auto"/>
        <w:ind w:firstLine="480"/>
      </w:pPr>
      <w:r>
        <w:rPr>
          <w:color w:val="000000"/>
          <w:sz w:val="24"/>
          <w:szCs w:val="24"/>
          <w:rFonts w:ascii="SimSun" w:eastAsia="SimSun" w:hAnsi="SimSun" w:cs="SimSun"/>
        </w:rPr>
        <w:t xml:space="preserve">（三）成本管控风险。全周期总成本费用18,444万元，其中收楼成本（按25元/㎡/月整租对价支付）合计6,270万元，占总成本34%；工程费用（首次装修1,500元/㎡，全周期装修2次）合计3,900万元，占21%；运营费用合计5,760万元，占31%。收楼成本为合同锁定刚性支出，可控空间有限；工程费用受原材料价格、人工成本波动影响较大，且51套房源分散于6个小区，单套施工规模小、管理半径大，单位面积改造成本可能高于集中式项目；运营费用中单套运营成本800元/套/月，涵盖家私家电维护、保洁、日常维修及管理人员薪酬，老旧小区设备设施老化可能推高实际运维支出。</w:t>
      </w:r>
    </w:p>
    <w:p>
      <w:pPr>
        <w:spacing w:before="0" w:after="0" w:line="312" w:lineRule="auto"/>
        <w:ind w:firstLine="480"/>
      </w:pPr>
      <w:r>
        <w:rPr>
          <w:color w:val="000000"/>
          <w:sz w:val="24"/>
          <w:szCs w:val="24"/>
          <w:rFonts w:ascii="SimSun" w:eastAsia="SimSun" w:hAnsi="SimSun" w:cs="SimSun"/>
        </w:rPr>
        <w:t xml:space="preserve">（四）资金供应与财务风险。项目总投资13,892万元，其中借款13,892万元（计息本金10,600万元，利率3%×折扣0.8），建设期1年内需完成全部装修改造投入，资金集中支出压力较大。全周期财务费用合计1,908万元，占总成本10.3%。若建设期资金到位延迟或超支，将导致借款规模扩大、计息周期延长，侵蚀项目净利润。此外，运营期内若租金回款不及预期，可能阶段性出现现金流缺口，需提前做好流动性安排。</w:t>
      </w:r>
    </w:p>
    <w:p>
      <w:pPr>
        <w:spacing w:before="0" w:after="0" w:line="312" w:lineRule="auto"/>
        <w:ind w:firstLine="480"/>
      </w:pPr>
      <w:r>
        <w:rPr>
          <w:color w:val="000000"/>
          <w:sz w:val="24"/>
          <w:szCs w:val="24"/>
          <w:rFonts w:ascii="SimSun" w:eastAsia="SimSun" w:hAnsi="SimSun" w:cs="SimSun"/>
        </w:rPr>
        <w:t xml:space="preserve">（五）合作方履约与政策合规风险。本项目合作对象为国家税务总局深圳市税务局（行政事业单位），物业产权不发生转移，投资方仅享有12年运营权。虽合作方信用等级较高，但仍存在以下风险：一是产权方未能按约定期限完成房源交付或履行配套改造义务，导致项目无法按期完工入市；二是保障性租赁住房认定书有效期与合作协议期限衔接不畅，认定书到期后未能续期将影响项目合法运营；三是合作提前终止时，投资方已投入的改造工程成本及预期收益的追偿机制需明确。此外，保障性租赁住房租金接受政府指导监管，后续政策若对租金涨幅或配租对象范围作出调整，可能限制租金递增空间（测算假设每3年递增5%）。</w:t>
      </w:r>
    </w:p>
    <w:p>
      <w:pPr>
        <w:pStyle w:val="Heading3"/>
        <w:keepNext/>
        <w:spacing w:before="160" w:after="80" w:line="360" w:lineRule="auto"/>
      </w:pPr>
      <w:r>
        <w:rPr>
          <w:b/>
          <w:bCs/>
          <w:color w:val="000000"/>
          <w:sz w:val="24"/>
          <w:szCs w:val="24"/>
          <w:rFonts w:ascii="SimSun" w:eastAsia="SimSun" w:hAnsi="SimSun" w:cs="SimSun"/>
        </w:rPr>
        <w:t xml:space="preserve">11.3.2 对策建议</w:t>
      </w:r>
    </w:p>
    <w:p>
      <w:pPr>
        <w:spacing w:before="0" w:after="0" w:line="312" w:lineRule="auto"/>
        <w:ind w:firstLine="480"/>
      </w:pPr>
      <w:r>
        <w:rPr>
          <w:color w:val="000000"/>
          <w:sz w:val="24"/>
          <w:szCs w:val="24"/>
          <w:rFonts w:ascii="SimSun" w:eastAsia="SimSun" w:hAnsi="SimSun" w:cs="SimSun"/>
        </w:rPr>
        <w:t xml:space="preserve">（一）严控投资节奏，落实“三要素”前置条件。在取得《深圳市保障性租赁住房项目认定书》、完成集团投资决策审批程序、合作协议正式生效三项条件全部满足前，不发生实质性资金投入。合作协议中应明确产权方交付时限及交付标准，约定产权方未按约定时限完成配套施工并满足运营标准的，由投资方代为实施，增量成本从产权方应得收益中抵扣。同时，应明确合作提前终止时的违约赔偿机制，产权方需一次性全额赔付投资方已发生的全部改造工程投资成本、财务资金成本及合同期内可预期经营收益</w:t>
      </w:r>
      <w:r>
        <w:rPr>
          <w:b/>
          <w:bCs/>
          <w:color w:val="C62828"/>
          <w:sz w:val="24"/>
          <w:szCs w:val="24"/>
          <w:rFonts w:ascii="SimSun" w:eastAsia="SimSun" w:hAnsi="SimSun" w:cs="SimSun"/>
        </w:rPr>
        <w:t xml:space="preserve">【待补：违约赔偿测算表】</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二）强化改造阶段成本管控。在设计阶段推行限额设计，结合房源现状差异分类确定改造标准：银湖半山小区37套房源现状为精装修，以简单翻新及增配家具家电为主，严格控制单套改造投入；其余小区房源相对老旧，按室内全部翻新改造标准实施，但应通过标准化设计、批量采购控制材料设备成本。施工阶段优化工程组织，对分散点位采取分片区流水作业，减少人员及机械往返调遣费用；加强工程变更管理，严格履行变更审批程序，防止不合理变更推高造价。同时，应结合《国有资产监督管理办法》及集团投资风险管理制度要求，规范项目投资决策及实施全过程管理</w:t>
      </w:r>
      <w:r>
        <w:rPr>
          <w:b/>
          <w:bCs/>
          <w:color w:val="C62828"/>
          <w:sz w:val="24"/>
          <w:szCs w:val="24"/>
          <w:rFonts w:ascii="SimSun" w:eastAsia="SimSun" w:hAnsi="SimSun" w:cs="SimSun"/>
        </w:rPr>
        <w:t xml:space="preserve">【待补：国有资产监督管理办法、集团投资风险管理办法】</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三）加强运营期收益保障与成本管控。运营阶段通过提升服务品质、完善居住配套增强项目市场竞争力，稳定出租率水平；建立租金动态监测机制，定期跟踪周边租赁市场行情，为租金调整提供决策依据。强化运营成本管控，建立单套运营成本台账，定期分析成本构成及变动趋势，对异常支出及时预警；优化家私家电维护及保洁服务采购方式，通过集中采购、合同能源管理等手段降低日常运维支出。同时，应做好与合作方的日常沟通协调，及时跟进保障性租赁住房认定书续期等合规事项，确保项目全周期合法稳定运营。</w:t>
      </w:r>
    </w:p>
    <w:p>
      <w:pPr>
        <w:spacing w:before="0" w:after="0" w:line="312" w:lineRule="auto"/>
        <w:ind w:firstLine="480"/>
      </w:pPr>
      <w:r>
        <w:rPr>
          <w:color w:val="000000"/>
          <w:sz w:val="24"/>
          <w:szCs w:val="24"/>
          <w:rFonts w:ascii="SimSun" w:eastAsia="SimSun" w:hAnsi="SimSun" w:cs="SimSun"/>
        </w:rPr>
        <w:t xml:space="preserve">（四）细化全周期资金使用计划。根据项目建设及运营进度编制分年度资金使用计划，明确各阶段资金需求及来源，动态监控工程资金支出进度，建立资金预警机制，当实际支出偏离计划一定比例时及时预警并采取应对措施。同时，提前预留备用资金以应对建设期超支或运营期现金流阶段性缺口，确保项目资金链安全。</w:t>
      </w:r>
    </w:p>
    <w:p>
      <w:pPr>
        <w:pStyle w:val="Heading2"/>
        <w:spacing w:before="280" w:after="160" w:line="312" w:lineRule="auto"/>
      </w:pPr>
      <w:bookmarkStart w:name="_tc10_3" w:id="1"/>
      <w:r>
        <w:rPr>
          <w:b/>
          <w:bCs/>
          <w:color w:val="000000"/>
          <w:sz w:val="28"/>
          <w:szCs w:val="28"/>
          <w:rFonts w:ascii="SimSun" w:eastAsia="SimSun" w:hAnsi="SimSun" w:cs="SimSun"/>
        </w:rPr>
        <w:t xml:space="preserve">11.4　舆情风险</w:t>
      </w:r>
      <w:bookmarkEnd w:id="1"/>
    </w:p>
    <w:p>
      <w:pPr>
        <w:spacing w:before="0" w:after="0" w:line="312" w:lineRule="auto"/>
        <w:ind w:firstLine="480"/>
      </w:pPr>
      <w:r>
        <w:rPr>
          <w:color w:val="000000"/>
          <w:sz w:val="24"/>
          <w:szCs w:val="24"/>
          <w:rFonts w:ascii="SimSun" w:eastAsia="SimSun" w:hAnsi="SimSun" w:cs="SimSun"/>
        </w:rPr>
        <w:t xml:space="preserve">本项目涉及51套存量住宅分散于罗湖、福田两区6个既有居住小区，改造施工及后续运营均嵌入成熟社区环境，舆情风险是影响项目顺利实施和社会形象的关键因素之一。本节从社会影响角度分析风险成因，并提出针对性对策。</w:t>
      </w:r>
    </w:p>
    <w:p>
      <w:pPr>
        <w:pStyle w:val="Heading3"/>
        <w:keepNext/>
        <w:spacing w:before="160" w:after="80" w:line="360" w:lineRule="auto"/>
      </w:pPr>
      <w:r>
        <w:rPr>
          <w:b/>
          <w:bCs/>
          <w:color w:val="000000"/>
          <w:sz w:val="24"/>
          <w:szCs w:val="24"/>
          <w:rFonts w:ascii="SimSun" w:eastAsia="SimSun" w:hAnsi="SimSun" w:cs="SimSun"/>
        </w:rPr>
        <w:t xml:space="preserve">11.4.1 风险分析</w:t>
      </w:r>
    </w:p>
    <w:p>
      <w:pPr>
        <w:spacing w:before="0" w:after="0" w:line="312" w:lineRule="auto"/>
        <w:ind w:firstLine="480"/>
      </w:pPr>
      <w:r>
        <w:rPr>
          <w:color w:val="000000"/>
          <w:sz w:val="24"/>
          <w:szCs w:val="24"/>
          <w:rFonts w:ascii="SimSun" w:eastAsia="SimSun" w:hAnsi="SimSun" w:cs="SimSun"/>
        </w:rPr>
        <w:t xml:space="preserve">本项目改造施工及运营可能引发的舆情风险主要源于以下方面：</w:t>
      </w:r>
    </w:p>
    <w:p>
      <w:pPr>
        <w:spacing w:before="0" w:after="0" w:line="312" w:lineRule="auto"/>
        <w:ind w:firstLine="480"/>
      </w:pPr>
      <w:r>
        <w:rPr>
          <w:color w:val="000000"/>
          <w:sz w:val="24"/>
          <w:szCs w:val="24"/>
          <w:rFonts w:ascii="SimSun" w:eastAsia="SimSun" w:hAnsi="SimSun" w:cs="SimSun"/>
        </w:rPr>
        <w:t xml:space="preserve">1. 施工扰民引发投诉风险。 本项目为既有住宅室内翻新改造，施工过程将产生噪音、扬尘、装修垃圾及人员进出，对周边已入住居民的正常生活造成阶段性干扰。银湖半山小区房源集中（37套，占总套数73%），若多套同步施工，噪音叠加效应明显，易引发周边居民集中投诉。其余5个小区房源分散（1—7套不等），单点施工强度较低，但均位于成熟居住社区内部，施工组织不当仍可能引发局部矛盾。若投诉未得到及时妥善处理，可能通过网络平台发酵，形成对项目和企业形象的负面舆情。</w:t>
      </w:r>
    </w:p>
    <w:p>
      <w:pPr>
        <w:spacing w:before="0" w:after="0" w:line="312" w:lineRule="auto"/>
        <w:ind w:firstLine="480"/>
      </w:pPr>
      <w:r>
        <w:rPr>
          <w:color w:val="000000"/>
          <w:sz w:val="24"/>
          <w:szCs w:val="24"/>
          <w:rFonts w:ascii="SimSun" w:eastAsia="SimSun" w:hAnsi="SimSun" w:cs="SimSun"/>
        </w:rPr>
        <w:t xml:space="preserve">2. 社区沟通不足引发理解偏差风险。 本项目房源由行政闲置居住房屋转化而来，周边居民对改造后房屋的保障属性、运营方式、人员入住情况等缺乏充分了解，可能产生对社区安全、公共资源占用、房屋价值影响等方面的疑虑。若信息不透明、沟通不到位，疑虑可能演变为不理解、不支持，甚至形成群体性诉求，影响项目推进。</w:t>
      </w:r>
    </w:p>
    <w:p>
      <w:pPr>
        <w:spacing w:before="0" w:after="0" w:line="312" w:lineRule="auto"/>
        <w:ind w:firstLine="480"/>
      </w:pPr>
      <w:r>
        <w:rPr>
          <w:color w:val="000000"/>
          <w:sz w:val="24"/>
          <w:szCs w:val="24"/>
          <w:rFonts w:ascii="SimSun" w:eastAsia="SimSun" w:hAnsi="SimSun" w:cs="SimSun"/>
        </w:rPr>
        <w:t xml:space="preserve">3. 运营期管理问题引发持续舆情风险。 项目投入运营后，若租户管理、物业服务、社区融合等方面出现短板，如噪音扰民、公共区域使用冲突等，可能引发邻里纠纷并形成持续负面舆情。</w:t>
      </w:r>
    </w:p>
    <w:p>
      <w:pPr>
        <w:pStyle w:val="Heading3"/>
        <w:keepNext/>
        <w:spacing w:before="160" w:after="80" w:line="360" w:lineRule="auto"/>
      </w:pPr>
      <w:r>
        <w:rPr>
          <w:b/>
          <w:bCs/>
          <w:color w:val="000000"/>
          <w:sz w:val="24"/>
          <w:szCs w:val="24"/>
          <w:rFonts w:ascii="SimSun" w:eastAsia="SimSun" w:hAnsi="SimSun" w:cs="SimSun"/>
        </w:rPr>
        <w:t xml:space="preserve">11.4.2 对策建议</w:t>
      </w:r>
    </w:p>
    <w:p>
      <w:pPr>
        <w:spacing w:before="0" w:after="0" w:line="312" w:lineRule="auto"/>
        <w:ind w:firstLine="480"/>
      </w:pPr>
      <w:r>
        <w:rPr>
          <w:color w:val="000000"/>
          <w:sz w:val="24"/>
          <w:szCs w:val="24"/>
          <w:rFonts w:ascii="SimSun" w:eastAsia="SimSun" w:hAnsi="SimSun" w:cs="SimSun"/>
        </w:rPr>
        <w:t xml:space="preserve">针对上述风险，建议采取以下对策措施：</w:t>
      </w:r>
    </w:p>
    <w:p>
      <w:pPr>
        <w:spacing w:before="0" w:after="0" w:line="312" w:lineRule="auto"/>
        <w:ind w:firstLine="480"/>
      </w:pPr>
      <w:r>
        <w:rPr>
          <w:color w:val="000000"/>
          <w:sz w:val="24"/>
          <w:szCs w:val="24"/>
          <w:rFonts w:ascii="SimSun" w:eastAsia="SimSun" w:hAnsi="SimSun" w:cs="SimSun"/>
        </w:rPr>
        <w:t xml:space="preserve">1. 建立前置沟通与方案公示机制。 施工前主动与项目所在街道办、社区工作站、物业管理处及居民代表沟通，通报项目背景、改造内容、施工计划和保障属性，争取社区理解与支持。对改造方案进行公示和宣讲，重点说明项目为保障性租赁住房、面向市场按租金9折出租、不改变房屋居住用途等关键信息，消除信息不对称。</w:t>
      </w:r>
    </w:p>
    <w:p>
      <w:pPr>
        <w:spacing w:before="0" w:after="0" w:line="312" w:lineRule="auto"/>
        <w:ind w:firstLine="480"/>
      </w:pPr>
      <w:r>
        <w:rPr>
          <w:color w:val="000000"/>
          <w:sz w:val="24"/>
          <w:szCs w:val="24"/>
          <w:rFonts w:ascii="SimSun" w:eastAsia="SimSun" w:hAnsi="SimSun" w:cs="SimSun"/>
        </w:rPr>
        <w:t xml:space="preserve">2. 严格施工行为管控。 严格执行深圳市建设工程施工时间管理规定，控制作业时段，避免午间及夜间高噪音作业。采取洒水降尘、密闭运输、及时清运装修垃圾等措施，减少扬尘和环境污染。优先选用低噪声施工机械和工艺，临近已入住住宅单元及学校等敏感区域设置临时隔声围挡，最大限度降低施工干扰。其中，松园小区、愉天小区紧邻学校及商业设施，施工时段安排需额外考虑上下学人流高峰及商业经营时段，避免叠加干扰。</w:t>
      </w:r>
    </w:p>
    <w:p>
      <w:pPr>
        <w:spacing w:before="0" w:after="0" w:line="312" w:lineRule="auto"/>
        <w:ind w:firstLine="480"/>
      </w:pPr>
      <w:r>
        <w:rPr>
          <w:color w:val="000000"/>
          <w:sz w:val="24"/>
          <w:szCs w:val="24"/>
          <w:rFonts w:ascii="SimSun" w:eastAsia="SimSun" w:hAnsi="SimSun" w:cs="SimSun"/>
        </w:rPr>
        <w:t xml:space="preserve">3. 建立投诉响应与反馈渠道。 设立项目专属沟通热线和意见反馈渠道，在施工小区显著位置公示联系人及联系方式。对居民合理诉求及时响应、限时处理并反馈结果，将矛盾化解在萌芽阶段。建立舆情监测机制，关注网络平台涉及本项目的讨论动态，发现负面信息第一时间核实处置，防止发酵扩散。梅兴苑小区位于福田区，跨区运营，需同步对接福田区属地街道社区，建立同等标准的沟通与投诉响应机制。</w:t>
      </w:r>
    </w:p>
    <w:p>
      <w:pPr>
        <w:spacing w:before="0" w:after="0" w:line="312" w:lineRule="auto"/>
        <w:ind w:firstLine="480"/>
      </w:pPr>
      <w:r>
        <w:rPr>
          <w:color w:val="000000"/>
          <w:sz w:val="24"/>
          <w:szCs w:val="24"/>
          <w:rFonts w:ascii="SimSun" w:eastAsia="SimSun" w:hAnsi="SimSun" w:cs="SimSun"/>
        </w:rPr>
        <w:t xml:space="preserve">4. 落实运营期社区融合管理。 制定运营管理公约，明确租户行为规范，配合社区开展融合活动，促进租户与原有居民和谐共处。建立定期回访机制，主动收集周边居民意见，持续改进运营管理质量，维护项目长期良好社会形象。</w:t>
      </w:r>
    </w:p>
    <w:p>
      <w:pPr>
        <w:pStyle w:val="Heading2"/>
        <w:spacing w:before="280" w:after="160" w:line="312" w:lineRule="auto"/>
      </w:pPr>
      <w:bookmarkStart w:name="_tc10_4" w:id="1"/>
      <w:r>
        <w:rPr>
          <w:b/>
          <w:bCs/>
          <w:color w:val="000000"/>
          <w:sz w:val="28"/>
          <w:szCs w:val="28"/>
          <w:rFonts w:ascii="SimSun" w:eastAsia="SimSun" w:hAnsi="SimSun" w:cs="SimSun"/>
        </w:rPr>
        <w:t xml:space="preserve">11.5　政策风险</w:t>
      </w:r>
      <w:bookmarkEnd w:id="1"/>
    </w:p>
    <w:p>
      <w:pPr>
        <w:spacing w:before="0" w:after="0" w:line="312" w:lineRule="auto"/>
        <w:ind w:firstLine="480"/>
      </w:pPr>
      <w:r>
        <w:rPr>
          <w:color w:val="000000"/>
          <w:sz w:val="24"/>
          <w:szCs w:val="24"/>
          <w:rFonts w:ascii="SimSun" w:eastAsia="SimSun" w:hAnsi="SimSun" w:cs="SimSun"/>
        </w:rPr>
        <w:t xml:space="preserve">政策风险是影响本项目投资决策与运营可持续性的首要外部不确定性因素。本项目属于政企合作盘活存量住宅转化为保障性租赁住房的典型实践，其推进深度依赖现行保障性租赁住房认定、财政、税收及金融支持政策的稳定性。本节重点分析政策变动对本项目审批进度、收益水平及合作模式可持续性的潜在影响，并提出针对性应对措施。</w:t>
      </w:r>
    </w:p>
    <w:p>
      <w:pPr>
        <w:pStyle w:val="Heading3"/>
        <w:keepNext/>
        <w:spacing w:before="160" w:after="80" w:line="360" w:lineRule="auto"/>
      </w:pPr>
      <w:r>
        <w:rPr>
          <w:b/>
          <w:bCs/>
          <w:color w:val="000000"/>
          <w:sz w:val="24"/>
          <w:szCs w:val="24"/>
          <w:rFonts w:ascii="SimSun" w:eastAsia="SimSun" w:hAnsi="SimSun" w:cs="SimSun"/>
        </w:rPr>
        <w:t xml:space="preserve">11.5.1 政策风险分析</w:t>
      </w:r>
    </w:p>
    <w:p>
      <w:pPr>
        <w:spacing w:before="0" w:after="0" w:line="312" w:lineRule="auto"/>
        <w:ind w:firstLine="480"/>
      </w:pPr>
      <w:r>
        <w:rPr>
          <w:color w:val="000000"/>
          <w:sz w:val="24"/>
          <w:szCs w:val="24"/>
          <w:rFonts w:ascii="SimSun" w:eastAsia="SimSun" w:hAnsi="SimSun" w:cs="SimSun"/>
        </w:rPr>
        <w:t xml:space="preserve">本项目面临的政策风险主要集中于以下四个层面：</w:t>
      </w:r>
    </w:p>
    <w:p>
      <w:pPr>
        <w:spacing w:before="0" w:after="0" w:line="312" w:lineRule="auto"/>
        <w:ind w:firstLine="480"/>
      </w:pPr>
      <w:r>
        <w:rPr>
          <w:color w:val="000000"/>
          <w:sz w:val="24"/>
          <w:szCs w:val="24"/>
          <w:rFonts w:ascii="SimSun" w:eastAsia="SimSun" w:hAnsi="SimSun" w:cs="SimSun"/>
        </w:rPr>
        <w:t xml:space="preserve">（一）保障性租赁住房认定及监管政策调整风险。 本项目依据《深圳市保障性租赁住房项目认定办法（试行）》（深建规〔2023〕4号）申请项目认定，认定书是项目享受民用水电气价格、税收优惠及金融支持等配套政策的前提。若未来深圳市对保障性租赁住房的认定标准、准入条件、户型面积要求或运营监管规则进行调整，可能导致本项目51套房源中部分房源在合作期限内面临认定书续期条件变化、租金定价上限约束收紧或配租对象范围调整等情形，进而影响项目运营收益的稳定性。本项目合作期限首期为12年，且约定自动顺延，在较长运营周期内政策调整的概率客观存在。</w:t>
      </w:r>
    </w:p>
    <w:p>
      <w:pPr>
        <w:spacing w:before="0" w:after="0" w:line="312" w:lineRule="auto"/>
        <w:ind w:firstLine="480"/>
      </w:pPr>
      <w:r>
        <w:rPr>
          <w:color w:val="000000"/>
          <w:sz w:val="24"/>
          <w:szCs w:val="24"/>
          <w:rFonts w:ascii="SimSun" w:eastAsia="SimSun" w:hAnsi="SimSun" w:cs="SimSun"/>
        </w:rPr>
        <w:t xml:space="preserve">（二）税收及财政优惠政策退坡风险。 保障性租赁住房项目在持有运营阶段享受增值税、房产税等税收减免以及中央和市级财政补助等支持。若相关政策到期后不再延续、补助标准下调或享受条件趋严，将直接推高项目运营成本，压缩收益分成空间，影响项目整体经济可行性。本项目投资规模为13892万元，回收周期较长，对运营期政策红利的依赖度较高。</w:t>
      </w:r>
    </w:p>
    <w:p>
      <w:pPr>
        <w:spacing w:before="0" w:after="0" w:line="312" w:lineRule="auto"/>
        <w:ind w:firstLine="480"/>
      </w:pPr>
      <w:r>
        <w:rPr>
          <w:color w:val="000000"/>
          <w:sz w:val="24"/>
          <w:szCs w:val="24"/>
          <w:rFonts w:ascii="SimSun" w:eastAsia="SimSun" w:hAnsi="SimSun" w:cs="SimSun"/>
        </w:rPr>
        <w:t xml:space="preserve">（三）城市更新及片区规划调整风险。 本项目房源分散于罗湖区银湖半山、宝泉庄、松园小区、碧波花园、愉天小区及福田区梅兴苑等6个成熟居住小区。若房源所在片区未来被纳入城市更新、棚户区改造或土地整备计划，可能导致合作房源被征收、拆迁或规划用途变更，迫使项目提前终止，造成前期改造成本无法足额回收。此外，片区规划调整可能带来周边环境、交通条件及配套设施的变化，间接影响房源的市场租金水平和出租率。</w:t>
      </w:r>
    </w:p>
    <w:p>
      <w:pPr>
        <w:spacing w:before="0" w:after="0" w:line="312" w:lineRule="auto"/>
        <w:ind w:firstLine="480"/>
      </w:pPr>
      <w:r>
        <w:rPr>
          <w:color w:val="000000"/>
          <w:sz w:val="24"/>
          <w:szCs w:val="24"/>
          <w:rFonts w:ascii="SimSun" w:eastAsia="SimSun" w:hAnsi="SimSun" w:cs="SimSun"/>
        </w:rPr>
        <w:t xml:space="preserve">（四）消防、环保及审批标准变化风险。 本项目涉及室内翻新改造及家私家电配置，需满足现行消防、建筑节能、室内环境质量等工程建设标准。若在项目实施期间相关审批标准或技术规范发生修订，可能增加改造成本或延长审批周期。同时，本项目房源分散于6个小区，各小区建成年代、建筑结构及消防设施基础条件不一，个别楼栋可能面临更严格的消防改造要求，需在前期逐套核查确认。</w:t>
      </w:r>
    </w:p>
    <w:p>
      <w:pPr>
        <w:pStyle w:val="Heading3"/>
        <w:keepNext/>
        <w:spacing w:before="160" w:after="80" w:line="360" w:lineRule="auto"/>
      </w:pPr>
      <w:r>
        <w:rPr>
          <w:b/>
          <w:bCs/>
          <w:color w:val="000000"/>
          <w:sz w:val="24"/>
          <w:szCs w:val="24"/>
          <w:rFonts w:ascii="SimSun" w:eastAsia="SimSun" w:hAnsi="SimSun" w:cs="SimSun"/>
        </w:rPr>
        <w:t xml:space="preserve">11.5.2 对策建议</w:t>
      </w:r>
    </w:p>
    <w:p>
      <w:pPr>
        <w:spacing w:before="0" w:after="0" w:line="312" w:lineRule="auto"/>
        <w:ind w:firstLine="480"/>
      </w:pPr>
      <w:r>
        <w:rPr>
          <w:color w:val="000000"/>
          <w:sz w:val="24"/>
          <w:szCs w:val="24"/>
          <w:rFonts w:ascii="SimSun" w:eastAsia="SimSun" w:hAnsi="SimSun" w:cs="SimSun"/>
        </w:rPr>
        <w:t xml:space="preserve">针对上述风险，建议采取以下措施：</w:t>
      </w:r>
    </w:p>
    <w:p>
      <w:pPr>
        <w:spacing w:before="0" w:after="0" w:line="312" w:lineRule="auto"/>
        <w:ind w:firstLine="480"/>
      </w:pPr>
      <w:r>
        <w:rPr>
          <w:color w:val="000000"/>
          <w:sz w:val="24"/>
          <w:szCs w:val="24"/>
          <w:rFonts w:ascii="SimSun" w:eastAsia="SimSun" w:hAnsi="SimSun" w:cs="SimSun"/>
        </w:rPr>
        <w:t xml:space="preserve">（一）建立政策动态跟踪与预警机制。 由深圳市罗湖安居有限公司指定专人负责跟踪国家、广东省及深圳市保障性租赁住房领域政策动态，重点监测认定办法修订、税收优惠延续、财政补助调整及城市更新计划公示等信息，建立政策变化台账，定期评估对本项目的影响方向和程度，及时调整运营策略。</w:t>
      </w:r>
    </w:p>
    <w:p>
      <w:pPr>
        <w:spacing w:before="0" w:after="0" w:line="312" w:lineRule="auto"/>
        <w:ind w:firstLine="480"/>
      </w:pPr>
      <w:r>
        <w:rPr>
          <w:color w:val="000000"/>
          <w:sz w:val="24"/>
          <w:szCs w:val="24"/>
          <w:rFonts w:ascii="SimSun" w:eastAsia="SimSun" w:hAnsi="SimSun" w:cs="SimSun"/>
        </w:rPr>
        <w:t xml:space="preserve">（二）加强与主管部门的常态化沟通。 依托与国家税务总局深圳市税务局的合作框架，主动对接深圳市住房和建设局、罗湖区及福田区住房建设主管部门，提前了解政策导向和审批要求变化趋势。在保障性租赁住房项目认定书申请及续期环节，预留充足办理时间，避免因审批周期延长影响项目入市计划（预计2027年6月入市）。</w:t>
      </w:r>
    </w:p>
    <w:p>
      <w:pPr>
        <w:spacing w:before="0" w:after="0" w:line="312" w:lineRule="auto"/>
        <w:ind w:firstLine="480"/>
      </w:pPr>
      <w:r>
        <w:rPr>
          <w:color w:val="000000"/>
          <w:sz w:val="24"/>
          <w:szCs w:val="24"/>
          <w:rFonts w:ascii="SimSun" w:eastAsia="SimSun" w:hAnsi="SimSun" w:cs="SimSun"/>
        </w:rPr>
        <w:t xml:space="preserve">（三）在方案设计阶段预留政策调整空间。 本项目改造方案以室内翻新和家私家电配置为主，保持室内格局不变，这一策略本身即具备较强的适应性。建议在合作协议中进一步明确：因政策调整导致项目无法继续按保障性租赁住房模式运营时，双方应就房源处置、成本分摊及收益清算等事项另行协商的机制，降低合作模式中断风险。同时，在财务测算中适度考虑税收优惠退坡情景下的收益敏感性，为经营决策预留安全边际。</w:t>
      </w:r>
    </w:p>
    <w:p>
      <w:pPr>
        <w:spacing w:before="0" w:after="0" w:line="312" w:lineRule="auto"/>
        <w:ind w:firstLine="480"/>
      </w:pPr>
      <w:r>
        <w:rPr>
          <w:color w:val="000000"/>
          <w:sz w:val="24"/>
          <w:szCs w:val="24"/>
          <w:rFonts w:ascii="SimSun" w:eastAsia="SimSun" w:hAnsi="SimSun" w:cs="SimSun"/>
        </w:rPr>
        <w:t xml:space="preserve">（四）针对城市更新风险提前排查布防。 在项目前期阶段，逐套核查6个小区房源所在宗地的规划用途、土地剩余使用年限及是否纳入近期城市更新计划，形成书面排查记录</w:t>
      </w:r>
      <w:r>
        <w:rPr>
          <w:b/>
          <w:bCs/>
          <w:color w:val="C62828"/>
          <w:sz w:val="24"/>
          <w:szCs w:val="24"/>
          <w:rFonts w:ascii="SimSun" w:eastAsia="SimSun" w:hAnsi="SimSun" w:cs="SimSun"/>
        </w:rPr>
        <w:t xml:space="preserve">【待补：具体依据】</w:t>
      </w:r>
      <w:r>
        <w:rPr>
          <w:color w:val="000000"/>
          <w:sz w:val="24"/>
          <w:szCs w:val="24"/>
          <w:rFonts w:ascii="SimSun" w:eastAsia="SimSun" w:hAnsi="SimSun" w:cs="SimSun"/>
        </w:rPr>
        <w:t xml:space="preserve">。对于纳入城市更新意向范围的小区房源，应在合作协议中明确征收补偿权益的归属及分配方式，避免合作期内发生权属争议。</w:t>
      </w:r>
    </w:p>
    <w:p>
      <w:pPr>
        <w:spacing w:before="0" w:after="0" w:line="312" w:lineRule="auto"/>
        <w:ind w:firstLine="480"/>
      </w:pPr>
      <w:r>
        <w:rPr>
          <w:color w:val="000000"/>
          <w:sz w:val="24"/>
          <w:szCs w:val="24"/>
          <w:rFonts w:ascii="SimSun" w:eastAsia="SimSun" w:hAnsi="SimSun" w:cs="SimSun"/>
        </w:rPr>
        <w:t xml:space="preserve">（五）严格把控报批报建标准合规性。 改造方案设计阶段即按照现行有效的消防、环保及工程建设标准执行，并适当考虑标准提升的冗余空间。涉及消防改造的，提前与属地消防救援机构沟通确认技术要求；涉及室内环境质量的，选用符合环保标准的建材和家私，确保验收一次通过，降低因标准变化导致的返工和审批延误风险。</w:t>
      </w:r>
    </w:p>
    <w:p>
      <w:pPr>
        <w:spacing w:before="0" w:after="0" w:line="312" w:lineRule="auto"/>
        <w:ind w:firstLine="480"/>
      </w:pPr>
      <w:r>
        <w:rPr>
          <w:color w:val="000000"/>
          <w:sz w:val="24"/>
          <w:szCs w:val="24"/>
          <w:rFonts w:ascii="SimSun" w:eastAsia="SimSun" w:hAnsi="SimSun" w:cs="SimSun"/>
        </w:rPr>
        <w:t xml:space="preserve">综上，本项目政策风险总体可控，但需通过制度化的动态监测、前置沟通和合同条款设计加以有效管理。建议将上述对策纳入项目实施方案，由深圳市罗湖安居有限公司在项目推进过程中逐项落实。</w:t>
      </w:r>
    </w:p>
    <w:p>
      <w:pPr>
        <w:pStyle w:val="Heading2"/>
        <w:spacing w:before="280" w:after="160" w:line="312" w:lineRule="auto"/>
      </w:pPr>
      <w:bookmarkStart w:name="_tc10_5" w:id="1"/>
      <w:r>
        <w:rPr>
          <w:b/>
          <w:bCs/>
          <w:color w:val="000000"/>
          <w:sz w:val="28"/>
          <w:szCs w:val="28"/>
          <w:rFonts w:ascii="SimSun" w:eastAsia="SimSun" w:hAnsi="SimSun" w:cs="SimSun"/>
        </w:rPr>
        <w:t xml:space="preserve">11.6　合作风险</w:t>
      </w:r>
      <w:bookmarkEnd w:id="1"/>
    </w:p>
    <w:p>
      <w:pPr>
        <w:spacing w:before="0" w:after="0" w:line="312" w:lineRule="auto"/>
        <w:ind w:firstLine="480"/>
      </w:pPr>
      <w:r>
        <w:rPr>
          <w:color w:val="000000"/>
          <w:sz w:val="24"/>
          <w:szCs w:val="24"/>
          <w:rFonts w:ascii="SimSun" w:eastAsia="SimSun" w:hAnsi="SimSun" w:cs="SimSun"/>
        </w:rPr>
        <w:t xml:space="preserve">合作风险是影响本项目投资决策与实施成效的关键前置因素。本项目涉及深圳市罗湖安居有限公司（以下简称“罗湖公司”）、国家税务总局深圳市税务局（以下简称“市税务局”）及设计、施工、运营等多方主体，合作链条较长，任一环节的履约偏差均可能影响项目推进节奏与预期收益实现。本节基于项目合作模式与实施路径，对合作风险进行识别并提出针对性对策。</w:t>
      </w:r>
    </w:p>
    <w:p>
      <w:pPr>
        <w:pStyle w:val="Heading3"/>
        <w:keepNext/>
        <w:spacing w:before="160" w:after="80" w:line="360" w:lineRule="auto"/>
      </w:pPr>
      <w:r>
        <w:rPr>
          <w:b/>
          <w:bCs/>
          <w:color w:val="000000"/>
          <w:sz w:val="24"/>
          <w:szCs w:val="24"/>
          <w:rFonts w:ascii="SimSun" w:eastAsia="SimSun" w:hAnsi="SimSun" w:cs="SimSun"/>
        </w:rPr>
        <w:t xml:space="preserve">11.6.1 风险识别与分析</w:t>
      </w:r>
    </w:p>
    <w:p>
      <w:pPr>
        <w:spacing w:before="0" w:after="0" w:line="312" w:lineRule="auto"/>
        <w:ind w:firstLine="480"/>
      </w:pPr>
      <w:r>
        <w:rPr>
          <w:color w:val="000000"/>
          <w:sz w:val="24"/>
          <w:szCs w:val="24"/>
          <w:rFonts w:ascii="SimSun" w:eastAsia="SimSun" w:hAnsi="SimSun" w:cs="SimSun"/>
        </w:rPr>
        <w:t xml:space="preserve">本项目合作风险主要集中于以下四个方面：</w:t>
      </w:r>
    </w:p>
    <w:p>
      <w:pPr>
        <w:spacing w:before="0" w:after="0" w:line="312" w:lineRule="auto"/>
        <w:ind w:firstLine="480"/>
      </w:pPr>
      <w:r>
        <w:rPr>
          <w:color w:val="000000"/>
          <w:sz w:val="24"/>
          <w:szCs w:val="24"/>
          <w:rFonts w:ascii="SimSun" w:eastAsia="SimSun" w:hAnsi="SimSun" w:cs="SimSun"/>
        </w:rPr>
        <w:t xml:space="preserve">（一）合作方履约能力与信用风险。 本项目由罗湖公司承担改造投资与运营管理全部投入，市税务局提供51套存量房源并参与收益分成。若市税务局未能按约及时交付无权利瑕疵房源，或后续因内部审批、资产处置等程序性原因无法配合办理保障性租赁住房认定手续，将直接导致项目前期投入无法收回。此外，施工单位、设计单位若存在资质不符、技术能力不足或财务状况恶化情形，亦可能造成工期延误与成本失控。</w:t>
      </w:r>
    </w:p>
    <w:p>
      <w:pPr>
        <w:spacing w:before="0" w:after="0" w:line="312" w:lineRule="auto"/>
        <w:ind w:firstLine="480"/>
      </w:pPr>
      <w:r>
        <w:rPr>
          <w:color w:val="000000"/>
          <w:sz w:val="24"/>
          <w:szCs w:val="24"/>
          <w:rFonts w:ascii="SimSun" w:eastAsia="SimSun" w:hAnsi="SimSun" w:cs="SimSun"/>
        </w:rPr>
        <w:t xml:space="preserve">（二）合作方中途退出与违约风险。 根据《保障性租赁住房项目合作框架协议》及《合作协议（草案）》，首期合作期限为12年，自项目取得认定书且正式投入运营之日起算。鉴于项目投资回收周期较长，若市税务局在合作期内因政策调整、上级机关要求或资产统筹安排等原因中途退出，或罗湖公司因集团战略调整而无法持续投入，将导致合作关系破裂，已投入的装修工程费、前期费用及运营投入面临沉没风险。尤其需关注的是，按照国资监管规定，罗湖公司在完成投资决策前不得签订具有法律约束力的协议。若按常规程序推进，在项目完成投资立项及改造方案确定后、正式协议签署前，存在产权单位在罗湖公司协助其获得保障性租赁住房项目认定书后拒绝签订正式协议的可能，致使前期投入付诸东流。</w:t>
      </w:r>
    </w:p>
    <w:p>
      <w:pPr>
        <w:spacing w:before="0" w:after="0" w:line="312" w:lineRule="auto"/>
        <w:ind w:firstLine="480"/>
      </w:pPr>
      <w:r>
        <w:rPr>
          <w:color w:val="000000"/>
          <w:sz w:val="24"/>
          <w:szCs w:val="24"/>
          <w:rFonts w:ascii="SimSun" w:eastAsia="SimSun" w:hAnsi="SimSun" w:cs="SimSun"/>
        </w:rPr>
        <w:t xml:space="preserve">（三）多方沟通协调不畅风险。 本项目涉及政企合作，改造房源分布于罗湖、福田两区6个居住小区，各小区权属状况、物业管理和社区环境存在差异。罗湖公司需与市税务局、各小区物业服务机构、属地街道社区及住建部门等多方主体持续对接。若沟通协调机制不健全，信息传递不畅，可能导致改造方案审批迟滞、施工进场受阻、认定申报反复，影响项目整体进度。</w:t>
      </w:r>
    </w:p>
    <w:p>
      <w:pPr>
        <w:spacing w:before="0" w:after="0" w:line="312" w:lineRule="auto"/>
        <w:ind w:firstLine="480"/>
      </w:pPr>
      <w:r>
        <w:rPr>
          <w:color w:val="000000"/>
          <w:sz w:val="24"/>
          <w:szCs w:val="24"/>
          <w:rFonts w:ascii="SimSun" w:eastAsia="SimSun" w:hAnsi="SimSun" w:cs="SimSun"/>
        </w:rPr>
        <w:t xml:space="preserve">（四）合同条款不完备与利益分配争议风险。 本项目采用收益分成合作模式，涉及租金收入分配、成本分摊、税费承担等核心商务条款。若合作协议对双方权责边界、收益分配基数与比例、违约情形界定及赔偿标准等约定不明确，或对合作期满后房源移交标准、续期条件等后续事项缺乏前瞻性安排，运营期内易产生利益分配争议，影响合作稳定性。</w:t>
      </w:r>
    </w:p>
    <w:p>
      <w:pPr>
        <w:pStyle w:val="Heading3"/>
        <w:keepNext/>
        <w:spacing w:before="160" w:after="80" w:line="360" w:lineRule="auto"/>
      </w:pPr>
      <w:r>
        <w:rPr>
          <w:b/>
          <w:bCs/>
          <w:color w:val="000000"/>
          <w:sz w:val="24"/>
          <w:szCs w:val="24"/>
          <w:rFonts w:ascii="SimSun" w:eastAsia="SimSun" w:hAnsi="SimSun" w:cs="SimSun"/>
        </w:rPr>
        <w:t xml:space="preserve">11.6.2 风险对策与保障措施</w:t>
      </w:r>
    </w:p>
    <w:p>
      <w:pPr>
        <w:spacing w:before="0" w:after="0" w:line="312" w:lineRule="auto"/>
        <w:ind w:firstLine="480"/>
      </w:pPr>
      <w:r>
        <w:rPr>
          <w:color w:val="000000"/>
          <w:sz w:val="24"/>
          <w:szCs w:val="24"/>
          <w:rFonts w:ascii="SimSun" w:eastAsia="SimSun" w:hAnsi="SimSun" w:cs="SimSun"/>
        </w:rPr>
        <w:t xml:space="preserve">针对上述风险，建议采取以下对策：</w:t>
      </w:r>
    </w:p>
    <w:p>
      <w:pPr>
        <w:spacing w:before="0" w:after="0" w:line="312" w:lineRule="auto"/>
        <w:ind w:firstLine="480"/>
      </w:pPr>
      <w:r>
        <w:rPr>
          <w:color w:val="000000"/>
          <w:sz w:val="24"/>
          <w:szCs w:val="24"/>
          <w:rFonts w:ascii="SimSun" w:eastAsia="SimSun" w:hAnsi="SimSun" w:cs="SimSun"/>
        </w:rPr>
        <w:t xml:space="preserve">（一）严格合作方准入与资信审查。 在合作方选择环节，对市税务局的房源权属状况、是否存在抵押或查封等权利瑕疵进行专项核查，要求其出具权属清晰承诺函；对施工、设计等参建单位，优先选择信誉良好、实力雄厚、具有同类改造项目经验的主体，并通过信用中国、国家企业信用信息公示系统等渠道核实其资信状况</w:t>
      </w:r>
      <w:r>
        <w:rPr>
          <w:b/>
          <w:bCs/>
          <w:color w:val="C62828"/>
          <w:sz w:val="24"/>
          <w:szCs w:val="24"/>
          <w:rFonts w:ascii="SimSun" w:eastAsia="SimSun" w:hAnsi="SimSun" w:cs="SimSun"/>
        </w:rPr>
        <w:t xml:space="preserve">【待补：具体核查结果】</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（二）提前锁定合作关系，以附生效条件协议固化权责。 针对国资监管关于投资决策前不得签订具有法律约束力协议的规定，建议在投资决策事宜经集团审议通过后，提前与市税务局签署附生效条件的合作协议。协议生效条件明确约定为：罗湖公司取得项目认定书且完成项目投资决策程序。协议中应详细载明改造实施范围、双方权责边界、收益分配机制、违约赔偿标准等核心条款，以书面法律协议形式固化市税务局的合作义务，防范其在罗湖公司协助取得认定书后中途违约反悔。合作协议草案已经双方初步协商，应加快内部法务审核与报批流程</w:t>
      </w:r>
      <w:r>
        <w:rPr>
          <w:b/>
          <w:bCs/>
          <w:color w:val="C62828"/>
          <w:sz w:val="24"/>
          <w:szCs w:val="24"/>
          <w:rFonts w:ascii="SimSun" w:eastAsia="SimSun" w:hAnsi="SimSun" w:cs="SimSun"/>
        </w:rPr>
        <w:t xml:space="preserve">【待补：法务审核意见】</w:t>
      </w:r>
      <w:r>
        <w:rPr>
          <w:color w:val="000000"/>
          <w:sz w:val="24"/>
          <w:szCs w:val="24"/>
          <w:rFonts w:ascii="SimSun" w:eastAsia="SimSun" w:hAnsi="SimSun" w:cs="SimSun"/>
        </w:rPr>
        <w:t xml:space="preserve">。</w:t>
      </w:r>
    </w:p>
    <w:p>
      <w:pPr>
        <w:spacing w:before="0" w:after="0" w:line="312" w:lineRule="auto"/>
        <w:ind w:firstLine="480"/>
      </w:pPr>
      <w:r>
        <w:rPr>
          <w:color w:val="000000"/>
          <w:sz w:val="24"/>
          <w:szCs w:val="24"/>
          <w:rFonts w:ascii="SimSun" w:eastAsia="SimSun" w:hAnsi="SimSun" w:cs="SimSun"/>
        </w:rPr>
        <w:t xml:space="preserve">（三）建立常态化沟通协调与联席会议机制。 建议由罗湖公司与市税务局各自指定专人组成项目联合工作小组，定期召开联席会议，及时通报改造进度、认定申报、运营情况等信息，协调解决合作中的具体问题。对于涉及小区物业协调、社区关系等事项，提前制定沟通方案，减少施工与运营阶段的外部阻力。</w:t>
      </w:r>
    </w:p>
    <w:p>
      <w:pPr>
        <w:spacing w:before="0" w:after="0" w:line="312" w:lineRule="auto"/>
        <w:ind w:firstLine="480"/>
      </w:pPr>
      <w:r>
        <w:rPr>
          <w:color w:val="000000"/>
          <w:sz w:val="24"/>
          <w:szCs w:val="24"/>
          <w:rFonts w:ascii="SimSun" w:eastAsia="SimSun" w:hAnsi="SimSun" w:cs="SimSun"/>
        </w:rPr>
        <w:t xml:space="preserve">（四）完善合同条款与应急预案。 在合作协议中进一步细化违约情形界定与赔偿标准，明确因一方原因导致合作终止时的已投入费用清算原则、房源恢复原状或现状移交标准。同时制定合作方违约或退出的应急预案，明确替代运营方案或资产处置路径，最大限度降低合作中断造成的损失。加强合同全生命周期管理，建立履约考核与进度管控台账，对协议约定的房源交付、认定办理、租金分成等关键节点实行清单化管理，确保双方按约履行。</w:t>
      </w:r>
    </w:p>
    <w:p>
      <w:pPr>
        <w:spacing w:before="0" w:after="0" w:line="312" w:lineRule="auto"/>
        <w:ind w:firstLine="480"/>
      </w:pPr>
      <w:r>
        <w:rPr>
          <w:color w:val="000000"/>
          <w:sz w:val="24"/>
          <w:szCs w:val="24"/>
          <w:rFonts w:ascii="SimSun" w:eastAsia="SimSun" w:hAnsi="SimSun" w:cs="SimSun"/>
        </w:rPr>
        <w:t xml:space="preserve">综上，本项目合作风险总体可控，但须通过前置锁定合作条件、完善协议条款、健全协调机制等措施予以系统防范，确保项目在合法合规框架下平稳实施。</w:t>
      </w:r>
    </w:p>
    <w:p>
      <w:pPr>
        <w:pStyle w:val="Heading1"/>
        <w:pageBreakBefore/>
        <w:spacing w:after="360" w:line="312" w:lineRule="auto"/>
        <w:jc w:val="center"/>
      </w:pPr>
      <w:bookmarkStart w:name="_tc11" w:id="1"/>
      <w:r>
        <w:rPr>
          <w:b/>
          <w:bCs/>
          <w:color w:val="000000"/>
          <w:sz w:val="44"/>
          <w:szCs w:val="44"/>
          <w:rFonts w:ascii="SimSun" w:eastAsia="SimSun" w:hAnsi="SimSun" w:cs="SimSun"/>
        </w:rPr>
        <w:t xml:space="preserve">第十二章　项目研究结论及建议</w:t>
      </w:r>
      <w:bookmarkEnd w:id="1"/>
    </w:p>
    <w:p>
      <w:pPr>
        <w:pStyle w:val="Heading2"/>
        <w:spacing w:before="280" w:after="160" w:line="312" w:lineRule="auto"/>
      </w:pPr>
      <w:bookmarkStart w:name="_tc11_0" w:id="1"/>
      <w:r>
        <w:rPr>
          <w:b/>
          <w:bCs/>
          <w:color w:val="000000"/>
          <w:sz w:val="28"/>
          <w:szCs w:val="28"/>
          <w:rFonts w:ascii="SimSun" w:eastAsia="SimSun" w:hAnsi="SimSun" w:cs="SimSun"/>
        </w:rPr>
        <w:t xml:space="preserve">12.1　项目可行性结论</w:t>
      </w:r>
      <w:bookmarkEnd w:id="1"/>
    </w:p>
    <w:p>
      <w:pPr>
        <w:spacing w:before="0" w:after="0" w:line="312" w:lineRule="auto"/>
        <w:ind w:firstLine="480"/>
      </w:pPr>
      <w:r>
        <w:rPr>
          <w:color w:val="000000"/>
          <w:sz w:val="24"/>
          <w:szCs w:val="24"/>
          <w:rFonts w:ascii="SimSun" w:eastAsia="SimSun" w:hAnsi="SimSun" w:cs="SimSun"/>
        </w:rPr>
        <w:t xml:space="preserve">本项目可行性研究综合政策环境、区位条件、市场需求、改造方案、投资测算及社会效益等多维度论证，形成如下结论：</w:t>
      </w:r>
    </w:p>
    <w:p>
      <w:pPr>
        <w:spacing w:before="0" w:after="0" w:line="312" w:lineRule="auto"/>
        <w:ind w:firstLine="480"/>
      </w:pPr>
      <w:r>
        <w:rPr>
          <w:color w:val="000000"/>
          <w:sz w:val="24"/>
          <w:szCs w:val="24"/>
          <w:rFonts w:ascii="SimSun" w:eastAsia="SimSun" w:hAnsi="SimSun" w:cs="SimSun"/>
        </w:rPr>
        <w:t xml:space="preserve">一、项目建设必要性充分。 本项目是落实党中央、国务院关于盘活存量资产和发展保障性租赁住房决策部署的具体实践，符合《深圳市保障性租赁住房项目认定办法（试行）》（深建规〔2023〕4号）关于产权明晰的存量居住房屋可申请认定为保障性租赁住房的政策导向。项目通过政企合作将行政事业单位闲置居住资源转化为民生住房供给，既是增加保障性租赁住房供给、满足新市民及青年人住房需求、提升居住品质的民生发展必需，也是落实集团老旧改造政策要求、筑牢国有资产保值增值底线的战略管理必需，更是回应区域住房租赁市场需求、优化住房供给结构的发展必需，兼具民生保障与战略管理双重必要性。</w:t>
      </w:r>
    </w:p>
    <w:p>
      <w:pPr>
        <w:spacing w:before="0" w:after="0" w:line="312" w:lineRule="auto"/>
        <w:ind w:firstLine="480"/>
      </w:pPr>
      <w:r>
        <w:rPr>
          <w:color w:val="000000"/>
          <w:sz w:val="24"/>
          <w:szCs w:val="24"/>
          <w:rFonts w:ascii="SimSun" w:eastAsia="SimSun" w:hAnsi="SimSun" w:cs="SimSun"/>
        </w:rPr>
        <w:t xml:space="preserve">二、项目建设条件具备。 项目房源全部位于罗湖、福田核心城区，其中银湖半山小区房源面积占比76%，是决定项目整体可行性的核心点位。经现场勘察及周边环境核查，项目地块周边供电、供水、燃气、雨污水排放、通讯等基础设施配套完善，具备使用功能；用地周边无污染源、无放射性危险源、无易燃易爆物品生产或仓储基地，满足改造施工的环保与安全要求。交通条件方面，银湖半山小区距泥岗地铁站约1公里，距罗湖北、银湖地铁站约1.4公里，周边0.4—0.5公里范围内设有罗湖区图书馆、深圳边检总站医院等4处公交站点，公共交通可达性良好。职住平衡方面，3公里范围内住宅小区类POI 64个、企业及写字楼类POI 63个，岗位类POI占比约50%（口径说明：该指标为POI密度代理指标，非官方职住比），显示片区居住与就业功能相对均衡，为改造后房源的租赁需求提供了基础支撑。其余5个小区（宝泉庄、松园小区、碧波花园、愉天小区、梅兴苑）合计面积占比约24%，虽在户型结构、周边配套成熟度及职住平衡指标上存在差异（如松园小区、碧波花园、愉天小区岗位类POI占比介于67%—100%，就业密集度较高；愉天小区临近田贝地铁站约0.3公里且商业、教育配套齐全），但均位于核心城区，基础设施条件成熟，不构成项目建设的制约因素。综上，项目整体建设条件良好，满足改造实施要求。</w:t>
      </w:r>
    </w:p>
    <w:p>
      <w:pPr>
        <w:spacing w:before="0" w:after="0" w:line="312" w:lineRule="auto"/>
        <w:ind w:firstLine="480"/>
      </w:pPr>
      <w:r>
        <w:rPr>
          <w:color w:val="000000"/>
          <w:sz w:val="24"/>
          <w:szCs w:val="24"/>
          <w:rFonts w:ascii="SimSun" w:eastAsia="SimSun" w:hAnsi="SimSun" w:cs="SimSun"/>
        </w:rPr>
        <w:t xml:space="preserve">三、项目财务具有可行性。 项目采用满租金整租经营模式，改造后按市场租金对外出租。经财务测算，项目改造前年租金收入为</w:t>
      </w:r>
      <w:r>
        <w:rPr>
          <w:b/>
          <w:bCs/>
          <w:color w:val="C62828"/>
          <w:sz w:val="24"/>
          <w:szCs w:val="24"/>
          <w:rFonts w:ascii="SimSun" w:eastAsia="SimSun" w:hAnsi="SimSun" w:cs="SimSun"/>
        </w:rPr>
        <w:t xml:space="preserve">【待补：各章节结论汇总——改造前年租金收入具体数值】</w:t>
      </w:r>
      <w:r>
        <w:rPr>
          <w:color w:val="000000"/>
          <w:sz w:val="24"/>
          <w:szCs w:val="24"/>
          <w:rFonts w:ascii="SimSun" w:eastAsia="SimSun" w:hAnsi="SimSun" w:cs="SimSun"/>
        </w:rPr>
        <w:t xml:space="preserve">，改造后进入稳定期年租金收入可达1,885.28万元（2034—2036年，出租率95%，租金单价82.69元/㎡/月），较改造前显著提升</w:t>
      </w:r>
      <w:r>
        <w:rPr>
          <w:b/>
          <w:bCs/>
          <w:color w:val="C62828"/>
          <w:sz w:val="24"/>
          <w:szCs w:val="24"/>
          <w:rFonts w:ascii="SimSun" w:eastAsia="SimSun" w:hAnsi="SimSun" w:cs="SimSun"/>
        </w:rPr>
        <w:t xml:space="preserve">【待补：各章节结论汇总——改造前后年租金收入提升比例】</w:t>
      </w:r>
      <w:r>
        <w:rPr>
          <w:color w:val="000000"/>
          <w:sz w:val="24"/>
          <w:szCs w:val="24"/>
          <w:rFonts w:ascii="SimSun" w:eastAsia="SimSun" w:hAnsi="SimSun" w:cs="SimSun"/>
        </w:rPr>
        <w:t xml:space="preserve">。项目总投资13,892万元，全投资内部收益率（IRR）为25.79%，累计净现金流于2033年（第7年）回正，满足集团投资指引要求</w:t>
      </w:r>
      <w:r>
        <w:rPr>
          <w:b/>
          <w:bCs/>
          <w:color w:val="C62828"/>
          <w:sz w:val="24"/>
          <w:szCs w:val="24"/>
          <w:rFonts w:ascii="SimSun" w:eastAsia="SimSun" w:hAnsi="SimSun" w:cs="SimSun"/>
        </w:rPr>
        <w:t xml:space="preserve">【待补：各章节结论汇总——集团投资指引关于内部收益率及回收期的具体要求】</w:t>
      </w:r>
      <w:r>
        <w:rPr>
          <w:color w:val="000000"/>
          <w:sz w:val="24"/>
          <w:szCs w:val="24"/>
          <w:rFonts w:ascii="SimSun" w:eastAsia="SimSun" w:hAnsi="SimSun" w:cs="SimSun"/>
        </w:rPr>
        <w:t xml:space="preserve">。集团可通过基础管理费及超额分成模式实现收益增长</w:t>
      </w:r>
      <w:r>
        <w:rPr>
          <w:b/>
          <w:bCs/>
          <w:color w:val="C62828"/>
          <w:sz w:val="24"/>
          <w:szCs w:val="24"/>
          <w:rFonts w:ascii="SimSun" w:eastAsia="SimSun" w:hAnsi="SimSun" w:cs="SimSun"/>
        </w:rPr>
        <w:t xml:space="preserve">【待补：各章节结论汇总——集团增收金额具体数值】</w:t>
      </w:r>
      <w:r>
        <w:rPr>
          <w:color w:val="000000"/>
          <w:sz w:val="24"/>
          <w:szCs w:val="24"/>
          <w:rFonts w:ascii="SimSun" w:eastAsia="SimSun" w:hAnsi="SimSun" w:cs="SimSun"/>
        </w:rPr>
        <w:t xml:space="preserve">；运营方在测算期内可获得净利润1,250.24万元，财务净现值（折现率6%）为880.47万元</w:t>
      </w:r>
      <w:r>
        <w:rPr>
          <w:b/>
          <w:bCs/>
          <w:color w:val="C62828"/>
          <w:sz w:val="24"/>
          <w:szCs w:val="24"/>
          <w:rFonts w:ascii="SimSun" w:eastAsia="SimSun" w:hAnsi="SimSun" w:cs="SimSun"/>
        </w:rPr>
        <w:t xml:space="preserve">【待补：各章节结论汇总——运营方财务净现值及内部收益率具体数值】</w:t>
      </w:r>
      <w:r>
        <w:rPr>
          <w:color w:val="000000"/>
          <w:sz w:val="24"/>
          <w:szCs w:val="24"/>
          <w:rFonts w:ascii="SimSun" w:eastAsia="SimSun" w:hAnsi="SimSun" w:cs="SimSun"/>
        </w:rPr>
        <w:t xml:space="preserve">。财务指标整体良好，项目在财务上具备可行性。</w:t>
      </w:r>
    </w:p>
    <w:p>
      <w:pPr>
        <w:spacing w:before="0" w:after="0" w:line="312" w:lineRule="auto"/>
        <w:ind w:firstLine="480"/>
      </w:pPr>
      <w:r>
        <w:rPr>
          <w:color w:val="000000"/>
          <w:sz w:val="24"/>
          <w:szCs w:val="24"/>
          <w:rFonts w:ascii="SimSun" w:eastAsia="SimSun" w:hAnsi="SimSun" w:cs="SimSun"/>
        </w:rPr>
        <w:t xml:space="preserve">四、项目社会效益显著。 本项目作为区域住房租赁提质升级的重点工程，契合深圳市保障性租赁住房发展规划要求。项目落地后，可有效补齐区域保障性租赁住房供给短板，优化住房供给结构，将存量住宅改造为标准化、规范化运营的租赁住房，全面提升居住品质与服务能级；同时联动周边交通、商业、教育等公共资源，进一步完善区域综合服务功能，优化片区城市空间形态，带动周边土地集约利用与价值提升。</w:t>
      </w:r>
    </w:p>
    <w:p>
      <w:pPr>
        <w:spacing w:before="0" w:after="0" w:line="312" w:lineRule="auto"/>
        <w:ind w:firstLine="480"/>
      </w:pPr>
      <w:r>
        <w:rPr>
          <w:color w:val="000000"/>
          <w:sz w:val="24"/>
          <w:szCs w:val="24"/>
          <w:rFonts w:ascii="SimSun" w:eastAsia="SimSun" w:hAnsi="SimSun" w:cs="SimSun"/>
        </w:rPr>
        <w:t xml:space="preserve">综上， 从必要性来看，本项目契合保障性租赁住房与存量盘活发展方向，是增加民生住房供给、落实集团战略部署的必要举措；从可行性来看，项目建设条件成熟，全投资内部收益率为25.79%，大于基准收益率6%，项目净利润为1,250.24万元，集团可通过基础管理费及超额分成模式实现收益增长</w:t>
      </w:r>
      <w:r>
        <w:rPr>
          <w:b/>
          <w:bCs/>
          <w:color w:val="C62828"/>
          <w:sz w:val="24"/>
          <w:szCs w:val="24"/>
          <w:rFonts w:ascii="SimSun" w:eastAsia="SimSun" w:hAnsi="SimSun" w:cs="SimSun"/>
        </w:rPr>
        <w:t xml:space="preserve">【待补：各章节结论汇总——集团增收金额、改造资产回报率具体数值】</w:t>
      </w:r>
      <w:r>
        <w:rPr>
          <w:color w:val="000000"/>
          <w:sz w:val="24"/>
          <w:szCs w:val="24"/>
          <w:rFonts w:ascii="SimSun" w:eastAsia="SimSun" w:hAnsi="SimSun" w:cs="SimSun"/>
        </w:rPr>
        <w:t xml:space="preserve">，财务指标良好，社会效益显著。项目可行，建议按程序报批后推进实施，并在实施过程中严格落实改造标准与租赁定价要求，确保项目合规运营、实现预期效益。</w:t>
      </w:r>
    </w:p>
    <w:p>
      <w:pPr>
        <w:pStyle w:val="Heading2"/>
        <w:spacing w:before="280" w:after="160" w:line="312" w:lineRule="auto"/>
      </w:pPr>
      <w:bookmarkStart w:name="_tc11_1" w:id="1"/>
      <w:r>
        <w:rPr>
          <w:b/>
          <w:bCs/>
          <w:color w:val="000000"/>
          <w:sz w:val="28"/>
          <w:szCs w:val="28"/>
          <w:rFonts w:ascii="SimSun" w:eastAsia="SimSun" w:hAnsi="SimSun" w:cs="SimSun"/>
        </w:rPr>
        <w:t xml:space="preserve">12.2　项目下一步工作建议</w:t>
      </w:r>
      <w:bookmarkEnd w:id="1"/>
    </w:p>
    <w:p>
      <w:pPr>
        <w:spacing w:before="0" w:after="0" w:line="312" w:lineRule="auto"/>
        <w:ind w:firstLine="480"/>
      </w:pPr>
      <w:r>
        <w:rPr>
          <w:color w:val="000000"/>
          <w:sz w:val="24"/>
          <w:szCs w:val="24"/>
          <w:rFonts w:ascii="SimSun" w:eastAsia="SimSun" w:hAnsi="SimSun" w:cs="SimSun"/>
        </w:rPr>
        <w:t xml:space="preserve">一是加快保障性租赁住房项目认定与政策落地。本项目属于典型的“非居改保”存量盘活项目，改造后能否及时取得《深圳市保障性租赁住房项目认定书》，直接关系到项目适用财政补贴、税收优惠及民用水电气价格等支持政策的资格，进而影响全周期运营成本与租金定价空间。建议以首批51套房源整体打包申报认定为工作目标，由深圳市罗湖安居有限公司牵头，提前对接罗湖区住房和建设部门，逐项核对认定条件所涉的房源权属、面积、户型及改造标准等基础资料，力争在改造施工阶段同步完成认定程序，实现“竣工即认定、认定即运营”的衔接安排。同时，鉴于合作协议约定首期合作期限为12年且可自动顺延，建议在认定申报时即统筹考虑认定书有效期与合作协议期限的匹配关系，避免因证载期限错配触发续期审批而影响项目连续运营（来源：《【参考】市税务局第一批合作房源改造为保障性租赁住房项目合作协议（草案）-修订》）。</w:t>
      </w:r>
    </w:p>
    <w:p>
      <w:pPr>
        <w:spacing w:before="0" w:after="0" w:line="312" w:lineRule="auto"/>
        <w:ind w:firstLine="480"/>
      </w:pPr>
      <w:r>
        <w:rPr>
          <w:color w:val="000000"/>
          <w:sz w:val="24"/>
          <w:szCs w:val="24"/>
          <w:rFonts w:ascii="SimSun" w:eastAsia="SimSun" w:hAnsi="SimSun" w:cs="SimSun"/>
        </w:rPr>
        <w:t xml:space="preserve">二是提前开展市场对接与租户渠道建设，保障投运后出租率快速达标。本项目房源分布于罗湖、福田两区6个小区，其中银湖半山37套、建筑面积4249.9㎡，占总规模的约76%，是决定项目整体去化节奏的核心点位。从职住平衡情况看，银湖半山周边就业密度与居住供给大体均衡，具备一定的就近租住需求基础。建议以银湖半山为重心，在改造施工期内即与周边产业园、机关事业单位及住房租赁平台建立对接机制，提前摸排意向租户群体；同时针对其余5个分散点位——宝泉庄、松园小区、碧波花园、愉天小区、梅兴苑——分别结合其所在小区户型特征与周边配套差异制定差异化招租方案，避免因房源分散导致去化节奏不一。租金定价方面，应严格执行按市场租金九折出租的政策要求，并建立与周边竞品租金联动的动态调价机制，确保在保障民生属性的同时维持项目收益稳定性。</w:t>
      </w:r>
    </w:p>
    <w:p>
      <w:pPr>
        <w:spacing w:before="0" w:after="0" w:line="312" w:lineRule="auto"/>
        <w:ind w:firstLine="480"/>
      </w:pPr>
      <w:r>
        <w:rPr>
          <w:color w:val="000000"/>
          <w:sz w:val="24"/>
          <w:szCs w:val="24"/>
          <w:rFonts w:ascii="SimSun" w:eastAsia="SimSun" w:hAnsi="SimSun" w:cs="SimSun"/>
        </w:rPr>
        <w:t xml:space="preserve">三是强化全过程资金管控与成本动态监测。本项目投资规模13892万元，改造前期建设资金投入集中，且涉及6个小区分散施工，单位面积改造成本控制难度高于集中式项目。建议由深圳市罗湖安居有限公司细化全周期资金使用计划，按小区、按楼栋分解改造预算，建立工程进度款与施工节点挂钩的支付审核机制，动态监控成本支出与预算偏差；同步建立资金预警机制，预留一定比例的不可预见费，并加强与深圳市安居集团有限公司及金融机构的沟通对接，保障改造及后续运营各阶段的资金需求。鉴于本项目为存量住宅翻新改造，建议在施工图预算阶段即锁定主要材料设备品牌与价格，减少变更签证带来的成本失控风险。</w:t>
      </w:r>
    </w:p>
    <w:p>
      <w:pPr>
        <w:spacing w:before="0" w:after="0" w:line="312" w:lineRule="auto"/>
        <w:ind w:firstLine="480"/>
      </w:pPr>
      <w:r>
        <w:rPr>
          <w:color w:val="000000"/>
          <w:sz w:val="24"/>
          <w:szCs w:val="24"/>
          <w:rFonts w:ascii="SimSun" w:eastAsia="SimSun" w:hAnsi="SimSun" w:cs="SimSun"/>
        </w:rPr>
        <w:t xml:space="preserve">四是科学统筹分散点位施工组织，严控工期与质量。银湖半山37套房源分布于3栋、4栋多个单元，单套面积90.29㎡至269.71㎡不等，户型以两房及以上大户型为主，且部分房源存在“客厅无阳台、主卧带阳台”等差异化特征，改造设计需逐套核对原始户型图，避免“一刀切”式标准化施工。建议以银湖半山为工期控制主线，编制分栋分层施工进度计划，合理安排材料垂直运输与垃圾清运时序，减少对小区既有住户的干扰；其余5个点位因套数少、面积小（单点1至7套不等），可采用穿插施工或委托同一施工标段统筹实施，以降低管理成本。同时，鉴于合作协议明确改造期间及运营期间的安全管理责任由深圳市罗湖安居有限公司承担，建议在施工合同中明确安全文明施工措施费列支标准，并委托第三方监理单位对分散点位实施全覆盖巡查，杜绝安全监管盲区。</w:t>
      </w:r>
    </w:p>
    <w:p>
      <w:pPr>
        <w:spacing w:before="0" w:after="0" w:line="312" w:lineRule="auto"/>
        <w:ind w:firstLine="480"/>
      </w:pPr>
      <w:r>
        <w:rPr>
          <w:color w:val="000000"/>
          <w:sz w:val="24"/>
          <w:szCs w:val="24"/>
          <w:rFonts w:ascii="SimSun" w:eastAsia="SimSun" w:hAnsi="SimSun" w:cs="SimSun"/>
        </w:rPr>
        <w:t xml:space="preserve">五是提前构建运营管理制度与社区服务方案，打造保障性租赁住房标杆项目。本项目作为保障性租赁住房，运营期须严格遵守不得擅自变更房屋用途、违规群租、整体转租、变相销售房源等监管红线（来源：《【参考】市税务局第一批合作房源改造为保障性租赁住房项目合作协议（草案）-修订》）。建议由深圳市罗湖安居有限公司在投运前完成租务管理制度、租户准入退出标准、投诉响应机制等制度建设，并针对分散式房源特点建立线上签约缴费、报修派单、巡房检查一体化的运营管理平台。鉴于银湖半山周边轨道交通站点密集、通勤条件较好，建议在租户招募中重点面向周边轨道交通沿线就业人群，提升房源匹配效率。同时，建议提前对接住房租赁平台、人才服务机构及周边重点企事业单位，建立常态化租赁推介与供需对接渠道，拓展租户来源的广度与稳定性；运营期内注重收集租户反馈，持续优化社区服务内容与响应机制，以提升租户满意度与续租率。通过打造管理规范、服务优质的保障性租赁住房运营样板，为后续批次合作房源积累可复制的实施经验，同步实现社会效益、经济效益与政策效益的有机统一。</w:t>
      </w:r>
    </w:p>
    <w:p>
      <w:pPr>
        <w:spacing w:before="600"/>
      </w:pPr>
      <w:r>
        <w:rPr>
          <w:color w:val="000000"/>
          <w:sz w:val="21"/>
          <w:szCs w:val="21"/>
          <w:rFonts w:ascii="SimSun" w:eastAsia="SimSun" w:hAnsi="SimSun" w:cs="SimSun"/>
        </w:rPr>
        <w:t xml:space="preserve">本报告为AI生成初稿，尚未经过人工复核签发，其中标注“待填”的数据须补充真实测算结果，正式使用前须完成审核。</w:t>
      </w:r>
    </w:p>
    <w:sectPr>
      <w:headerReference w:type="default" r:id="rId6"/>
      <w:footerReference w:type="default" r:id="rId7"/>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Fonts w:ascii="SimSun" w:eastAsia="SimSun" w:hAnsi="SimSun" w:cs="SimSun"/>
      </w:rPr>
      <w:t xml:space="preserve">— </w:t>
    </w:r>
    <w:r>
      <w:rPr>
        <w:color w:val="000000"/>
        <w:sz w:val="18"/>
        <w:szCs w:val="18"/>
        <w:rFonts w:ascii="SimSun" w:eastAsia="SimSun" w:hAnsi="SimSun" w:cs="SimSun"/>
      </w:rPr>
      <w:fldChar w:fldCharType="begin"/>
      <w:instrText xml:space="preserve">PAGE</w:instrText>
      <w:fldChar w:fldCharType="separate"/>
      <w:fldChar w:fldCharType="end"/>
    </w:r>
    <w:r>
      <w:rPr>
        <w:color w:val="000000"/>
        <w:sz w:val="18"/>
        <w:szCs w:val="18"/>
        <w:rFonts w:ascii="SimSun" w:eastAsia="SimSun" w:hAnsi="SimSun" w:cs="SimSu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color w:val="000000"/>
        <w:sz w:val="18"/>
        <w:szCs w:val="18"/>
        <w:rFonts w:ascii="SimSun" w:eastAsia="SimSun" w:hAnsi="SimSun" w:cs="SimSun"/>
      </w:rPr>
      <w:t xml:space="preserve">市税务局第一批合作房源改造为保障性租赁住房项目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SimSun" w:eastAsia="SimSun" w:hAnsi="SimSun" w:cs="SimSun"/>
      </w:rPr>
    </w:rPrDefault>
    <w:pPrDefault>
      <w:pPr>
        <w:spacing w:before="0" w:after="0"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000000"/>
    </w:rPr>
  </w:style>
  <w:style w:type="paragraph" w:styleId="Heading4">
    <w:name w:val="Heading 4"/>
    <w:basedOn w:val="Normal"/>
    <w:next w:val="Normal"/>
    <w:qFormat/>
    <w:rPr>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60"/>
      <w:jc w:val="center"/>
    </w:pPr>
    <w:rPr>
      <w:b/>
      <w:bCs/>
      <w:color w:val="000000"/>
      <w:sz w:val="44"/>
      <w:szCs w:val="44"/>
      <w:rFonts w:ascii="SimSun" w:eastAsia="SimSun" w:hAnsi="SimSun" w:cs="SimSun"/>
    </w:rPr>
  </w:style>
  <w:style w:type="paragraph" w:styleId="Heading2">
    <w:name w:val="Heading 2"/>
    <w:basedOn w:val="Normal"/>
    <w:next w:val="Normal"/>
    <w:qFormat/>
    <w:pPr>
      <w:spacing w:before="280" w:after="160"/>
    </w:pPr>
    <w:rPr>
      <w:b/>
      <w:bCs/>
      <w:color w:val="000000"/>
      <w:sz w:val="28"/>
      <w:szCs w:val="28"/>
      <w:rFonts w:ascii="SimSun" w:eastAsia="SimSun" w:hAnsi="SimSun" w:cs="SimSu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2026-09-10T04:37:44.304Z</dcterms:created>
  <dcterms:modified xsi:type="dcterms:W3CDTF">2026-09-10T04:37:44.304Z</dcterms:modified>
</cp:coreProperties>
</file>

<file path=docProps/custom.xml><?xml version="1.0" encoding="utf-8"?>
<Properties xmlns="http://schemas.openxmlformats.org/officeDocument/2006/custom-properties" xmlns:vt="http://schemas.openxmlformats.org/officeDocument/2006/docPropsVTypes"/>
</file>