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cb406bf-8006-4cf9-ad33-166190695127" w:name="tableS2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cb406bf-8006-4cf9-ad33-166190695127"/>
      <w:r>
        <w:rPr/>
        <w:t xml:space="preserve">: </w:t>
      </w:r>
      <w:r>
        <w:t xml:space="preserve">Table S2. Bee species richness and corrected weighted endemism (CWE) by conservation priority group across minimum areal overlap thresholds. A cell is classified as ‘Protected’ only if the stated proportion of its 15 × 15 km area overlaps GAP Status 1 or 2 lands. Richness threshold: ≥ 35 spp (75th percentile). CWE threshold: ≥ 0.037 (75th percentile). Dual gap = high in both richness and endemism, unprotected.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3168"/>
        <w:gridCol w:w="1008"/>
        <w:gridCol w:w="1224"/>
        <w:gridCol w:w="1224"/>
        <w:gridCol w:w="1224"/>
        <w:gridCol w:w="1224"/>
      </w:tblGrid>
      <w:tr>
        <w:trPr>
          <w:trHeight w:val="360" w:hRule="auto"/>
          <w:tblHeader/>
        </w:trPr>
        header 1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Cell count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Species richness</w:t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Endemism (CWE)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Overlap threshold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Priority group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cells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richness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richness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CWE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CWE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Dual gap (richness + endemism)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0.0499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0.0235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Endemism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0.0594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Neither gap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440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0.0151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0.0139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dashed" w:sz="6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Protected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733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34.3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0.0336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0.0250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Dual gap (richness + endemism)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0.0492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Endemism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0.0592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Neither gap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597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0.0150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0.0139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dashed" w:sz="6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Protected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34.1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0.0268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Dual gap (richness + endemism)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0.0237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Endemism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0.0588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Neither gap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744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0.0152</w:t>
            </w:r>
          </w:p>
        </w:tc>
        <w:tc>
          <w:tcPr>
            <w:tcBorders>
              <w:bottom w:val="dashed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0.0139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12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Protected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0.0348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0.0284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Dual gap (richness + endemism)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0.0465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0.0239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Endemism gap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0.0597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Neither gap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gretchen</cp:lastModifiedBy>
  <cp:revision>9</cp:revision>
  <dcterms:created xsi:type="dcterms:W3CDTF">2017-02-28T11:18:00Z</dcterms:created>
  <dcterms:modified xsi:type="dcterms:W3CDTF">2026-04-09T13:01:20Z</dcterms:modified>
  <cp:category/>
</cp:coreProperties>
</file>