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1446A" w14:textId="77777777" w:rsidR="004A7BC4" w:rsidRPr="004A7BC4" w:rsidRDefault="004A7BC4" w:rsidP="004A7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Глава 2. Разведочный анализ данных</w:t>
      </w:r>
    </w:p>
    <w:p w14:paraId="2BEA83D4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ED03661" w14:textId="77777777" w:rsidR="004A7BC4" w:rsidRPr="004A7BC4" w:rsidRDefault="004A7BC4" w:rsidP="004A7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2.1. Описание исходных данных</w:t>
      </w:r>
    </w:p>
    <w:p w14:paraId="74C30352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8636A0E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рамках настоящего исследования используется журнал пользовательских событий крупного сервиса электронной коммерции за период с ноября 2019 года по февраль 2020 года. Данные представлены в виде последовательности событий, отражающих взаимодействие пользователей с товарами на платформе.</w:t>
      </w:r>
    </w:p>
    <w:p w14:paraId="18E8924D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D414726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Общий объём выборки составляет 246 330 463 записи. Зафиксировано 10 723 863 уникальных пользователя, 306 293 различных товара и 56 293 798 идентификаторов пользовательских сессий. Период наблюдения охватывает четыре месяца — с 1 ноября 2019 года по 1 марта 2020 года.</w:t>
      </w:r>
    </w:p>
    <w:p w14:paraId="3C5358F8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488E59A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 выборки позволяет рассматривать её как репрезентативную для анализа поведенческих закономерностей пользователей e-commerce платформы. Объём данных обеспечивает статистическую устойчивость получаемых оценок и позволяет выявлять как массовые закономерности, так и особенности поведения отдельных сегментов пользователей.</w:t>
      </w:r>
    </w:p>
    <w:p w14:paraId="72DD3808" w14:textId="77777777" w:rsidR="004A7BC4" w:rsidRPr="004A7BC4" w:rsidRDefault="00900505" w:rsidP="004A7B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505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32C727A7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2BBB8B1C" w14:textId="77777777" w:rsidR="004A7BC4" w:rsidRPr="004A7BC4" w:rsidRDefault="004A7BC4" w:rsidP="004A7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2.2. Структура событий и дисбаланс классов</w:t>
      </w:r>
    </w:p>
    <w:p w14:paraId="54D482EB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7AF51BA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Каждая запись в датасете соответствует одному из трёх типов пользовательских событий:</w:t>
      </w:r>
    </w:p>
    <w:p w14:paraId="1BDF3D0A" w14:textId="77777777" w:rsidR="004A7BC4" w:rsidRPr="004A7BC4" w:rsidRDefault="004A7BC4" w:rsidP="004A7B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просмотр товара (view),</w:t>
      </w:r>
    </w:p>
    <w:p w14:paraId="5E3574D5" w14:textId="77777777" w:rsidR="004A7BC4" w:rsidRPr="004A7BC4" w:rsidRDefault="004A7BC4" w:rsidP="004A7B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добавление товара в корзину (cart),</w:t>
      </w:r>
    </w:p>
    <w:p w14:paraId="43D0052B" w14:textId="77777777" w:rsidR="004A7BC4" w:rsidRPr="004A7BC4" w:rsidRDefault="004A7BC4" w:rsidP="004A7B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покупка товара (purchase).</w:t>
      </w:r>
    </w:p>
    <w:p w14:paraId="1E630AC8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8A14B0F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Анализ распределения типов событий показал выраженную асимметрию:</w:t>
      </w:r>
    </w:p>
    <w:p w14:paraId="3EC96553" w14:textId="77777777" w:rsidR="004A7BC4" w:rsidRPr="004A7BC4" w:rsidRDefault="004A7BC4" w:rsidP="004A7B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просмотры составляют 230 265 631 событий (93,48%),</w:t>
      </w:r>
    </w:p>
    <w:p w14:paraId="4F410A0D" w14:textId="77777777" w:rsidR="004A7BC4" w:rsidRPr="004A7BC4" w:rsidRDefault="004A7BC4" w:rsidP="004A7B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добавления в корзину — 11 950 550 событий (4,85%),</w:t>
      </w:r>
    </w:p>
    <w:p w14:paraId="0D2B79F4" w14:textId="77777777" w:rsidR="004A7BC4" w:rsidRPr="004A7BC4" w:rsidRDefault="004A7BC4" w:rsidP="004A7B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покупки — 4 114 282 событий (1,67%).</w:t>
      </w:r>
    </w:p>
    <w:p w14:paraId="57F24853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4CD8B52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Таким образом, выборка характеризуется значительной несбалансированностью классов. Доля событий, связанных с покупкой, составляет менее 2% от общего числа взаимодействий. Данный факт имеет принципиальное значение для последующего моделирования, поскольку требует применения метрик и методов, устойчивых к дисбалансу (например, ROC-AUC, PR-AUC, стратифицированное разбиение выборки).</w:t>
      </w:r>
    </w:p>
    <w:p w14:paraId="5C66833B" w14:textId="77777777" w:rsidR="004A7BC4" w:rsidRPr="004A7BC4" w:rsidRDefault="00900505" w:rsidP="004A7B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505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28C14972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63C56259" w14:textId="77777777" w:rsidR="004A7BC4" w:rsidRPr="004A7BC4" w:rsidRDefault="004A7BC4" w:rsidP="004A7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2.3. Анализ воронки конверсии</w:t>
      </w:r>
    </w:p>
    <w:p w14:paraId="265ACA19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407EBCA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понимания логики пользовательского поведения была построена воронка взаимодействия «просмотр → корзина → покупка».</w:t>
      </w:r>
    </w:p>
    <w:p w14:paraId="3EED5B88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2DD3E42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Получены следующие значения:</w:t>
      </w:r>
    </w:p>
    <w:p w14:paraId="6CAA3940" w14:textId="77777777" w:rsidR="004A7BC4" w:rsidRPr="004A7BC4" w:rsidRDefault="004A7BC4" w:rsidP="004A7B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конверсия view → cart ≈ 5,19%,</w:t>
      </w:r>
    </w:p>
    <w:p w14:paraId="59632CD5" w14:textId="77777777" w:rsidR="004A7BC4" w:rsidRPr="004A7BC4" w:rsidRDefault="004A7BC4" w:rsidP="004A7B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конверсия cart → purchase ≈ 34,43%,</w:t>
      </w:r>
    </w:p>
    <w:p w14:paraId="4CBBC676" w14:textId="77777777" w:rsidR="004A7BC4" w:rsidRPr="004A7BC4" w:rsidRDefault="004A7BC4" w:rsidP="004A7B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итоговая конверсия view → purchase ≈ 1,79%.</w:t>
      </w:r>
    </w:p>
    <w:p w14:paraId="5AB989F6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AEE8E31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Наиболее существенное «сужение» воронки происходит на этапе перехода от просмотра к добавлению в корзину. Это указывает на то, что именно данный переход является ключевым узким местом пользовательского пути.</w:t>
      </w:r>
    </w:p>
    <w:p w14:paraId="4CD1AFE3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3557940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Напротив, после добавления товара в корзину вероятность завершения покупки существенно возрастает. Это позволяет интерпретировать событие cart как индикатор сформированного намерения приобрести товар.</w:t>
      </w:r>
    </w:p>
    <w:p w14:paraId="2119414D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0EAF186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 образом, задача прогнозирования перехода пользователя от просмотра к активному действию (добавлению в корзину или покупке) представляется наиболее значимой с точки зрения оптимизации конверсии.</w:t>
      </w:r>
    </w:p>
    <w:p w14:paraId="3040979E" w14:textId="77777777" w:rsidR="004A7BC4" w:rsidRPr="004A7BC4" w:rsidRDefault="00900505" w:rsidP="004A7B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505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2D65600C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39055E7E" w14:textId="77777777" w:rsidR="004A7BC4" w:rsidRPr="004A7BC4" w:rsidRDefault="004A7BC4" w:rsidP="004A7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2.4. Покупательское поведение и лояльность аудитории</w:t>
      </w:r>
    </w:p>
    <w:p w14:paraId="1E06D64D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758093D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 общего числа пользователей 1 289 317 человек (около 12%) совершили хотя бы одну покупку за рассматриваемый период. Это означает, что подавляющее большинство аудитории (около 88%) ограничивается просмотрами и не переходит к транзакционным действиям.</w:t>
      </w:r>
    </w:p>
    <w:p w14:paraId="576724A7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AF5FD0D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Дополнительно установлено, что 661 602 пользователя (51,3% от числа покупателей) совершили повторные покупки. Данный результат свидетельствует о наличии устойчивого сегмента лояльных клиентов.</w:t>
      </w:r>
    </w:p>
    <w:p w14:paraId="39F9A228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8CEA87B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 образом, пользовательская база разделяется на три условные группы:</w:t>
      </w:r>
    </w:p>
    <w:p w14:paraId="6B224941" w14:textId="77777777" w:rsidR="004A7BC4" w:rsidRPr="004A7BC4" w:rsidRDefault="004A7BC4" w:rsidP="004A7B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пользователи без покупок,</w:t>
      </w:r>
    </w:p>
    <w:p w14:paraId="1D6122E6" w14:textId="77777777" w:rsidR="004A7BC4" w:rsidRPr="004A7BC4" w:rsidRDefault="004A7BC4" w:rsidP="004A7B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пользователи с единичной покупкой,</w:t>
      </w:r>
    </w:p>
    <w:p w14:paraId="328494C4" w14:textId="77777777" w:rsidR="004A7BC4" w:rsidRPr="004A7BC4" w:rsidRDefault="004A7BC4" w:rsidP="004A7B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пользователи с повторными покупками.</w:t>
      </w:r>
    </w:p>
    <w:p w14:paraId="234BFA6C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4D2C532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Наличие третьей группы подтверждает, что поведение части аудитории обладает стабильной повторяемостью, что открывает возможности для построения моделей персонализированных рекомендаций и прогнозирования повторного спроса.</w:t>
      </w:r>
    </w:p>
    <w:p w14:paraId="14E3DF57" w14:textId="77777777" w:rsidR="004A7BC4" w:rsidRPr="004A7BC4" w:rsidRDefault="00900505" w:rsidP="004A7B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505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C49E0C3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04FBCDB9" w14:textId="77777777" w:rsidR="004A7BC4" w:rsidRPr="004A7BC4" w:rsidRDefault="004A7BC4" w:rsidP="004A7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2.5. Неоднородность пользовательской активности</w:t>
      </w:r>
    </w:p>
    <w:p w14:paraId="4B0FDFC3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B082677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Распределение числа событий на пользователя демонстрирует выраженный «длинный хвост». Медианное значение числа событий на пользователя составляет 4, тогда как 90-й перцентиль достигает 55 событий, 95-й — 101, а 99-й — 281. Максимальное значение превышает 95 тысяч событий.</w:t>
      </w:r>
    </w:p>
    <w:p w14:paraId="42B868EA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79DB000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Дополнительно выявлена высокая концентрация активности:</w:t>
      </w:r>
    </w:p>
    <w:p w14:paraId="3775C56B" w14:textId="77777777" w:rsidR="004A7BC4" w:rsidRPr="004A7BC4" w:rsidRDefault="004A7BC4" w:rsidP="004A7B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верхний 1% пользователей генерирует 22,2% всех событий,</w:t>
      </w:r>
    </w:p>
    <w:p w14:paraId="3C237668" w14:textId="3726F190" w:rsidR="004A7BC4" w:rsidRPr="004A7BC4" w:rsidRDefault="004A7BC4" w:rsidP="004A7B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верхние </w:t>
      </w: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5%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– 49,9%</w:t>
      </w: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</w:p>
    <w:p w14:paraId="37825A22" w14:textId="2D773706" w:rsidR="004A7BC4" w:rsidRPr="004A7BC4" w:rsidRDefault="004A7BC4" w:rsidP="004A7B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верхние 10%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–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65,96%.</w:t>
      </w:r>
    </w:p>
    <w:p w14:paraId="1EC8A8D7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301F575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Фактически 10% аудитории формируют почти две трети всей активности платформы.</w:t>
      </w:r>
    </w:p>
    <w:p w14:paraId="4D324991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D3D2522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Данный результат свидетельствует о существенной неоднородности пользовательской базы и подтверждает наличие «heavy users», оказывающих непропорционально большое влияние на общую динамику взаимодействий.</w:t>
      </w:r>
    </w:p>
    <w:p w14:paraId="4DC63A94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8C22691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С точки зрения моделирования это означает необходимость учёта различий в поведении сегментов и осторожного подхода к формированию обучающей выборки.</w:t>
      </w:r>
    </w:p>
    <w:p w14:paraId="5B4E6A9B" w14:textId="77777777" w:rsidR="004A7BC4" w:rsidRPr="004A7BC4" w:rsidRDefault="00900505" w:rsidP="004A7B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505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561070E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6A5CA5A8" w14:textId="77777777" w:rsidR="004A7BC4" w:rsidRPr="004A7BC4" w:rsidRDefault="004A7BC4" w:rsidP="004A7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2.6. Зависимость вероятности покупки от уровня активности</w:t>
      </w:r>
    </w:p>
    <w:p w14:paraId="7F4C06B4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2AA1E14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Особое внимание было уделено анализу зависимости вероятности покупки от интенсивности взаимодействия пользователя с платформой.</w:t>
      </w:r>
    </w:p>
    <w:p w14:paraId="7350B450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A22531A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Пользователи были разделены на квинтили по числу совершённых событий. Получены следующие значения доли покупателей:</w:t>
      </w:r>
    </w:p>
    <w:p w14:paraId="11DAF7D2" w14:textId="77777777" w:rsidR="004A7BC4" w:rsidRPr="004A7BC4" w:rsidRDefault="004A7BC4" w:rsidP="004A7B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1-й квинтиль — 0,14%,</w:t>
      </w:r>
    </w:p>
    <w:p w14:paraId="1861F202" w14:textId="77777777" w:rsidR="004A7BC4" w:rsidRPr="004A7BC4" w:rsidRDefault="004A7BC4" w:rsidP="004A7B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2-й — 0,54%,</w:t>
      </w:r>
    </w:p>
    <w:p w14:paraId="008DEB7B" w14:textId="77777777" w:rsidR="004A7BC4" w:rsidRPr="004A7BC4" w:rsidRDefault="004A7BC4" w:rsidP="004A7B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3-й — 5,39%,</w:t>
      </w:r>
    </w:p>
    <w:p w14:paraId="5F8F7C5D" w14:textId="77777777" w:rsidR="004A7BC4" w:rsidRPr="004A7BC4" w:rsidRDefault="004A7BC4" w:rsidP="004A7B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4-й — 14,87%,</w:t>
      </w:r>
    </w:p>
    <w:p w14:paraId="1EA2DBD9" w14:textId="77777777" w:rsidR="004A7BC4" w:rsidRPr="004A7BC4" w:rsidRDefault="004A7BC4" w:rsidP="004A7B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5-й — 39,17%.</w:t>
      </w:r>
    </w:p>
    <w:p w14:paraId="68D8CD86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05188A3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Разница между крайними квинтилями превышает два порядка величины. Вероятность покупки у наиболее активных пользователей почти в 300 раз выше, чем у наименее активных.</w:t>
      </w:r>
    </w:p>
    <w:p w14:paraId="32F3B1D4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9F9D8F9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Проведённый z-тест различия долей показал статистическую значимость различий (z ≈ 1017, p-value ≈ 0), что подтверждает высокую предсказательную силу признаков, связанных с интенсивностью поведения.</w:t>
      </w:r>
    </w:p>
    <w:p w14:paraId="1105A2D3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0442E61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 образом, активность пользователя является одним из ключевых факторов, определяющих вероятность совершения покупки.</w:t>
      </w:r>
    </w:p>
    <w:p w14:paraId="72B3FBC7" w14:textId="77777777" w:rsidR="004A7BC4" w:rsidRPr="004A7BC4" w:rsidRDefault="00900505" w:rsidP="004A7B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505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2767679F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7DCEF880" w14:textId="77777777" w:rsidR="004A7BC4" w:rsidRPr="004A7BC4" w:rsidRDefault="004A7BC4" w:rsidP="004A7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2.7. Ценовая структура и её влияние на конверсию</w:t>
      </w:r>
    </w:p>
    <w:p w14:paraId="08204668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939B9A7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Распределение цен товаров характеризуется правосторонней асимметрией. Медианная цена составляет 164 денежных единицы, при этом 75% товаров дешевле 348, а 99% — дешевле 1688.</w:t>
      </w:r>
    </w:p>
    <w:p w14:paraId="16942C83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D7C6632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Анализ конверсии по ценовым децилям показал немонотонную зависимость вероятности покупки от уровня цены. Максимальная конверсия view → purchase наблюдается в среднем ценовом диапазоне (децили 5–7) и достигает примерно 3,05%, тогда как в нижнем ценовом сегменте она составляет около 1,5%.</w:t>
      </w:r>
    </w:p>
    <w:p w14:paraId="38696661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E896564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перехода cart → purchase наблюдается рост вероятности завершения транзакции от 32,8% в нижнем ценовом сегменте до более 50% в среднем диапазоне.</w:t>
      </w:r>
    </w:p>
    <w:p w14:paraId="3803721D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73D92A1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Проведённый χ²-тест (χ² ≈ 119 968, p-value ≈ 0) подтвердил статистическую значимость различий между ценовыми сегментами.</w:t>
      </w:r>
    </w:p>
    <w:p w14:paraId="102F315D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D856E76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Полученные результаты свидетельствуют о наличии ценовой чувствительности аудитории и различий в мотивации покупки в зависимости от стоимости товара.</w:t>
      </w:r>
    </w:p>
    <w:p w14:paraId="02EB8F1F" w14:textId="77777777" w:rsidR="004A7BC4" w:rsidRPr="004A7BC4" w:rsidRDefault="00900505" w:rsidP="004A7B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505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6CBC2CF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21DE3B1B" w14:textId="77777777" w:rsidR="004A7BC4" w:rsidRPr="004A7BC4" w:rsidRDefault="004A7BC4" w:rsidP="004A7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2.8. Временные характеристики переходов</w:t>
      </w:r>
    </w:p>
    <w:p w14:paraId="658E400B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D3BD08C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Анализ времени между последовательными этапами взаимодействия показал следующие закономерности:</w:t>
      </w:r>
    </w:p>
    <w:p w14:paraId="1ABC4994" w14:textId="77777777" w:rsidR="004A7BC4" w:rsidRPr="004A7BC4" w:rsidRDefault="004A7BC4" w:rsidP="004A7B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медианное время от просмотра до добавления в корзину составляет около 4,7 часа,</w:t>
      </w:r>
    </w:p>
    <w:p w14:paraId="445F6784" w14:textId="77777777" w:rsidR="004A7BC4" w:rsidRPr="004A7BC4" w:rsidRDefault="004A7BC4" w:rsidP="004A7B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медианное время от добавления в корзину до покупки — около 14 минут.</w:t>
      </w:r>
    </w:p>
    <w:p w14:paraId="1B130800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426A1B2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 образом, переход view → cart является более «растянутым» во времени, тогда как этап cart → purchase чаще происходит в рамках короткого интервала.</w:t>
      </w:r>
    </w:p>
    <w:p w14:paraId="1915FE43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BC80696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Высокие значения 90-го и 95-го перцентилей указывают на наличие длинного временного хвоста: часть пользователей возвращается к покупке спустя дни и даже недели.</w:t>
      </w:r>
    </w:p>
    <w:p w14:paraId="43B195D0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ECD2701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подтверждает, что поведение пользователей не ограничивается одной короткой сессией и может иметь отложенный характер.</w:t>
      </w:r>
    </w:p>
    <w:p w14:paraId="6F5E0E0D" w14:textId="77777777" w:rsidR="004A7BC4" w:rsidRPr="004A7BC4" w:rsidRDefault="00900505" w:rsidP="004A7B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505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1607A4E7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064E0DE0" w14:textId="77777777" w:rsidR="004A7BC4" w:rsidRPr="004A7BC4" w:rsidRDefault="004A7BC4" w:rsidP="004A7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2.9. Переходы между событиями</w:t>
      </w:r>
    </w:p>
    <w:p w14:paraId="7B76F54E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DADB49D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Матрица переходов между событиями демонстрирует доминирование последовательностей вида view → view, что отражает характерный процесс последовательного просмотра товаров.</w:t>
      </w:r>
    </w:p>
    <w:p w14:paraId="2BF6A781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084C9BE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Значительное число переходов cart → view указывает на возврат к просмотру после добавления товара в корзину, что может быть связано с поиском альтернатив или уточнением выбора.</w:t>
      </w:r>
    </w:p>
    <w:p w14:paraId="713C5B9B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393447E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Относительно небольшая доля прямых переходов view → purchase подтверждает важность промежуточных этапов воронки и необходимость учёта последовательности действий при построении модели.</w:t>
      </w:r>
    </w:p>
    <w:p w14:paraId="33B760ED" w14:textId="77777777" w:rsidR="004A7BC4" w:rsidRPr="004A7BC4" w:rsidRDefault="00900505" w:rsidP="004A7B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505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31981806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1D0E450F" w14:textId="77777777" w:rsidR="004A7BC4" w:rsidRPr="004A7BC4" w:rsidRDefault="004A7BC4" w:rsidP="004A7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2.10. Общие выводы</w:t>
      </w:r>
    </w:p>
    <w:p w14:paraId="477C0593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BEEA9EC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Разведочный анализ выявил следующие ключевые особенности данных:</w:t>
      </w:r>
    </w:p>
    <w:p w14:paraId="0DF9B48E" w14:textId="77777777" w:rsidR="004A7BC4" w:rsidRPr="004A7BC4" w:rsidRDefault="004A7BC4" w:rsidP="004A7B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Поведение пользователей крайне неоднородно, активность сконцентрирована у ограниченной доли аудитории.</w:t>
      </w:r>
    </w:p>
    <w:p w14:paraId="3F905BC4" w14:textId="77777777" w:rsidR="004A7BC4" w:rsidRPr="004A7BC4" w:rsidRDefault="004A7BC4" w:rsidP="004A7B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Интенсивность взаимодействия пользователя с платформой является сильнейшим предиктором вероятности покупки.</w:t>
      </w:r>
    </w:p>
    <w:p w14:paraId="201D402D" w14:textId="77777777" w:rsidR="004A7BC4" w:rsidRPr="004A7BC4" w:rsidRDefault="004A7BC4" w:rsidP="004A7B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Основное «узкое место» воронки находится на этапе перехода от просмотра к корзине.</w:t>
      </w:r>
    </w:p>
    <w:p w14:paraId="1D33CD40" w14:textId="77777777" w:rsidR="004A7BC4" w:rsidRPr="004A7BC4" w:rsidRDefault="004A7BC4" w:rsidP="004A7B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Вероятность покупки зависит от ценового сегмента товара.</w:t>
      </w:r>
    </w:p>
    <w:p w14:paraId="6755CDFD" w14:textId="77777777" w:rsidR="004A7BC4" w:rsidRPr="004A7BC4" w:rsidRDefault="004A7BC4" w:rsidP="004A7B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Поведение пользователей имеет выраженную последовательную и временную структуру.</w:t>
      </w:r>
    </w:p>
    <w:p w14:paraId="61CC5686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72036EE" w14:textId="77777777" w:rsidR="004A7BC4" w:rsidRPr="004A7BC4" w:rsidRDefault="004A7BC4" w:rsidP="004A7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A7BC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Полученные результаты формируют эмпирическую основу для последующего построения моделей машинного обучения, направленных на прогнозирование предпочтений пользователей и вероятности перехода к следующему этапу взаимодействия.</w:t>
      </w:r>
    </w:p>
    <w:p w14:paraId="72DB1A43" w14:textId="77777777" w:rsidR="004A7BC4" w:rsidRPr="004A7BC4" w:rsidRDefault="004A7BC4">
      <w:pPr>
        <w:rPr>
          <w:lang w:val="en-US"/>
        </w:rPr>
      </w:pPr>
    </w:p>
    <w:sectPr w:rsidR="004A7BC4" w:rsidRPr="004A7B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E6273"/>
    <w:multiLevelType w:val="multilevel"/>
    <w:tmpl w:val="21EC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C1108"/>
    <w:multiLevelType w:val="multilevel"/>
    <w:tmpl w:val="2FBC8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067CE1"/>
    <w:multiLevelType w:val="multilevel"/>
    <w:tmpl w:val="2DE6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F1EA2"/>
    <w:multiLevelType w:val="multilevel"/>
    <w:tmpl w:val="D220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44907"/>
    <w:multiLevelType w:val="multilevel"/>
    <w:tmpl w:val="A6C8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37D83"/>
    <w:multiLevelType w:val="multilevel"/>
    <w:tmpl w:val="AC5C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A10DFD"/>
    <w:multiLevelType w:val="multilevel"/>
    <w:tmpl w:val="CF44D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620744"/>
    <w:multiLevelType w:val="multilevel"/>
    <w:tmpl w:val="E5A8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735775">
    <w:abstractNumId w:val="0"/>
  </w:num>
  <w:num w:numId="2" w16cid:durableId="348147026">
    <w:abstractNumId w:val="4"/>
  </w:num>
  <w:num w:numId="3" w16cid:durableId="2041012173">
    <w:abstractNumId w:val="7"/>
  </w:num>
  <w:num w:numId="4" w16cid:durableId="1667786995">
    <w:abstractNumId w:val="1"/>
  </w:num>
  <w:num w:numId="5" w16cid:durableId="1670863454">
    <w:abstractNumId w:val="2"/>
  </w:num>
  <w:num w:numId="6" w16cid:durableId="1880051154">
    <w:abstractNumId w:val="3"/>
  </w:num>
  <w:num w:numId="7" w16cid:durableId="1138112203">
    <w:abstractNumId w:val="5"/>
  </w:num>
  <w:num w:numId="8" w16cid:durableId="10212000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BC4"/>
    <w:rsid w:val="002E695B"/>
    <w:rsid w:val="004A7BC4"/>
    <w:rsid w:val="00900505"/>
    <w:rsid w:val="00E2252A"/>
    <w:rsid w:val="00E73881"/>
    <w:rsid w:val="00EA6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1875A"/>
  <w15:chartTrackingRefBased/>
  <w15:docId w15:val="{B46E90AE-2C14-7640-8192-D7E6B9EF3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7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A7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7B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7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7B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7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7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7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7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7B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A7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7B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7B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7B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7B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7B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7B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7B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7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7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7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7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7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7B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7B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7B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7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7B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7BC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4A7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4A7BC4"/>
  </w:style>
  <w:style w:type="paragraph" w:customStyle="1" w:styleId="p2">
    <w:name w:val="p2"/>
    <w:basedOn w:val="a"/>
    <w:rsid w:val="004A7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3">
    <w:name w:val="p3"/>
    <w:basedOn w:val="a"/>
    <w:rsid w:val="004A7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2080</Words>
  <Characters>6242</Characters>
  <Application>Microsoft Office Word</Application>
  <DocSecurity>0</DocSecurity>
  <Lines>1040</Lines>
  <Paragraphs>1188</Paragraphs>
  <ScaleCrop>false</ScaleCrop>
  <Company/>
  <LinksUpToDate>false</LinksUpToDate>
  <CharactersWithSpaces>7134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2026-03-01T19:03:00Z</dcterms:created>
  <dcterms:modified xsi:type="dcterms:W3CDTF">2026-03-01T19:06:00Z</dcterms:modified>
</cp:coreProperties>
</file>