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08A0B" w14:textId="0459D097" w:rsidR="004E0D09" w:rsidRPr="004E0D09" w:rsidRDefault="004E0D09" w:rsidP="004E0D09">
      <w:pPr>
        <w:pStyle w:val="1"/>
        <w:rPr>
          <w:rFonts w:ascii="Times New Roman" w:eastAsia="Times New Roman" w:hAnsi="Times New Roman" w:cs="Times New Roman"/>
          <w:color w:val="000000" w:themeColor="text1"/>
          <w:sz w:val="24"/>
          <w:szCs w:val="24"/>
          <w:lang w:val="en-US" w:eastAsia="ru-RU"/>
        </w:rPr>
      </w:pPr>
      <w:r w:rsidRPr="004E0D09">
        <w:rPr>
          <w:rFonts w:ascii="Times New Roman" w:eastAsia="Times New Roman" w:hAnsi="Times New Roman" w:cs="Times New Roman"/>
          <w:color w:val="000000" w:themeColor="text1"/>
          <w:sz w:val="24"/>
          <w:szCs w:val="24"/>
          <w:lang w:eastAsia="ru-RU"/>
        </w:rPr>
        <w:t>ГЛАВА 1. ОБЗОР ЛИТЕРАТУРЫ</w:t>
      </w:r>
    </w:p>
    <w:p w14:paraId="1AB054FB" w14:textId="1F64D5B8" w:rsidR="004E0D09" w:rsidRPr="004E0D09" w:rsidRDefault="004E0D09" w:rsidP="004E0D09">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r w:rsidRPr="004E0D09">
        <w:rPr>
          <w:rFonts w:ascii="Times New Roman" w:eastAsia="Times New Roman" w:hAnsi="Times New Roman" w:cs="Times New Roman"/>
          <w:b/>
          <w:bCs/>
          <w:kern w:val="0"/>
          <w:sz w:val="28"/>
          <w:szCs w:val="28"/>
          <w:lang w:eastAsia="ru-RU"/>
          <w14:ligatures w14:val="none"/>
        </w:rPr>
        <w:t>Прогнозирование предпочтений пользователей в электронной коммерции</w:t>
      </w:r>
    </w:p>
    <w:p w14:paraId="4327C48A" w14:textId="7A67B255" w:rsidR="004E0D09" w:rsidRPr="004E0D09" w:rsidRDefault="004E0D09" w:rsidP="004E0D09">
      <w:pPr>
        <w:pStyle w:val="a5"/>
        <w:rPr>
          <w:rFonts w:ascii="Times New Roman" w:eastAsia="Times New Roman" w:hAnsi="Times New Roman" w:cs="Times New Roman"/>
          <w:color w:val="000000" w:themeColor="text1"/>
          <w:sz w:val="24"/>
          <w:szCs w:val="24"/>
          <w:lang w:val="en-US" w:eastAsia="ru-RU"/>
        </w:rPr>
      </w:pPr>
      <w:r w:rsidRPr="004E0D09">
        <w:rPr>
          <w:rFonts w:ascii="Times New Roman" w:eastAsia="Times New Roman" w:hAnsi="Times New Roman" w:cs="Times New Roman"/>
          <w:color w:val="000000" w:themeColor="text1"/>
          <w:sz w:val="24"/>
          <w:szCs w:val="24"/>
          <w:lang w:eastAsia="ru-RU"/>
        </w:rPr>
        <w:t>1.1. Поведение пользователей в сервисах электронной коммерции как объект анализа</w:t>
      </w:r>
    </w:p>
    <w:p w14:paraId="43AA41DE" w14:textId="77315372"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Современные сервисы электронной коммерции функционируют в условиях высокой конкуренции и информационной насыщенности, что делает задачу понимания и прогнозирования поведения пользователей одной из ключевых для повышения эффективности бизнеса. Пользовательское поведение в интернет-магазинах формируется в результате последовательных взаимодействий с платформой и отражается в логах событий, включающих просмотры карточек товаров, добавления в корзину, удаления товаров из корзины и совершённые покупки.</w:t>
      </w:r>
    </w:p>
    <w:p w14:paraId="26CA6764" w14:textId="3A5B4442"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В отличие от традиционных офлайн-каналов, цифровые платформы позволяют фиксировать каждое действие пользователя с высокой временной точностью. Это создаёт предпосылки для построения детализированных моделей поведения, однако одновременно приводит к появлению больших объёмов разреженных и шумных данных. В результате предпочтения пользователей наблюдаются не напрямую, а через косвенные поведенческие сигналы, требующие корректной интерпретации.</w:t>
      </w:r>
    </w:p>
    <w:p w14:paraId="50C4AD7C" w14:textId="432ADBA6"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В рамках данной работы предпочтения пользователя рассматриваются как скрытая характеристика, проявляющаяся через вероятность перехода между этапами пользовательской воронки. Такой подход соответствует реальным бизнес-сценариям электронной коммерции, где важен не только факт покупки, но и вероятность достижения следующего шага взаимодействия.</w:t>
      </w:r>
    </w:p>
    <w:p w14:paraId="50C224C2" w14:textId="5E393942" w:rsidR="004E0D09" w:rsidRPr="004E0D09" w:rsidRDefault="004E0D09" w:rsidP="004E0D09">
      <w:pPr>
        <w:pStyle w:val="a5"/>
        <w:rPr>
          <w:rFonts w:ascii="Times New Roman" w:eastAsia="Times New Roman" w:hAnsi="Times New Roman" w:cs="Times New Roman"/>
          <w:color w:val="000000" w:themeColor="text1"/>
          <w:sz w:val="24"/>
          <w:szCs w:val="24"/>
          <w:lang w:eastAsia="ru-RU"/>
        </w:rPr>
      </w:pPr>
      <w:r w:rsidRPr="004E0D09">
        <w:rPr>
          <w:rFonts w:ascii="Times New Roman" w:eastAsia="Times New Roman" w:hAnsi="Times New Roman" w:cs="Times New Roman"/>
          <w:color w:val="000000" w:themeColor="text1"/>
          <w:sz w:val="24"/>
          <w:szCs w:val="24"/>
          <w:lang w:eastAsia="ru-RU"/>
        </w:rPr>
        <w:t>1.2. Неявная обратная связь и её специфика</w:t>
      </w:r>
    </w:p>
    <w:p w14:paraId="4B58355B" w14:textId="54567D88"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Большинство данных, используемых в задачах анализа поведения пользователей в электронной коммерции, относятся к классу неявной обратной связи. К таким данным относятся действия, не содержащие прямого выражения предпочтения, но косвенно указывающие на интерес пользователя. Просмотр товара может свидетельствовать о слабом интересе, добавление в корзину — о более сильном намерении, а покупка — о реализованном предпочтении.</w:t>
      </w:r>
    </w:p>
    <w:p w14:paraId="35C3E4C7" w14:textId="151A9B1B"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Ключевая особенность неявной обратной связи заключается в отсутствии достоверных отрицательных примеров. Отсутствие покупки или клика не обязательно означает негативное отношение пользователя к товару, поскольку решение может быть отложено или обусловлено внешними факторами. Это обстоятельство существенно усложняет постановку задачи обучения и требует использования специальных подходов к формированию обучающих выборок и функций потерь.</w:t>
      </w:r>
    </w:p>
    <w:p w14:paraId="402E362E" w14:textId="4B748EAD"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В научных исследованиях неявная обратная связь часто моделируется как бинарный или взвешенный сигнал, где положительные наблюдения интерпретируются с различной степенью уверенности. Такой подход позволяет учитывать неоднородность поведенческих действий и повышает устойчивость моделей к шуму в данных.</w:t>
      </w:r>
    </w:p>
    <w:p w14:paraId="2C26D935" w14:textId="51927018" w:rsidR="004E0D09" w:rsidRPr="004E0D09" w:rsidRDefault="004E0D09" w:rsidP="004E0D09">
      <w:pPr>
        <w:spacing w:before="100" w:beforeAutospacing="1" w:after="100" w:afterAutospacing="1" w:line="240" w:lineRule="auto"/>
        <w:outlineLvl w:val="1"/>
        <w:rPr>
          <w:rFonts w:ascii="Times New Roman" w:eastAsia="Times New Roman" w:hAnsi="Times New Roman" w:cs="Times New Roman"/>
          <w:color w:val="000000" w:themeColor="text1"/>
          <w:spacing w:val="15"/>
          <w:lang w:eastAsia="ru-RU"/>
        </w:rPr>
      </w:pPr>
      <w:r w:rsidRPr="004E0D09">
        <w:rPr>
          <w:rFonts w:ascii="Times New Roman" w:eastAsia="Times New Roman" w:hAnsi="Times New Roman" w:cs="Times New Roman"/>
          <w:color w:val="000000" w:themeColor="text1"/>
          <w:spacing w:val="15"/>
          <w:lang w:eastAsia="ru-RU"/>
        </w:rPr>
        <w:t>1.3. Постановки задач прогнозирования предпочтений</w:t>
      </w:r>
    </w:p>
    <w:p w14:paraId="4336FB47" w14:textId="79E31C1C"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В задачах электронной коммерции прогнозирование предпочтений пользователей может формулироваться несколькими способами. Наиболее распространённой является постановка задачи бинарной классификации, в рамках которой необходимо оценить вероятность совершения пользователем целевого действия при заданных характеристиках пользователя, товара и контекста.</w:t>
      </w:r>
    </w:p>
    <w:p w14:paraId="0F5FAF6D" w14:textId="18BA64BF"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Альтернативной постановкой является задача ранжирования, где модель должна упорядочить набор товаров или событий по степени релевантности для конкретного пользователя. Такой подход чаще используется в рекомендательных системах, однако он также применим для анализа вероятностей переходов между этапами воронки.</w:t>
      </w:r>
    </w:p>
    <w:p w14:paraId="0D2E0098" w14:textId="3ED6AEF5"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lastRenderedPageBreak/>
        <w:t>В контексте данной выпускной квалификационной работы предпочтения пользователей формализуются через вероятность перехода между последовательными событиями. В частности, рассматриваются переходы от просмотра товара к добавлению в корзину и от добавления в корзину к покупке. Подобная постановка позволяет явно учитывать структуру пользовательского пути и использовать исторические данные о поведении пользователя для прогнозирования его дальнейших действий.</w:t>
      </w:r>
    </w:p>
    <w:p w14:paraId="08B26272" w14:textId="4D02B4B6" w:rsidR="004E0D09" w:rsidRPr="004E0D09" w:rsidRDefault="004E0D09" w:rsidP="004E0D09">
      <w:pPr>
        <w:spacing w:before="100" w:beforeAutospacing="1" w:after="100" w:afterAutospacing="1" w:line="240" w:lineRule="auto"/>
        <w:outlineLvl w:val="1"/>
        <w:rPr>
          <w:rFonts w:ascii="Times New Roman" w:eastAsia="Times New Roman" w:hAnsi="Times New Roman" w:cs="Times New Roman"/>
          <w:color w:val="000000" w:themeColor="text1"/>
          <w:spacing w:val="15"/>
          <w:lang w:eastAsia="ru-RU"/>
        </w:rPr>
      </w:pPr>
      <w:r w:rsidRPr="004E0D09">
        <w:rPr>
          <w:rFonts w:ascii="Times New Roman" w:eastAsia="Times New Roman" w:hAnsi="Times New Roman" w:cs="Times New Roman"/>
          <w:color w:val="000000" w:themeColor="text1"/>
          <w:spacing w:val="15"/>
          <w:lang w:eastAsia="ru-RU"/>
        </w:rPr>
        <w:t>1.4. Базовые модели машинного обучения</w:t>
      </w:r>
    </w:p>
    <w:p w14:paraId="0541D4B1" w14:textId="7BDB7D6F"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При решении задач прогнозирования предпочтений пользователей важную роль играют базовые модели, используемые в качестве отправной точки для сравнения с более сложными алгоритмами. Одной из таких моделей является логистическая регрессия, широко применяемая в задачах бинарной классификации.</w:t>
      </w:r>
    </w:p>
    <w:p w14:paraId="33DCACE5" w14:textId="2E680AEE"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Логистическая регрессия обладает рядом преимуществ, включая интерпретируемость коэффициентов и простоту реализации. Она позволяет анализировать влияние отдельных признаков на вероятность целевого события и часто используется для первичной оценки информативности признакового пространства. Однако линейная природа модели ограничивает её способность учитывать сложные нелинейные зависимости между признаками.</w:t>
      </w:r>
    </w:p>
    <w:p w14:paraId="6F119AC5" w14:textId="6090D59D"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Более гибким подходом являются модели, учитывающие взаимодействия признаков. В задачах электронной коммерции поведение пользователя часто определяется сочетанием характеристик товара, пользовательской истории и контекста. Модели, способные учитывать такие взаимодействия, демонстрируют более высокое качество по сравнению с линейными методами.</w:t>
      </w:r>
    </w:p>
    <w:p w14:paraId="621B1B1B" w14:textId="2F5FD582" w:rsidR="004E0D09" w:rsidRPr="004E0D09" w:rsidRDefault="004E0D09" w:rsidP="004E0D09">
      <w:pPr>
        <w:spacing w:before="100" w:beforeAutospacing="1" w:after="100" w:afterAutospacing="1" w:line="240" w:lineRule="auto"/>
        <w:outlineLvl w:val="1"/>
        <w:rPr>
          <w:rFonts w:ascii="Times New Roman" w:eastAsia="Times New Roman" w:hAnsi="Times New Roman" w:cs="Times New Roman"/>
          <w:color w:val="000000" w:themeColor="text1"/>
          <w:spacing w:val="15"/>
          <w:lang w:eastAsia="ru-RU"/>
        </w:rPr>
      </w:pPr>
      <w:r w:rsidRPr="004E0D09">
        <w:rPr>
          <w:rFonts w:ascii="Times New Roman" w:eastAsia="Times New Roman" w:hAnsi="Times New Roman" w:cs="Times New Roman"/>
          <w:color w:val="000000" w:themeColor="text1"/>
          <w:spacing w:val="15"/>
          <w:lang w:eastAsia="ru-RU"/>
        </w:rPr>
        <w:t xml:space="preserve">1.5. </w:t>
      </w:r>
      <w:proofErr w:type="spellStart"/>
      <w:r w:rsidRPr="004E0D09">
        <w:rPr>
          <w:rFonts w:ascii="Times New Roman" w:eastAsia="Times New Roman" w:hAnsi="Times New Roman" w:cs="Times New Roman"/>
          <w:color w:val="000000" w:themeColor="text1"/>
          <w:spacing w:val="15"/>
          <w:lang w:eastAsia="ru-RU"/>
        </w:rPr>
        <w:t>Факторизационные</w:t>
      </w:r>
      <w:proofErr w:type="spellEnd"/>
      <w:r w:rsidRPr="004E0D09">
        <w:rPr>
          <w:rFonts w:ascii="Times New Roman" w:eastAsia="Times New Roman" w:hAnsi="Times New Roman" w:cs="Times New Roman"/>
          <w:color w:val="000000" w:themeColor="text1"/>
          <w:spacing w:val="15"/>
          <w:lang w:eastAsia="ru-RU"/>
        </w:rPr>
        <w:t xml:space="preserve"> и табличные модели</w:t>
      </w:r>
    </w:p>
    <w:p w14:paraId="2438968D" w14:textId="0A8E9E2B"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 xml:space="preserve">Для работы с </w:t>
      </w:r>
      <w:proofErr w:type="spellStart"/>
      <w:r w:rsidRPr="004E0D09">
        <w:rPr>
          <w:rFonts w:ascii="Times New Roman" w:eastAsia="Times New Roman" w:hAnsi="Times New Roman" w:cs="Times New Roman"/>
          <w:kern w:val="0"/>
          <w:sz w:val="20"/>
          <w:szCs w:val="20"/>
          <w:lang w:eastAsia="ru-RU"/>
          <w14:ligatures w14:val="none"/>
        </w:rPr>
        <w:t>высокоразмерными</w:t>
      </w:r>
      <w:proofErr w:type="spellEnd"/>
      <w:r w:rsidRPr="004E0D09">
        <w:rPr>
          <w:rFonts w:ascii="Times New Roman" w:eastAsia="Times New Roman" w:hAnsi="Times New Roman" w:cs="Times New Roman"/>
          <w:kern w:val="0"/>
          <w:sz w:val="20"/>
          <w:szCs w:val="20"/>
          <w:lang w:eastAsia="ru-RU"/>
          <w14:ligatures w14:val="none"/>
        </w:rPr>
        <w:t xml:space="preserve"> и разреженными данными в рекомендательных и e-</w:t>
      </w:r>
      <w:proofErr w:type="spellStart"/>
      <w:r w:rsidRPr="004E0D09">
        <w:rPr>
          <w:rFonts w:ascii="Times New Roman" w:eastAsia="Times New Roman" w:hAnsi="Times New Roman" w:cs="Times New Roman"/>
          <w:kern w:val="0"/>
          <w:sz w:val="20"/>
          <w:szCs w:val="20"/>
          <w:lang w:eastAsia="ru-RU"/>
          <w14:ligatures w14:val="none"/>
        </w:rPr>
        <w:t>commerce</w:t>
      </w:r>
      <w:proofErr w:type="spellEnd"/>
      <w:r w:rsidRPr="004E0D09">
        <w:rPr>
          <w:rFonts w:ascii="Times New Roman" w:eastAsia="Times New Roman" w:hAnsi="Times New Roman" w:cs="Times New Roman"/>
          <w:kern w:val="0"/>
          <w:sz w:val="20"/>
          <w:szCs w:val="20"/>
          <w:lang w:eastAsia="ru-RU"/>
          <w14:ligatures w14:val="none"/>
        </w:rPr>
        <w:t xml:space="preserve"> задачах широко применяются </w:t>
      </w:r>
      <w:proofErr w:type="spellStart"/>
      <w:r w:rsidRPr="004E0D09">
        <w:rPr>
          <w:rFonts w:ascii="Times New Roman" w:eastAsia="Times New Roman" w:hAnsi="Times New Roman" w:cs="Times New Roman"/>
          <w:kern w:val="0"/>
          <w:sz w:val="20"/>
          <w:szCs w:val="20"/>
          <w:lang w:eastAsia="ru-RU"/>
          <w14:ligatures w14:val="none"/>
        </w:rPr>
        <w:t>факторизационные</w:t>
      </w:r>
      <w:proofErr w:type="spellEnd"/>
      <w:r w:rsidRPr="004E0D09">
        <w:rPr>
          <w:rFonts w:ascii="Times New Roman" w:eastAsia="Times New Roman" w:hAnsi="Times New Roman" w:cs="Times New Roman"/>
          <w:kern w:val="0"/>
          <w:sz w:val="20"/>
          <w:szCs w:val="20"/>
          <w:lang w:eastAsia="ru-RU"/>
          <w14:ligatures w14:val="none"/>
        </w:rPr>
        <w:t xml:space="preserve"> подходы. Они позволяют аппроксимировать взаимодействия между пользователями и товарами через низкоразмерные латентные представления.</w:t>
      </w:r>
    </w:p>
    <w:p w14:paraId="222B941E" w14:textId="1C56851B"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 xml:space="preserve">Развитием данных идей стали </w:t>
      </w:r>
      <w:proofErr w:type="spellStart"/>
      <w:r w:rsidRPr="004E0D09">
        <w:rPr>
          <w:rFonts w:ascii="Times New Roman" w:eastAsia="Times New Roman" w:hAnsi="Times New Roman" w:cs="Times New Roman"/>
          <w:kern w:val="0"/>
          <w:sz w:val="20"/>
          <w:szCs w:val="20"/>
          <w:lang w:eastAsia="ru-RU"/>
          <w14:ligatures w14:val="none"/>
        </w:rPr>
        <w:t>факторизационные</w:t>
      </w:r>
      <w:proofErr w:type="spellEnd"/>
      <w:r w:rsidRPr="004E0D09">
        <w:rPr>
          <w:rFonts w:ascii="Times New Roman" w:eastAsia="Times New Roman" w:hAnsi="Times New Roman" w:cs="Times New Roman"/>
          <w:kern w:val="0"/>
          <w:sz w:val="20"/>
          <w:szCs w:val="20"/>
          <w:lang w:eastAsia="ru-RU"/>
          <w14:ligatures w14:val="none"/>
        </w:rPr>
        <w:t xml:space="preserve"> машины, которые позволяют учитывать попарные взаимодействия признаков без явного задания структуры модели. Это особенно актуально для электронной коммерции, где данные включают большое количество категориальных признаков с высокой кардинальностью, таких как идентификаторы пользователей, товаров, брендов и категорий.</w:t>
      </w:r>
    </w:p>
    <w:p w14:paraId="6C219CF2" w14:textId="491F2140"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proofErr w:type="spellStart"/>
      <w:r w:rsidRPr="004E0D09">
        <w:rPr>
          <w:rFonts w:ascii="Times New Roman" w:eastAsia="Times New Roman" w:hAnsi="Times New Roman" w:cs="Times New Roman"/>
          <w:kern w:val="0"/>
          <w:sz w:val="20"/>
          <w:szCs w:val="20"/>
          <w:lang w:eastAsia="ru-RU"/>
          <w14:ligatures w14:val="none"/>
        </w:rPr>
        <w:t>Факторизационные</w:t>
      </w:r>
      <w:proofErr w:type="spellEnd"/>
      <w:r w:rsidRPr="004E0D09">
        <w:rPr>
          <w:rFonts w:ascii="Times New Roman" w:eastAsia="Times New Roman" w:hAnsi="Times New Roman" w:cs="Times New Roman"/>
          <w:kern w:val="0"/>
          <w:sz w:val="20"/>
          <w:szCs w:val="20"/>
          <w:lang w:eastAsia="ru-RU"/>
          <w14:ligatures w14:val="none"/>
        </w:rPr>
        <w:t xml:space="preserve"> модели часто используются как сильные </w:t>
      </w:r>
      <w:proofErr w:type="spellStart"/>
      <w:r w:rsidRPr="004E0D09">
        <w:rPr>
          <w:rFonts w:ascii="Times New Roman" w:eastAsia="Times New Roman" w:hAnsi="Times New Roman" w:cs="Times New Roman"/>
          <w:kern w:val="0"/>
          <w:sz w:val="20"/>
          <w:szCs w:val="20"/>
          <w:lang w:eastAsia="ru-RU"/>
          <w14:ligatures w14:val="none"/>
        </w:rPr>
        <w:t>baseline</w:t>
      </w:r>
      <w:proofErr w:type="spellEnd"/>
      <w:r w:rsidRPr="004E0D09">
        <w:rPr>
          <w:rFonts w:ascii="Times New Roman" w:eastAsia="Times New Roman" w:hAnsi="Times New Roman" w:cs="Times New Roman"/>
          <w:kern w:val="0"/>
          <w:sz w:val="20"/>
          <w:szCs w:val="20"/>
          <w:lang w:eastAsia="ru-RU"/>
          <w14:ligatures w14:val="none"/>
        </w:rPr>
        <w:t>-решения, поскольку они обеспечивают разумный баланс между качеством и вычислительной сложностью. Кроме того, такие модели хорошо масштабируются и применимы к большим объёмам данных.</w:t>
      </w:r>
    </w:p>
    <w:p w14:paraId="66E93D48" w14:textId="4A4B6ADE" w:rsidR="004E0D09" w:rsidRPr="004E0D09" w:rsidRDefault="004E0D09" w:rsidP="004E0D09">
      <w:pPr>
        <w:spacing w:before="100" w:beforeAutospacing="1" w:after="100" w:afterAutospacing="1" w:line="240" w:lineRule="auto"/>
        <w:outlineLvl w:val="1"/>
        <w:rPr>
          <w:rFonts w:ascii="Times New Roman" w:eastAsia="Times New Roman" w:hAnsi="Times New Roman" w:cs="Times New Roman"/>
          <w:color w:val="000000" w:themeColor="text1"/>
          <w:spacing w:val="15"/>
          <w:lang w:eastAsia="ru-RU"/>
        </w:rPr>
      </w:pPr>
      <w:r w:rsidRPr="004E0D09">
        <w:rPr>
          <w:rFonts w:ascii="Times New Roman" w:eastAsia="Times New Roman" w:hAnsi="Times New Roman" w:cs="Times New Roman"/>
          <w:color w:val="000000" w:themeColor="text1"/>
          <w:spacing w:val="15"/>
          <w:lang w:eastAsia="ru-RU"/>
        </w:rPr>
        <w:t>1.6. Метрики оценки качества моделей</w:t>
      </w:r>
    </w:p>
    <w:p w14:paraId="794FEB58" w14:textId="4A4F9F97"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Выбор метрик оценки качества является критически важным этапом при анализе моделей прогнозирования предпочтений. В задачах с сильным дисбалансом классов, характерным для электронной коммерции, стандартные метрики точности оказываются малоинформативными.</w:t>
      </w:r>
    </w:p>
    <w:p w14:paraId="6D6DEBB6" w14:textId="6BAA2EA2"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Одной из наиболее распространённых метрик является площадь под ROC-кривой, которая отражает способность модели различать положительные и отрицательные примеры. Эта метрика устойчива к дисбалансу классов и широко используется в задачах прогнозирования кликов и покупок.</w:t>
      </w:r>
    </w:p>
    <w:p w14:paraId="596F7205" w14:textId="7ACBE154"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В случае, когда модель используется для ранжирования, применяются метрики, учитывающие порядок элементов в выдаче. Такие метрики позволяют оценить качество рекомендаций с точки зрения пользовательского опыта и часто используются при сравнении различных подходов.</w:t>
      </w:r>
    </w:p>
    <w:p w14:paraId="04F50D7D" w14:textId="0B816745"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Дополнительно, при интерпретации результатов важна корректность предсказываемых вероятностей. Для этого используются методы анализа калибровки моделей, позволяющие оценить соответствие предсказанных вероятностей фактическим частотам событий.</w:t>
      </w:r>
    </w:p>
    <w:p w14:paraId="1F83FCF2" w14:textId="7E637BAF" w:rsidR="004E0D09" w:rsidRPr="004E0D09" w:rsidRDefault="004E0D09" w:rsidP="004E0D09">
      <w:pPr>
        <w:spacing w:before="100" w:beforeAutospacing="1" w:after="100" w:afterAutospacing="1" w:line="240" w:lineRule="auto"/>
        <w:outlineLvl w:val="1"/>
        <w:rPr>
          <w:rFonts w:ascii="Times New Roman" w:eastAsia="Times New Roman" w:hAnsi="Times New Roman" w:cs="Times New Roman"/>
          <w:color w:val="000000" w:themeColor="text1"/>
          <w:spacing w:val="15"/>
          <w:lang w:eastAsia="ru-RU"/>
        </w:rPr>
      </w:pPr>
      <w:r w:rsidRPr="004E0D09">
        <w:rPr>
          <w:rFonts w:ascii="Times New Roman" w:eastAsia="Times New Roman" w:hAnsi="Times New Roman" w:cs="Times New Roman"/>
          <w:color w:val="000000" w:themeColor="text1"/>
          <w:spacing w:val="15"/>
          <w:lang w:eastAsia="ru-RU"/>
        </w:rPr>
        <w:t>1.7. Учёт временной динамики предпочтений</w:t>
      </w:r>
    </w:p>
    <w:p w14:paraId="74B7FF70" w14:textId="498CDC90"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lastRenderedPageBreak/>
        <w:t>Пользовательские предпочтения в электронной коммерции не являются статичными и могут изменяться во времени под влиянием различных факторов, включая сезонность, маркетинговые активности и индивидуальные обстоятельства. Игнорирование временной динамики может приводить к снижению качества прогнозирования.</w:t>
      </w:r>
    </w:p>
    <w:p w14:paraId="19CA6546" w14:textId="3BF6610C"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Для учёта временных изменений используются различные подходы, включая введение временных признаков и построение агрегатов по скользящим окнам. Такие методы позволяют учитывать недавнюю активность пользователя и придавать больший вес последним действиям.</w:t>
      </w:r>
    </w:p>
    <w:p w14:paraId="6F27458F" w14:textId="72372E6F"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Кроме того, временная структура данных позволяет моделировать последовательности действий пользователя. Это особенно важно для анализа переходов между этапами пользовательской воронки, где порядок событий играет ключевую роль.</w:t>
      </w:r>
    </w:p>
    <w:p w14:paraId="4D8FDC4D" w14:textId="49FD4917" w:rsidR="004E0D09" w:rsidRPr="004E0D09" w:rsidRDefault="004E0D09" w:rsidP="004E0D09">
      <w:pPr>
        <w:spacing w:before="100" w:beforeAutospacing="1" w:after="100" w:afterAutospacing="1" w:line="240" w:lineRule="auto"/>
        <w:outlineLvl w:val="1"/>
        <w:rPr>
          <w:rFonts w:ascii="Times New Roman" w:eastAsia="Times New Roman" w:hAnsi="Times New Roman" w:cs="Times New Roman"/>
          <w:color w:val="000000" w:themeColor="text1"/>
          <w:spacing w:val="15"/>
          <w:lang w:eastAsia="ru-RU"/>
        </w:rPr>
      </w:pPr>
      <w:r w:rsidRPr="004E0D09">
        <w:rPr>
          <w:rFonts w:ascii="Times New Roman" w:eastAsia="Times New Roman" w:hAnsi="Times New Roman" w:cs="Times New Roman"/>
          <w:color w:val="000000" w:themeColor="text1"/>
          <w:spacing w:val="15"/>
          <w:lang w:eastAsia="ru-RU"/>
        </w:rPr>
        <w:t>1.8. Последовательные и сессионные модели</w:t>
      </w:r>
    </w:p>
    <w:p w14:paraId="537834F2" w14:textId="14E9DF6F"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Для более точного моделирования поведения пользователей применяются последовательные модели, учитывающие историю действий пользователя как упорядоченную последовательность. Такие модели позволяют выявлять краткосрочные и долгосрочные паттерны поведения.</w:t>
      </w:r>
    </w:p>
    <w:p w14:paraId="5BEE6572" w14:textId="6B2D6443"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В задачах электронной коммерции последовательные модели используются для анализа сессий пользователей и прогнозирования следующего действия. Они особенно эффективны в случаях, когда решения принимаются в рамках одной или нескольких коротких сессий, а интересы пользователя могут быстро меняться.</w:t>
      </w:r>
    </w:p>
    <w:p w14:paraId="71B2BDD3" w14:textId="2106E82E"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Несмотря на высокое качество, последовательные модели обладают высокой вычислительной сложностью и требуют значительных ресурсов для обучения. В практических сценариях часто используется компромиссный подход, сочетающий агрегированные признаки истории с элементами последовательного моделирования.</w:t>
      </w:r>
    </w:p>
    <w:p w14:paraId="54C2703E" w14:textId="2105EE80" w:rsidR="004E0D09" w:rsidRPr="004E0D09" w:rsidRDefault="004E0D09" w:rsidP="004E0D09">
      <w:pPr>
        <w:spacing w:before="100" w:beforeAutospacing="1" w:after="100" w:afterAutospacing="1" w:line="240" w:lineRule="auto"/>
        <w:outlineLvl w:val="1"/>
        <w:rPr>
          <w:rFonts w:ascii="Times New Roman" w:eastAsia="Times New Roman" w:hAnsi="Times New Roman" w:cs="Times New Roman"/>
          <w:color w:val="000000" w:themeColor="text1"/>
          <w:spacing w:val="15"/>
          <w:lang w:eastAsia="ru-RU"/>
        </w:rPr>
      </w:pPr>
      <w:r w:rsidRPr="004E0D09">
        <w:rPr>
          <w:rFonts w:ascii="Times New Roman" w:eastAsia="Times New Roman" w:hAnsi="Times New Roman" w:cs="Times New Roman"/>
          <w:color w:val="000000" w:themeColor="text1"/>
          <w:spacing w:val="15"/>
          <w:lang w:eastAsia="ru-RU"/>
        </w:rPr>
        <w:t xml:space="preserve">1.9. Современные архитектуры и </w:t>
      </w:r>
      <w:proofErr w:type="spellStart"/>
      <w:r w:rsidRPr="004E0D09">
        <w:rPr>
          <w:rFonts w:ascii="Times New Roman" w:eastAsia="Times New Roman" w:hAnsi="Times New Roman" w:cs="Times New Roman"/>
          <w:color w:val="000000" w:themeColor="text1"/>
          <w:spacing w:val="15"/>
          <w:lang w:eastAsia="ru-RU"/>
        </w:rPr>
        <w:t>state-of-the-art</w:t>
      </w:r>
      <w:proofErr w:type="spellEnd"/>
      <w:r w:rsidRPr="004E0D09">
        <w:rPr>
          <w:rFonts w:ascii="Times New Roman" w:eastAsia="Times New Roman" w:hAnsi="Times New Roman" w:cs="Times New Roman"/>
          <w:color w:val="000000" w:themeColor="text1"/>
          <w:spacing w:val="15"/>
          <w:lang w:eastAsia="ru-RU"/>
        </w:rPr>
        <w:t xml:space="preserve"> подходы</w:t>
      </w:r>
    </w:p>
    <w:p w14:paraId="663C356B" w14:textId="7B9B6A68"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Современные исследования в области прогнозирования предпочтений пользователей активно используют методы глубокого обучения. Такие модели способны аппроксимировать сложные нелинейные зависимости и учитывать большое количество признаков.</w:t>
      </w:r>
    </w:p>
    <w:p w14:paraId="056FE290" w14:textId="144E03AE"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Гибридные архитектуры, объединяющие линейные и нелинейные компоненты, получили широкое распространение в промышленной практике. Они позволяют сочетать интерпретируемость базовых моделей с высокой выразительной способностью нейросетей.</w:t>
      </w:r>
    </w:p>
    <w:p w14:paraId="0B4B4381" w14:textId="0354555E"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Кроме того, активно развиваются подходы, основанные на механизмах внимания, позволяющие выделять наиболее релевантные элементы пользовательской истории при прогнозировании текущего действия. Эти методы особенно актуальны для задач, где предпочтения пользователя формируются на основе ограниченного набора недавних взаимодействий.</w:t>
      </w:r>
    </w:p>
    <w:p w14:paraId="23DA0E80" w14:textId="555BAC92" w:rsidR="004E0D09" w:rsidRPr="004E0D09" w:rsidRDefault="004E0D09" w:rsidP="004E0D09">
      <w:pPr>
        <w:spacing w:before="100" w:beforeAutospacing="1" w:after="100" w:afterAutospacing="1" w:line="240" w:lineRule="auto"/>
        <w:outlineLvl w:val="1"/>
        <w:rPr>
          <w:rFonts w:ascii="Times New Roman" w:eastAsia="Times New Roman" w:hAnsi="Times New Roman" w:cs="Times New Roman"/>
          <w:color w:val="000000" w:themeColor="text1"/>
          <w:spacing w:val="15"/>
          <w:lang w:eastAsia="ru-RU"/>
        </w:rPr>
      </w:pPr>
      <w:r w:rsidRPr="004E0D09">
        <w:rPr>
          <w:rFonts w:ascii="Times New Roman" w:eastAsia="Times New Roman" w:hAnsi="Times New Roman" w:cs="Times New Roman"/>
          <w:color w:val="000000" w:themeColor="text1"/>
          <w:spacing w:val="15"/>
          <w:lang w:eastAsia="ru-RU"/>
        </w:rPr>
        <w:t>1.10. Инженерные аспекты и работа с большими данными</w:t>
      </w:r>
    </w:p>
    <w:p w14:paraId="4ACB4909" w14:textId="38F84A70"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Практическое применение моделей прогнозирования предпочтений требует решения инженерных задач, связанных с обработкой больших объёмов данных. Логи пользовательских действий характеризуются высокой размерностью, неравномерным распределением событий и необходимостью масштабируемой обработки.</w:t>
      </w:r>
    </w:p>
    <w:p w14:paraId="52CAFF22" w14:textId="284C7CA9"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Для эффективной работы с такими данными используются методы пакетной обработки, оптимизированные форматы хранения и временные разбиения обучающих выборок. Важную роль играет воспроизводимость экспериментов и возможность корректного сравнения различных моделей.</w:t>
      </w:r>
    </w:p>
    <w:p w14:paraId="3BF94129" w14:textId="4097D75A"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Инженерные решения оказывают существенное влияние на конечное качество системы и должны рассматриваться как неотъемлемая часть анализа предпочтений пользователей.</w:t>
      </w:r>
    </w:p>
    <w:p w14:paraId="6445A579" w14:textId="77777777" w:rsidR="004E0D09" w:rsidRPr="004E0D09" w:rsidRDefault="004E0D09" w:rsidP="004E0D09">
      <w:pPr>
        <w:spacing w:before="100" w:beforeAutospacing="1" w:after="100" w:afterAutospacing="1" w:line="240" w:lineRule="auto"/>
        <w:outlineLvl w:val="1"/>
        <w:rPr>
          <w:rFonts w:ascii="Times New Roman" w:eastAsia="Times New Roman" w:hAnsi="Times New Roman" w:cs="Times New Roman"/>
          <w:color w:val="000000" w:themeColor="text1"/>
          <w:spacing w:val="15"/>
          <w:lang w:eastAsia="ru-RU"/>
        </w:rPr>
      </w:pPr>
      <w:r w:rsidRPr="004E0D09">
        <w:rPr>
          <w:rFonts w:ascii="Times New Roman" w:eastAsia="Times New Roman" w:hAnsi="Times New Roman" w:cs="Times New Roman"/>
          <w:color w:val="000000" w:themeColor="text1"/>
          <w:spacing w:val="15"/>
          <w:lang w:eastAsia="ru-RU"/>
        </w:rPr>
        <w:t>1.11. Интерпретируемость и анализ результатов</w:t>
      </w:r>
    </w:p>
    <w:p w14:paraId="05E8E0A3" w14:textId="1C2D64F3"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lastRenderedPageBreak/>
        <w:t>Несмотря на высокую точность современных моделей, их применение в бизнес-контексте требует возможности интерпретации результатов. Анализ важности признаков и объяснение предсказаний позволяют выявлять факторы, оказывающие наибольшее влияние на поведение пользователей.</w:t>
      </w:r>
    </w:p>
    <w:p w14:paraId="29E12BE4" w14:textId="065658D0"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Интерпретируемость также важна в рамках научного исследования, поскольку она позволяет обосновывать выводы и формировать рекомендации для практического применения полученных результатов.</w:t>
      </w:r>
    </w:p>
    <w:p w14:paraId="26AAC7D5" w14:textId="22EA4991" w:rsidR="004E0D09" w:rsidRPr="004E0D09" w:rsidRDefault="004E0D09" w:rsidP="004E0D09">
      <w:pPr>
        <w:spacing w:before="100" w:beforeAutospacing="1" w:after="100" w:afterAutospacing="1" w:line="240" w:lineRule="auto"/>
        <w:outlineLvl w:val="1"/>
        <w:rPr>
          <w:rFonts w:ascii="Times New Roman" w:eastAsia="Times New Roman" w:hAnsi="Times New Roman" w:cs="Times New Roman"/>
          <w:color w:val="000000" w:themeColor="text1"/>
          <w:spacing w:val="15"/>
          <w:lang w:eastAsia="ru-RU"/>
        </w:rPr>
      </w:pPr>
      <w:r w:rsidRPr="004E0D09">
        <w:rPr>
          <w:rFonts w:ascii="Times New Roman" w:eastAsia="Times New Roman" w:hAnsi="Times New Roman" w:cs="Times New Roman"/>
          <w:color w:val="000000" w:themeColor="text1"/>
          <w:spacing w:val="15"/>
          <w:lang w:eastAsia="ru-RU"/>
        </w:rPr>
        <w:t>1.12. Выводы по обзору литературы</w:t>
      </w:r>
    </w:p>
    <w:p w14:paraId="0844D548" w14:textId="1114F58D"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val="en-US" w:eastAsia="ru-RU"/>
          <w14:ligatures w14:val="none"/>
        </w:rPr>
      </w:pPr>
      <w:r w:rsidRPr="004E0D09">
        <w:rPr>
          <w:rFonts w:ascii="Times New Roman" w:eastAsia="Times New Roman" w:hAnsi="Times New Roman" w:cs="Times New Roman"/>
          <w:kern w:val="0"/>
          <w:sz w:val="20"/>
          <w:szCs w:val="20"/>
          <w:lang w:eastAsia="ru-RU"/>
          <w14:ligatures w14:val="none"/>
        </w:rPr>
        <w:t>Проведённый обзор литературы показывает, что прогнозирование предпочтений пользователей сервисов электронной коммерции является комплексной задачей, включающей аспекты анализа неявной обратной связи, временной динамики и последовательности действий. Современные подходы предлагают широкий спектр моделей, однако их применение к реальным большим данным требует тщательной инженерной проработки и адаптации.</w:t>
      </w:r>
    </w:p>
    <w:p w14:paraId="53B6D1BF" w14:textId="77777777" w:rsidR="004E0D09" w:rsidRPr="004E0D09" w:rsidRDefault="004E0D09" w:rsidP="004E0D09">
      <w:pPr>
        <w:spacing w:before="100" w:beforeAutospacing="1" w:after="100" w:afterAutospacing="1" w:line="240" w:lineRule="auto"/>
        <w:rPr>
          <w:rFonts w:ascii="Times New Roman" w:eastAsia="Times New Roman" w:hAnsi="Times New Roman" w:cs="Times New Roman"/>
          <w:kern w:val="0"/>
          <w:sz w:val="20"/>
          <w:szCs w:val="20"/>
          <w:lang w:eastAsia="ru-RU"/>
          <w14:ligatures w14:val="none"/>
        </w:rPr>
      </w:pPr>
      <w:r w:rsidRPr="004E0D09">
        <w:rPr>
          <w:rFonts w:ascii="Times New Roman" w:eastAsia="Times New Roman" w:hAnsi="Times New Roman" w:cs="Times New Roman"/>
          <w:kern w:val="0"/>
          <w:sz w:val="20"/>
          <w:szCs w:val="20"/>
          <w:lang w:eastAsia="ru-RU"/>
          <w14:ligatures w14:val="none"/>
        </w:rPr>
        <w:t>В рамках данной выпускной квалификационной работы особое внимание уделяется анализу переходов между этапами пользовательской воронки и оценке вероятности совершения целевых действий на основе истории поведения пользователей, что соответствует актуальным направлениям исследований и практическим задачам электронной коммерции.</w:t>
      </w:r>
    </w:p>
    <w:p w14:paraId="051F5064" w14:textId="77777777" w:rsidR="00E73881" w:rsidRPr="004E0D09" w:rsidRDefault="00E73881">
      <w:pPr>
        <w:rPr>
          <w:rFonts w:ascii="Times New Roman" w:hAnsi="Times New Roman" w:cs="Times New Roman"/>
          <w:sz w:val="20"/>
          <w:szCs w:val="20"/>
        </w:rPr>
      </w:pPr>
    </w:p>
    <w:sectPr w:rsidR="00E73881" w:rsidRPr="004E0D0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D09"/>
    <w:rsid w:val="004E0D09"/>
    <w:rsid w:val="00D46E19"/>
    <w:rsid w:val="00E2252A"/>
    <w:rsid w:val="00E73881"/>
    <w:rsid w:val="00EA67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2F5F2"/>
  <w15:chartTrackingRefBased/>
  <w15:docId w15:val="{9508189D-4AD5-3A44-90F5-3DF113562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E0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E0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E0D0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E0D0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E0D0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E0D0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E0D0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E0D0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E0D0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E0D0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E0D0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E0D0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E0D0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E0D0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E0D0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E0D09"/>
    <w:rPr>
      <w:rFonts w:eastAsiaTheme="majorEastAsia" w:cstheme="majorBidi"/>
      <w:color w:val="595959" w:themeColor="text1" w:themeTint="A6"/>
    </w:rPr>
  </w:style>
  <w:style w:type="character" w:customStyle="1" w:styleId="80">
    <w:name w:val="Заголовок 8 Знак"/>
    <w:basedOn w:val="a0"/>
    <w:link w:val="8"/>
    <w:uiPriority w:val="9"/>
    <w:semiHidden/>
    <w:rsid w:val="004E0D0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E0D09"/>
    <w:rPr>
      <w:rFonts w:eastAsiaTheme="majorEastAsia" w:cstheme="majorBidi"/>
      <w:color w:val="272727" w:themeColor="text1" w:themeTint="D8"/>
    </w:rPr>
  </w:style>
  <w:style w:type="paragraph" w:styleId="a3">
    <w:name w:val="Title"/>
    <w:basedOn w:val="a"/>
    <w:next w:val="a"/>
    <w:link w:val="a4"/>
    <w:uiPriority w:val="10"/>
    <w:qFormat/>
    <w:rsid w:val="004E0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E0D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0D0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E0D0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E0D09"/>
    <w:pPr>
      <w:spacing w:before="160"/>
      <w:jc w:val="center"/>
    </w:pPr>
    <w:rPr>
      <w:i/>
      <w:iCs/>
      <w:color w:val="404040" w:themeColor="text1" w:themeTint="BF"/>
    </w:rPr>
  </w:style>
  <w:style w:type="character" w:customStyle="1" w:styleId="22">
    <w:name w:val="Цитата 2 Знак"/>
    <w:basedOn w:val="a0"/>
    <w:link w:val="21"/>
    <w:uiPriority w:val="29"/>
    <w:rsid w:val="004E0D09"/>
    <w:rPr>
      <w:i/>
      <w:iCs/>
      <w:color w:val="404040" w:themeColor="text1" w:themeTint="BF"/>
    </w:rPr>
  </w:style>
  <w:style w:type="paragraph" w:styleId="a7">
    <w:name w:val="List Paragraph"/>
    <w:basedOn w:val="a"/>
    <w:uiPriority w:val="34"/>
    <w:qFormat/>
    <w:rsid w:val="004E0D09"/>
    <w:pPr>
      <w:ind w:left="720"/>
      <w:contextualSpacing/>
    </w:pPr>
  </w:style>
  <w:style w:type="character" w:styleId="a8">
    <w:name w:val="Intense Emphasis"/>
    <w:basedOn w:val="a0"/>
    <w:uiPriority w:val="21"/>
    <w:qFormat/>
    <w:rsid w:val="004E0D09"/>
    <w:rPr>
      <w:i/>
      <w:iCs/>
      <w:color w:val="0F4761" w:themeColor="accent1" w:themeShade="BF"/>
    </w:rPr>
  </w:style>
  <w:style w:type="paragraph" w:styleId="a9">
    <w:name w:val="Intense Quote"/>
    <w:basedOn w:val="a"/>
    <w:next w:val="a"/>
    <w:link w:val="aa"/>
    <w:uiPriority w:val="30"/>
    <w:qFormat/>
    <w:rsid w:val="004E0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E0D09"/>
    <w:rPr>
      <w:i/>
      <w:iCs/>
      <w:color w:val="0F4761" w:themeColor="accent1" w:themeShade="BF"/>
    </w:rPr>
  </w:style>
  <w:style w:type="character" w:styleId="ab">
    <w:name w:val="Intense Reference"/>
    <w:basedOn w:val="a0"/>
    <w:uiPriority w:val="32"/>
    <w:qFormat/>
    <w:rsid w:val="004E0D09"/>
    <w:rPr>
      <w:b/>
      <w:bCs/>
      <w:smallCaps/>
      <w:color w:val="0F4761" w:themeColor="accent1" w:themeShade="BF"/>
      <w:spacing w:val="5"/>
    </w:rPr>
  </w:style>
  <w:style w:type="character" w:customStyle="1" w:styleId="s1">
    <w:name w:val="s1"/>
    <w:basedOn w:val="a0"/>
    <w:rsid w:val="004E0D09"/>
  </w:style>
  <w:style w:type="paragraph" w:customStyle="1" w:styleId="p2">
    <w:name w:val="p2"/>
    <w:basedOn w:val="a"/>
    <w:rsid w:val="004E0D0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p3">
    <w:name w:val="p3"/>
    <w:basedOn w:val="a"/>
    <w:rsid w:val="004E0D09"/>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1718</Words>
  <Characters>9796</Characters>
  <Application>Microsoft Office Word</Application>
  <DocSecurity>0</DocSecurity>
  <Lines>81</Lines>
  <Paragraphs>22</Paragraphs>
  <ScaleCrop>false</ScaleCrop>
  <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2026-01-23T20:43:00Z</dcterms:created>
  <dcterms:modified xsi:type="dcterms:W3CDTF">2026-01-23T20:53:00Z</dcterms:modified>
</cp:coreProperties>
</file>