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 temática del guion — 30 CSO</w:t>
      </w:r>
    </w:p>
    <w:p>
      <w:r>
        <w:t>Se ajustaron 15 párrafos de presentación, transición y síntesis. Se conservó el orden del guion, los horarios, nombres, títulos de actividades, información institucional y campos pendientes. El lema general se mantuvo en el acto de apertura y en la despedida final: dos menciones. Los tres ejes se presentan como la estructura del programa. El bienestar sigue presente en el lema y en los datos originales, sin tratarse como un cuarto eje.</w:t>
      </w:r>
    </w:p>
    <w:p>
      <w:pPr>
        <w:pStyle w:val="Heading1"/>
      </w:pPr>
      <w:r>
        <w:t>Correspondencia comprobada en el 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Color / eje</w:t>
            </w:r>
          </w:p>
        </w:tc>
        <w:tc>
          <w:tcPr>
            <w:tcW w:type="dxa" w:w="2880"/>
          </w:tcPr>
          <w:p>
            <w:r>
              <w:t>Actividades</w:t>
            </w:r>
          </w:p>
        </w:tc>
        <w:tc>
          <w:tcPr>
            <w:tcW w:type="dxa" w:w="2880"/>
          </w:tcPr>
          <w:p>
            <w:r>
              <w:t>Tratamiento en el guion</w:t>
            </w:r>
          </w:p>
        </w:tc>
      </w:tr>
      <w:tr>
        <w:tc>
          <w:tcPr>
            <w:tcW w:type="dxa" w:w="2880"/>
          </w:tcPr>
          <w:p>
            <w:r>
              <w:t>Verde — Liderazgo que transforma</w:t>
            </w:r>
          </w:p>
        </w:tc>
        <w:tc>
          <w:tcPr>
            <w:tcW w:type="dxa" w:w="2880"/>
          </w:tcPr>
          <w:p>
            <w:r>
              <w:t>Panel de líderes de RRHH; Simposio ICOH; Liderazgo en Enfermería Laboral.</w:t>
            </w:r>
          </w:p>
        </w:tc>
        <w:tc>
          <w:tcPr>
            <w:tcW w:type="dxa" w:w="2880"/>
          </w:tcPr>
          <w:p>
            <w:r>
              <w:t>Vinculación explícita en el panel y en ICOH. Enfermería no tiene un bloque propio en el guion recibido.</w:t>
            </w:r>
          </w:p>
        </w:tc>
      </w:tr>
      <w:tr>
        <w:tc>
          <w:tcPr>
            <w:tcW w:type="dxa" w:w="2880"/>
          </w:tcPr>
          <w:p>
            <w:r>
              <w:t>Celeste — Gestión que demuestra</w:t>
            </w:r>
          </w:p>
        </w:tc>
        <w:tc>
          <w:tcPr>
            <w:tcW w:type="dxa" w:w="2880"/>
          </w:tcPr>
          <w:p>
            <w:r>
              <w:t>Nuevos patrones de consumo; Cronodisrupción; Ausentismo; Sistema de riesgos del trabajo; Observatorios de Salud.</w:t>
            </w:r>
          </w:p>
        </w:tc>
        <w:tc>
          <w:tcPr>
            <w:tcW w:type="dxa" w:w="2880"/>
          </w:tcPr>
          <w:p>
            <w:r>
              <w:t>Vinculación explícita en Consumo, Ausentismo y Observatorios. Cronodisrupción conserva su aviso original; Sistema de riesgos no tiene un bloque propio.</w:t>
            </w:r>
          </w:p>
        </w:tc>
      </w:tr>
      <w:tr>
        <w:tc>
          <w:tcPr>
            <w:tcW w:type="dxa" w:w="2880"/>
          </w:tcPr>
          <w:p>
            <w:r>
              <w:t>Amarillo — Innovación que anticipa</w:t>
            </w:r>
          </w:p>
        </w:tc>
        <w:tc>
          <w:tcPr>
            <w:tcW w:type="dxa" w:w="2880"/>
          </w:tcPr>
          <w:p>
            <w:r>
              <w:t>Ergonomía 5.0; Analítica predictiva; Salud Ocupacional a escala / Mercado Libre.</w:t>
            </w:r>
          </w:p>
        </w:tc>
        <w:tc>
          <w:tcPr>
            <w:tcW w:type="dxa" w:w="2880"/>
          </w:tcPr>
          <w:p>
            <w:r>
              <w:t>Vinculación explícita en las tres actividades.</w:t>
            </w:r>
          </w:p>
        </w:tc>
      </w:tr>
      <w:tr>
        <w:tc>
          <w:tcPr>
            <w:tcW w:type="dxa" w:w="2880"/>
          </w:tcPr>
          <w:p>
            <w:r>
              <w:t>Sin color de eje específico</w:t>
            </w:r>
          </w:p>
        </w:tc>
        <w:tc>
          <w:tcPr>
            <w:tcW w:type="dxa" w:w="2880"/>
          </w:tcPr>
          <w:p>
            <w:r>
              <w:t>Conferencias de apertura y cierre; actos institucionales; trabajos universitarios y e-pósters.</w:t>
            </w:r>
          </w:p>
        </w:tc>
        <w:tc>
          <w:tcPr>
            <w:tcW w:type="dxa" w:w="2880"/>
          </w:tcPr>
          <w:p>
            <w:r>
              <w:t>No se les asignó un eje exclusivo. La conferencia de cierre se presenta como una mirada integradora.</w:t>
            </w:r>
          </w:p>
        </w:tc>
      </w:tr>
    </w:tbl>
    <w:p>
      <w:pPr>
        <w:pStyle w:val="Heading1"/>
      </w:pPr>
      <w:r>
        <w:t>Puntos para confirmar — conservados sin corregir</w:t>
      </w:r>
    </w:p>
    <w:p>
      <w:pPr>
        <w:pStyle w:val="ListBullet"/>
      </w:pPr>
      <w:r>
        <w:t>En la clausura se anuncian cuatro obras que “ven la luz en este 2025”, aunque el guion corresponde a 2026. Confirmar si se trata de publicaciones de 2025 o de una referencia pendiente de actualización.</w:t>
      </w:r>
    </w:p>
    <w:p>
      <w:pPr>
        <w:pStyle w:val="ListBullet"/>
      </w:pPr>
      <w:r>
        <w:t>Las becas para las menciones de honor remiten al trigésimo congreso de 2026; los primeros premios remiten al trigésimo primer congreso / vigésimo congreso ALSO 2027. Confirmar el destino de cada beca.</w:t>
      </w:r>
    </w:p>
    <w:p>
      <w:pPr>
        <w:pStyle w:val="ListBullet"/>
      </w:pPr>
      <w:r>
        <w:t>El bloque de la Universidad Favaloro anuncia el premio “SARAZA”, pero luego menciona “BERNARDINO RAMAZZINI”. Confirmar la denominación antes de la locución.</w:t>
      </w:r>
    </w:p>
    <w:p>
      <w:pPr>
        <w:pStyle w:val="ListBullet"/>
      </w:pPr>
      <w:r>
        <w:t>La despedida dice “LOS ESPERAMOS EN NUESTRO TRIGESIMO CONGRESO DE SALUD OCUPACIONAL EN 2026”. Confirmar el próximo encuentro, ya que antes se anuncia la edición de 2027.</w:t>
      </w:r>
    </w:p>
    <w:p>
      <w:pPr>
        <w:pStyle w:val="ListBullet"/>
      </w:pPr>
      <w:r>
        <w:t>El guion introduce la mesa de Mercado Libre a las 11:43; el programa indica 11:45. Puede ser una llamada previa. Se conservaron ambos documentos sin cambiar sus horarios.</w:t>
      </w:r>
    </w:p>
    <w:p>
      <w:pPr>
        <w:pStyle w:val="ListBullet"/>
      </w:pPr>
      <w:r>
        <w:t>El programa identifica al Equipo de Salud AySA en la conferencia de cierre; el guion conserva campos pendientes de conferencista. La conferencia de apertura menciona a Alejandro Melamed, pero mantiene “HABLA [PENDIENTE: CONFERENCISTA]”. Confirmar y completar estos campos.</w:t>
      </w:r>
    </w:p>
    <w:p>
      <w:pPr>
        <w:pStyle w:val="ListBullet"/>
      </w:pPr>
      <w:r>
        <w:t>El programa incluye a María Eugenia Fernandez Lada como secretaria del panel de RRHH; el guion presenta únicamente a la moderadora. Confirmar si corresponde sumar su presentación.</w:t>
      </w:r>
    </w:p>
    <w:p>
      <w:pPr>
        <w:pStyle w:val="ListBullet"/>
      </w:pPr>
      <w:r>
        <w:t>El programa contiene actividades simultáneas del segundo día en Río Colorado que no se anuncian en el guion: Sistema de riesgos del trabajo (08:30–10:00) y Liderazgo en Enfermería Laboral (11:45–13:00). No se añadieron bloques ni avisos que pudieran modificar la organización prevista.</w:t>
      </w:r>
    </w:p>
    <w:p>
      <w:pPr>
        <w:pStyle w:val="ListBullet"/>
      </w:pPr>
      <w:r>
        <w:t>Permanecen los pendientes originales de auspiciantes, videos, homenajes, reconocimientos, currículos, sorteos y logística. No se completaron con supuestos.</w:t>
      </w:r>
    </w:p>
    <w:p>
      <w:pPr>
        <w:pStyle w:val="ListBullet"/>
      </w:pPr>
      <w:r>
        <w:t>El ajuste agrega frases breves de enlace. Se conservaron todos los horarios escritos, pero la duración oral debe comprobarse en el ensayo: no puede garantizarse que sea idéntica a la versión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