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i w:val="0"/>
          <w:color w:val="C00000"/>
          <w:sz w:val="52"/>
        </w:rPr>
        <w:t>Actividad 3</w:t>
      </w:r>
    </w:p>
    <w:p>
      <w:pPr>
        <w:spacing w:after="120"/>
        <w:jc w:val="center"/>
      </w:pPr>
      <w:r>
        <w:rPr>
          <w:b/>
          <w:i w:val="0"/>
          <w:color w:val="1F3864"/>
          <w:sz w:val="40"/>
        </w:rPr>
        <w:t>¿Para qué sirven los inventarios en las empresas?</w:t>
      </w:r>
    </w:p>
    <w:p>
      <w:pPr>
        <w:spacing w:after="120"/>
        <w:jc w:val="center"/>
      </w:pPr>
      <w:r>
        <w:rPr>
          <w:b w:val="0"/>
          <w:i/>
          <w:color w:val="595959"/>
          <w:sz w:val="26"/>
        </w:rPr>
        <w:t>Gestión de inventarios, metodologías y proceso S&amp;OP</w:t>
      </w:r>
    </w:p>
    <w:p>
      <w:pPr>
        <w:spacing w:after="120"/>
        <w:jc w:val="center"/>
      </w:pPr>
      <w:r>
        <w:rPr>
          <w:b w:val="0"/>
          <w:i/>
          <w:color w:val="595959"/>
          <w:sz w:val="22"/>
        </w:rPr>
        <w:t>Caso: Distribuidora de productos electrónicos “XYZ” (Latinoamérica)</w:t>
      </w:r>
    </w:p>
    <w:p/>
    <w:p>
      <w:pPr>
        <w:spacing w:after="120"/>
        <w:jc w:val="center"/>
      </w:pPr>
      <w:r>
        <w:rPr>
          <w:b/>
          <w:i w:val="0"/>
          <w:color w:val="1F3864"/>
          <w:sz w:val="28"/>
        </w:rPr>
        <w:t>Equipo</w:t>
      </w:r>
    </w:p>
    <w:p>
      <w:pPr>
        <w:spacing w:after="120"/>
        <w:jc w:val="center"/>
      </w:pPr>
      <w:r>
        <w:rPr>
          <w:b w:val="0"/>
          <w:i w:val="0"/>
          <w:sz w:val="24"/>
        </w:rPr>
        <w:t>Adrián Corpi Villaseñor  —  AL03044078</w:t>
      </w:r>
    </w:p>
    <w:p>
      <w:pPr>
        <w:spacing w:after="120"/>
        <w:jc w:val="center"/>
      </w:pPr>
      <w:r>
        <w:rPr>
          <w:b w:val="0"/>
          <w:i w:val="0"/>
          <w:sz w:val="24"/>
        </w:rPr>
        <w:t>Erick Díaz  —  AL03007876</w:t>
      </w:r>
    </w:p>
    <w:p>
      <w:pPr>
        <w:spacing w:after="120"/>
        <w:jc w:val="center"/>
      </w:pPr>
      <w:r>
        <w:rPr>
          <w:b w:val="0"/>
          <w:i w:val="0"/>
          <w:sz w:val="24"/>
        </w:rPr>
        <w:t>Patricio Ulises Morales  —  AL07098185</w:t>
      </w:r>
    </w:p>
    <w:p/>
    <w:p>
      <w:pPr>
        <w:spacing w:after="120"/>
        <w:jc w:val="center"/>
      </w:pPr>
      <w:r>
        <w:rPr>
          <w:b w:val="0"/>
          <w:i w:val="0"/>
          <w:sz w:val="22"/>
        </w:rPr>
        <w:t>Materia / Curso: Gestión de Inventarios y Cadena de Suministro</w:t>
      </w:r>
    </w:p>
    <w:p>
      <w:pPr>
        <w:spacing w:after="120"/>
        <w:jc w:val="center"/>
      </w:pPr>
      <w:r>
        <w:rPr>
          <w:b w:val="0"/>
          <w:i w:val="0"/>
          <w:sz w:val="22"/>
        </w:rPr>
        <w:t>Fecha de entrega: Septiembre de 2026</w:t>
      </w:r>
    </w:p>
    <w:p>
      <w:r>
        <w:br w:type="page"/>
      </w:r>
    </w:p>
    <w:p>
      <w:pPr>
        <w:pStyle w:val="Heading1"/>
      </w:pPr>
      <w:r>
        <w:t>Índice</w:t>
      </w:r>
    </w:p>
    <w:p>
      <w:pPr>
        <w:pStyle w:val="ListNumber"/>
      </w:pPr>
      <w:r>
        <w:t>1. Contexto del caso: la empresa “XYZ”</w:t>
      </w:r>
    </w:p>
    <w:p>
      <w:pPr>
        <w:pStyle w:val="ListNumber"/>
      </w:pPr>
      <w:r>
        <w:t>2. Clasificación de los tipos de inventario y costos asociados</w:t>
      </w:r>
    </w:p>
    <w:p>
      <w:pPr>
        <w:pStyle w:val="ListNumber"/>
      </w:pPr>
      <w:r>
        <w:t>3. Metodología de gestión de inventarios recomendada (justificación)</w:t>
      </w:r>
    </w:p>
    <w:p>
      <w:pPr>
        <w:pStyle w:val="ListNumber"/>
      </w:pPr>
      <w:r>
        <w:t>4. Priorización de productos: análisis ABC–XYZ y productos clave</w:t>
      </w:r>
    </w:p>
    <w:p>
      <w:pPr>
        <w:pStyle w:val="ListNumber"/>
      </w:pPr>
      <w:r>
        <w:t>5. Pronóstico de demanda y planificación del requerimiento de inventario</w:t>
      </w:r>
    </w:p>
    <w:p>
      <w:pPr>
        <w:pStyle w:val="ListNumber"/>
      </w:pPr>
      <w:r>
        <w:t>6. Cronograma de reuniones de S&amp;OP: fases del proceso</w:t>
      </w:r>
    </w:p>
    <w:p>
      <w:pPr>
        <w:pStyle w:val="ListNumber"/>
      </w:pPr>
      <w:r>
        <w:t>7. Conclusiones</w:t>
      </w:r>
    </w:p>
    <w:p>
      <w:pPr>
        <w:pStyle w:val="ListNumber"/>
      </w:pPr>
      <w:r>
        <w:t>8. Referencias y fuentes de apoyo</w:t>
      </w:r>
    </w:p>
    <w:p>
      <w:r>
        <w:br w:type="page"/>
      </w:r>
    </w:p>
    <w:p>
      <w:pPr>
        <w:pStyle w:val="Heading1"/>
      </w:pPr>
      <w:r>
        <w:t>1. Contexto del caso: la empresa “XYZ”</w:t>
      </w:r>
    </w:p>
    <w:p>
      <w:pPr>
        <w:spacing w:after="120"/>
      </w:pPr>
      <w:r>
        <w:rPr>
          <w:b w:val="0"/>
          <w:i w:val="0"/>
          <w:sz w:val="22"/>
        </w:rPr>
        <w:t>“XYZ” es una empresa dedicada a la distribución de productos electrónicos en Latinoamérica. Su portafolio incluye smartphones, laptops, televisores, tabletas, audio, wearables y accesorios que se abastecen principalmente de proveedores asiáticos, con tiempos de entrega (lead time) de entre 3 y 9 semanas en su mayoría.</w:t>
      </w:r>
    </w:p>
    <w:p>
      <w:pPr>
        <w:spacing w:after="120"/>
      </w:pPr>
      <w:r>
        <w:rPr>
          <w:b w:val="0"/>
          <w:i w:val="0"/>
          <w:sz w:val="22"/>
        </w:rPr>
        <w:t>Recientemente la empresa ha presentado problemas significativos de gestión de inventario que se traducen en tres síntomas principales:</w:t>
      </w:r>
    </w:p>
    <w:p>
      <w:pPr>
        <w:pStyle w:val="ListBullet"/>
        <w:spacing w:after="60"/>
      </w:pPr>
      <w:r>
        <w:rPr>
          <w:b/>
        </w:rPr>
        <w:t xml:space="preserve">• </w:t>
      </w:r>
      <w:r>
        <w:t>elevados costos de almacenamiento (exceso de stock y capital inmovilizado);</w:t>
      </w:r>
    </w:p>
    <w:p>
      <w:pPr>
        <w:pStyle w:val="ListBullet"/>
        <w:spacing w:after="60"/>
      </w:pPr>
      <w:r>
        <w:rPr>
          <w:b/>
        </w:rPr>
        <w:t xml:space="preserve">• </w:t>
      </w:r>
      <w:r>
        <w:t>rupturas de stock o stock outs (venta perdida y fallas de servicio al cliente);</w:t>
      </w:r>
    </w:p>
    <w:p>
      <w:pPr>
        <w:pStyle w:val="ListBullet"/>
        <w:spacing w:after="60"/>
      </w:pPr>
      <w:r>
        <w:rPr>
          <w:b/>
        </w:rPr>
        <w:t xml:space="preserve">• </w:t>
      </w:r>
      <w:r>
        <w:t>sobreinventario de productos de baja rotación y obsolescencia tecnológica.</w:t>
      </w:r>
    </w:p>
    <w:p>
      <w:pPr>
        <w:spacing w:after="120"/>
      </w:pPr>
      <w:r>
        <w:rPr>
          <w:b w:val="0"/>
          <w:i w:val="0"/>
          <w:sz w:val="22"/>
        </w:rPr>
        <w:t>Ante ello, la dirección ha decidido implementar un proyecto de mejora para optimizar la gestión de inventarios mediante metodologías avanzadas (ABC–XYZ, EOQ, punto de reorden, pronóstico de demanda, MRP y Kanban) dentro de un proceso formal de S&amp;OP (Sales &amp; Operations Planning). Este documento desarrolla, con datos de referencia, las cuatro entregas solicitadas.</w:t>
      </w:r>
    </w:p>
    <w:p>
      <w:pPr>
        <w:pStyle w:val="Heading1"/>
      </w:pPr>
      <w:r>
        <w:t>2. Clasificación de los tipos de inventario y sus costos</w:t>
      </w:r>
    </w:p>
    <w:p>
      <w:pPr>
        <w:spacing w:after="80"/>
      </w:pPr>
      <w:r>
        <w:rPr>
          <w:b w:val="0"/>
          <w:i w:val="0"/>
          <w:sz w:val="22"/>
        </w:rPr>
        <w:t>Para una distribuidora de electrónicos, el inventario no es un solo bloque: conviene clasificarlo según su función dentro de la cadena de suministro, porque cada tipo obedece a una lógica distinta y se asocia a costos distintos.</w:t>
      </w:r>
    </w:p>
    <w:p>
      <w:pPr>
        <w:pStyle w:val="Heading2"/>
      </w:pPr>
      <w:r>
        <w:t>2.1 Tipos de inventario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3864"/>
          </w:tcPr>
          <w:p>
            <w:pPr>
              <w:jc w:val="center"/>
            </w:pPr>
            <w:r/>
            <w:r>
              <w:rPr>
                <w:b/>
                <w:color w:val="FFFFFF"/>
                <w:sz w:val="20"/>
              </w:rPr>
              <w:t>Tipo de inventario</w:t>
            </w:r>
          </w:p>
        </w:tc>
        <w:tc>
          <w:tcPr>
            <w:tcW w:type="dxa" w:w="3312"/>
            <w:shd w:val="clear" w:color="auto" w:fill="1F3864"/>
          </w:tcPr>
          <w:p>
            <w:pPr>
              <w:jc w:val="center"/>
            </w:pPr>
            <w:r/>
            <w:r>
              <w:rPr>
                <w:b/>
                <w:color w:val="FFFFFF"/>
                <w:sz w:val="20"/>
              </w:rPr>
              <w:t>Descripción</w:t>
            </w:r>
          </w:p>
        </w:tc>
        <w:tc>
          <w:tcPr>
            <w:tcW w:type="dxa" w:w="3312"/>
            <w:shd w:val="clear" w:color="auto" w:fill="1F3864"/>
          </w:tcPr>
          <w:p>
            <w:pPr>
              <w:jc w:val="center"/>
            </w:pPr>
            <w:r/>
            <w:r>
              <w:rPr>
                <w:b/>
                <w:color w:val="FFFFFF"/>
                <w:sz w:val="20"/>
              </w:rPr>
              <w:t>Ejemplo en XYZ</w:t>
            </w:r>
          </w:p>
        </w:tc>
        <w:tc>
          <w:tcPr>
            <w:tcW w:type="dxa" w:w="2736"/>
            <w:shd w:val="clear" w:color="auto" w:fill="1F3864"/>
          </w:tcPr>
          <w:p>
            <w:pPr>
              <w:jc w:val="center"/>
            </w:pPr>
            <w:r/>
            <w:r>
              <w:rPr>
                <w:b/>
                <w:color w:val="FFFFFF"/>
                <w:sz w:val="20"/>
              </w:rPr>
              <w:t>Costo dominante</w:t>
            </w:r>
          </w:p>
        </w:tc>
      </w:tr>
      <w:tr>
        <w:tc>
          <w:tcPr>
            <w:tcW w:type="dxa" w:w="2160"/>
          </w:tcPr>
          <w:p>
            <w:pPr>
              <w:jc w:val="left"/>
            </w:pPr>
            <w:r/>
            <w:r>
              <w:rPr>
                <w:b w:val="0"/>
                <w:sz w:val="20"/>
              </w:rPr>
              <w:t>Ciclo (Cycle stock)</w:t>
            </w:r>
          </w:p>
        </w:tc>
        <w:tc>
          <w:tcPr>
            <w:tcW w:type="dxa" w:w="3312"/>
          </w:tcPr>
          <w:p>
            <w:pPr>
              <w:jc w:val="left"/>
            </w:pPr>
            <w:r/>
            <w:r>
              <w:rPr>
                <w:b w:val="0"/>
                <w:sz w:val="20"/>
              </w:rPr>
              <w:t>Stock que cubre la demanda normal entre un pedido y otro.</w:t>
            </w:r>
          </w:p>
        </w:tc>
        <w:tc>
          <w:tcPr>
            <w:tcW w:type="dxa" w:w="3312"/>
          </w:tcPr>
          <w:p>
            <w:pPr>
              <w:jc w:val="left"/>
            </w:pPr>
            <w:r/>
            <w:r>
              <w:rPr>
                <w:b w:val="0"/>
                <w:sz w:val="20"/>
              </w:rPr>
              <w:t>Cajas de smartphones que cubren la venta mientras llega el siguiente lote del proveedor.</w:t>
            </w:r>
          </w:p>
        </w:tc>
        <w:tc>
          <w:tcPr>
            <w:tcW w:type="dxa" w:w="2736"/>
          </w:tcPr>
          <w:p>
            <w:pPr>
              <w:jc w:val="left"/>
            </w:pPr>
            <w:r/>
            <w:r>
              <w:rPr>
                <w:b w:val="0"/>
                <w:sz w:val="20"/>
              </w:rPr>
              <w:t>Costo de mantenimiento y de ordenar.</w:t>
            </w:r>
          </w:p>
        </w:tc>
      </w:tr>
      <w:tr>
        <w:tc>
          <w:tcPr>
            <w:tcW w:type="dxa" w:w="2160"/>
            <w:shd w:val="clear" w:color="auto" w:fill="F2F5FA"/>
          </w:tcPr>
          <w:p>
            <w:pPr>
              <w:jc w:val="left"/>
            </w:pPr>
            <w:r/>
            <w:r>
              <w:rPr>
                <w:b w:val="0"/>
                <w:sz w:val="20"/>
              </w:rPr>
              <w:t>De seguridad (Safety stock)</w:t>
            </w:r>
          </w:p>
        </w:tc>
        <w:tc>
          <w:tcPr>
            <w:tcW w:type="dxa" w:w="3312"/>
            <w:shd w:val="clear" w:color="auto" w:fill="F2F5FA"/>
          </w:tcPr>
          <w:p>
            <w:pPr>
              <w:jc w:val="left"/>
            </w:pPr>
            <w:r/>
            <w:r>
              <w:rPr>
                <w:b w:val="0"/>
                <w:sz w:val="20"/>
              </w:rPr>
              <w:t>Colchón que protege contra variabilidad de demanda y de suministro.</w:t>
            </w:r>
          </w:p>
        </w:tc>
        <w:tc>
          <w:tcPr>
            <w:tcW w:type="dxa" w:w="3312"/>
            <w:shd w:val="clear" w:color="auto" w:fill="F2F5FA"/>
          </w:tcPr>
          <w:p>
            <w:pPr>
              <w:jc w:val="left"/>
            </w:pPr>
            <w:r/>
            <w:r>
              <w:rPr>
                <w:b w:val="0"/>
                <w:sz w:val="20"/>
              </w:rPr>
              <w:t>Unidades extras de laptops durante temporada escolar alta.</w:t>
            </w:r>
          </w:p>
        </w:tc>
        <w:tc>
          <w:tcPr>
            <w:tcW w:type="dxa" w:w="2736"/>
            <w:shd w:val="clear" w:color="auto" w:fill="F2F5FA"/>
          </w:tcPr>
          <w:p>
            <w:pPr>
              <w:jc w:val="left"/>
            </w:pPr>
            <w:r/>
            <w:r>
              <w:rPr>
                <w:b w:val="0"/>
                <w:sz w:val="20"/>
              </w:rPr>
              <w:t>Costo de mantenimiento (capital) + costo de faltante evitado.</w:t>
            </w:r>
          </w:p>
        </w:tc>
      </w:tr>
      <w:tr>
        <w:tc>
          <w:tcPr>
            <w:tcW w:type="dxa" w:w="2160"/>
          </w:tcPr>
          <w:p>
            <w:pPr>
              <w:jc w:val="left"/>
            </w:pPr>
            <w:r/>
            <w:r>
              <w:rPr>
                <w:b w:val="0"/>
                <w:sz w:val="20"/>
              </w:rPr>
              <w:t>En tránsito / tubería (Pipeline)</w:t>
            </w:r>
          </w:p>
        </w:tc>
        <w:tc>
          <w:tcPr>
            <w:tcW w:type="dxa" w:w="3312"/>
          </w:tcPr>
          <w:p>
            <w:pPr>
              <w:jc w:val="left"/>
            </w:pPr>
            <w:r/>
            <w:r>
              <w:rPr>
                <w:b w:val="0"/>
                <w:sz w:val="20"/>
              </w:rPr>
              <w:t>Mercancía pagada y en movimiento proveedor → almacén/tienda.</w:t>
            </w:r>
          </w:p>
        </w:tc>
        <w:tc>
          <w:tcPr>
            <w:tcW w:type="dxa" w:w="3312"/>
          </w:tcPr>
          <w:p>
            <w:pPr>
              <w:jc w:val="left"/>
            </w:pPr>
            <w:r/>
            <w:r>
              <w:rPr>
                <w:b w:val="0"/>
                <w:sz w:val="20"/>
              </w:rPr>
              <w:t>Contenedores de TVs OLED navegando desde Asia (45–60 días).</w:t>
            </w:r>
          </w:p>
        </w:tc>
        <w:tc>
          <w:tcPr>
            <w:tcW w:type="dxa" w:w="2736"/>
          </w:tcPr>
          <w:p>
            <w:pPr>
              <w:jc w:val="left"/>
            </w:pPr>
            <w:r/>
            <w:r>
              <w:rPr>
                <w:b w:val="0"/>
                <w:sz w:val="20"/>
              </w:rPr>
              <w:t>Costo de capital inmovilizado + seguro y flete.</w:t>
            </w:r>
          </w:p>
        </w:tc>
      </w:tr>
      <w:tr>
        <w:tc>
          <w:tcPr>
            <w:tcW w:type="dxa" w:w="2160"/>
            <w:shd w:val="clear" w:color="auto" w:fill="F2F5FA"/>
          </w:tcPr>
          <w:p>
            <w:pPr>
              <w:jc w:val="left"/>
            </w:pPr>
            <w:r/>
            <w:r>
              <w:rPr>
                <w:b w:val="0"/>
                <w:sz w:val="20"/>
              </w:rPr>
              <w:t>De anticipación / estacional</w:t>
            </w:r>
          </w:p>
        </w:tc>
        <w:tc>
          <w:tcPr>
            <w:tcW w:type="dxa" w:w="3312"/>
            <w:shd w:val="clear" w:color="auto" w:fill="F2F5FA"/>
          </w:tcPr>
          <w:p>
            <w:pPr>
              <w:jc w:val="left"/>
            </w:pPr>
            <w:r/>
            <w:r>
              <w:rPr>
                <w:b w:val="0"/>
                <w:sz w:val="20"/>
              </w:rPr>
              <w:t>Se acumula antes de picos conocidos de demanda.</w:t>
            </w:r>
          </w:p>
        </w:tc>
        <w:tc>
          <w:tcPr>
            <w:tcW w:type="dxa" w:w="3312"/>
            <w:shd w:val="clear" w:color="auto" w:fill="F2F5FA"/>
          </w:tcPr>
          <w:p>
            <w:pPr>
              <w:jc w:val="left"/>
            </w:pPr>
            <w:r/>
            <w:r>
              <w:rPr>
                <w:b w:val="0"/>
                <w:sz w:val="20"/>
              </w:rPr>
              <w:t>Acopio de audífonos y wearables para el Buen Fin / Black Friday.</w:t>
            </w:r>
          </w:p>
        </w:tc>
        <w:tc>
          <w:tcPr>
            <w:tcW w:type="dxa" w:w="2736"/>
            <w:shd w:val="clear" w:color="auto" w:fill="F2F5FA"/>
          </w:tcPr>
          <w:p>
            <w:pPr>
              <w:jc w:val="left"/>
            </w:pPr>
            <w:r/>
            <w:r>
              <w:rPr>
                <w:b w:val="0"/>
                <w:sz w:val="20"/>
              </w:rPr>
              <w:t>Costo de mantenimiento; riesgo de no vender todo.</w:t>
            </w:r>
          </w:p>
        </w:tc>
      </w:tr>
      <w:tr>
        <w:tc>
          <w:tcPr>
            <w:tcW w:type="dxa" w:w="2160"/>
          </w:tcPr>
          <w:p>
            <w:pPr>
              <w:jc w:val="left"/>
            </w:pPr>
            <w:r/>
            <w:r>
              <w:rPr>
                <w:b w:val="0"/>
                <w:sz w:val="20"/>
              </w:rPr>
              <w:t>Producto terminado</w:t>
            </w:r>
          </w:p>
        </w:tc>
        <w:tc>
          <w:tcPr>
            <w:tcW w:type="dxa" w:w="3312"/>
          </w:tcPr>
          <w:p>
            <w:pPr>
              <w:jc w:val="left"/>
            </w:pPr>
            <w:r/>
            <w:r>
              <w:rPr>
                <w:b w:val="0"/>
                <w:sz w:val="20"/>
              </w:rPr>
              <w:t>Artículos listos para su venta/distribución.</w:t>
            </w:r>
          </w:p>
        </w:tc>
        <w:tc>
          <w:tcPr>
            <w:tcW w:type="dxa" w:w="3312"/>
          </w:tcPr>
          <w:p>
            <w:pPr>
              <w:jc w:val="left"/>
            </w:pPr>
            <w:r/>
            <w:r>
              <w:rPr>
                <w:b w:val="0"/>
                <w:sz w:val="20"/>
              </w:rPr>
              <w:t>Inventario en centros de distribución regionales (México, Colombia, Perú…).</w:t>
            </w:r>
          </w:p>
        </w:tc>
        <w:tc>
          <w:tcPr>
            <w:tcW w:type="dxa" w:w="2736"/>
          </w:tcPr>
          <w:p>
            <w:pPr>
              <w:jc w:val="left"/>
            </w:pPr>
            <w:r/>
            <w:r>
              <w:rPr>
                <w:b w:val="0"/>
                <w:sz w:val="20"/>
              </w:rPr>
              <w:t>Costo de mantenimiento y de oportunidad.</w:t>
            </w:r>
          </w:p>
        </w:tc>
      </w:tr>
      <w:tr>
        <w:tc>
          <w:tcPr>
            <w:tcW w:type="dxa" w:w="2160"/>
            <w:shd w:val="clear" w:color="auto" w:fill="F2F5FA"/>
          </w:tcPr>
          <w:p>
            <w:pPr>
              <w:jc w:val="left"/>
            </w:pPr>
            <w:r/>
            <w:r>
              <w:rPr>
                <w:b w:val="0"/>
                <w:sz w:val="20"/>
              </w:rPr>
              <w:t>MRO (mantenimiento, reparación, operación)</w:t>
            </w:r>
          </w:p>
        </w:tc>
        <w:tc>
          <w:tcPr>
            <w:tcW w:type="dxa" w:w="3312"/>
            <w:shd w:val="clear" w:color="auto" w:fill="F2F5FA"/>
          </w:tcPr>
          <w:p>
            <w:pPr>
              <w:jc w:val="left"/>
            </w:pPr>
            <w:r/>
            <w:r>
              <w:rPr>
                <w:b w:val="0"/>
                <w:sz w:val="20"/>
              </w:rPr>
              <w:t>Materiales auxiliares no vendibles para operar.</w:t>
            </w:r>
          </w:p>
        </w:tc>
        <w:tc>
          <w:tcPr>
            <w:tcW w:type="dxa" w:w="3312"/>
            <w:shd w:val="clear" w:color="auto" w:fill="F2F5FA"/>
          </w:tcPr>
          <w:p>
            <w:pPr>
              <w:jc w:val="left"/>
            </w:pPr>
            <w:r/>
            <w:r>
              <w:rPr>
                <w:b w:val="0"/>
                <w:sz w:val="20"/>
              </w:rPr>
              <w:t>Empaque, cintas, repuestos de montacargas, etiquetas.</w:t>
            </w:r>
          </w:p>
        </w:tc>
        <w:tc>
          <w:tcPr>
            <w:tcW w:type="dxa" w:w="2736"/>
            <w:shd w:val="clear" w:color="auto" w:fill="F2F5FA"/>
          </w:tcPr>
          <w:p>
            <w:pPr>
              <w:jc w:val="left"/>
            </w:pPr>
            <w:r/>
            <w:r>
              <w:rPr>
                <w:b w:val="0"/>
                <w:sz w:val="20"/>
              </w:rPr>
              <w:t>Costo de ordenar y de mantenimiento menores.</w:t>
            </w:r>
          </w:p>
        </w:tc>
      </w:tr>
      <w:tr>
        <w:tc>
          <w:tcPr>
            <w:tcW w:type="dxa" w:w="2160"/>
          </w:tcPr>
          <w:p>
            <w:pPr>
              <w:jc w:val="left"/>
            </w:pPr>
            <w:r/>
            <w:r>
              <w:rPr>
                <w:b w:val="0"/>
                <w:sz w:val="20"/>
              </w:rPr>
              <w:t>Especulativo</w:t>
            </w:r>
          </w:p>
        </w:tc>
        <w:tc>
          <w:tcPr>
            <w:tcW w:type="dxa" w:w="3312"/>
          </w:tcPr>
          <w:p>
            <w:pPr>
              <w:jc w:val="left"/>
            </w:pPr>
            <w:r/>
            <w:r>
              <w:rPr>
                <w:b w:val="0"/>
                <w:sz w:val="20"/>
              </w:rPr>
              <w:t>Compra anticipada esperando alzas de precio o tipo de cambio.</w:t>
            </w:r>
          </w:p>
        </w:tc>
        <w:tc>
          <w:tcPr>
            <w:tcW w:type="dxa" w:w="3312"/>
          </w:tcPr>
          <w:p>
            <w:pPr>
              <w:jc w:val="left"/>
            </w:pPr>
            <w:r/>
            <w:r>
              <w:rPr>
                <w:b w:val="0"/>
                <w:sz w:val="20"/>
              </w:rPr>
              <w:t>Compra adelantada de memorias/chips ante escasez.</w:t>
            </w:r>
          </w:p>
        </w:tc>
        <w:tc>
          <w:tcPr>
            <w:tcW w:type="dxa" w:w="2736"/>
          </w:tcPr>
          <w:p>
            <w:pPr>
              <w:jc w:val="left"/>
            </w:pPr>
            <w:r/>
            <w:r>
              <w:rPr>
                <w:b w:val="0"/>
                <w:sz w:val="20"/>
              </w:rPr>
              <w:t>Costo de mantenimiento + riesgo financiero.</w:t>
            </w:r>
          </w:p>
        </w:tc>
      </w:tr>
    </w:tbl>
    <w:p>
      <w:pPr>
        <w:spacing w:after="200"/>
        <w:jc w:val="center"/>
      </w:pPr>
      <w:r>
        <w:rPr>
          <w:b w:val="0"/>
          <w:i/>
          <w:color w:val="595959"/>
          <w:sz w:val="19"/>
        </w:rPr>
        <w:t>Tabla 1. Tipos de inventario aplicables a una distribuidora de productos electrónicos.</w:t>
      </w:r>
    </w:p>
    <w:p>
      <w:pPr>
        <w:pStyle w:val="Heading2"/>
      </w:pPr>
      <w:r>
        <w:t>2.2 Costos asociados a los inventarios</w:t>
      </w:r>
    </w:p>
    <w:p>
      <w:pPr>
        <w:spacing w:after="80"/>
      </w:pPr>
      <w:r>
        <w:rPr>
          <w:b w:val="0"/>
          <w:i w:val="0"/>
          <w:sz w:val="22"/>
        </w:rPr>
        <w:t>Los costos que explican la crisis de XYZ pueden agruparse en cinco categorías: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3864"/>
          </w:tcPr>
          <w:p>
            <w:pPr>
              <w:jc w:val="center"/>
            </w:pPr>
            <w:r/>
            <w:r>
              <w:rPr>
                <w:b/>
                <w:color w:val="FFFFFF"/>
                <w:sz w:val="20"/>
              </w:rPr>
              <w:t>Costo</w:t>
            </w:r>
          </w:p>
        </w:tc>
        <w:tc>
          <w:tcPr>
            <w:tcW w:type="dxa" w:w="4896"/>
            <w:shd w:val="clear" w:color="auto" w:fill="1F3864"/>
          </w:tcPr>
          <w:p>
            <w:pPr>
              <w:jc w:val="center"/>
            </w:pPr>
            <w:r/>
            <w:r>
              <w:rPr>
                <w:b/>
                <w:color w:val="FFFFFF"/>
                <w:sz w:val="20"/>
              </w:rPr>
              <w:t>Fórmula / Descripción</w:t>
            </w:r>
          </w:p>
        </w:tc>
        <w:tc>
          <w:tcPr>
            <w:tcW w:type="dxa" w:w="4176"/>
            <w:shd w:val="clear" w:color="auto" w:fill="1F3864"/>
          </w:tcPr>
          <w:p>
            <w:pPr>
              <w:jc w:val="center"/>
            </w:pPr>
            <w:r/>
            <w:r>
              <w:rPr>
                <w:b/>
                <w:color w:val="FFFFFF"/>
                <w:sz w:val="20"/>
              </w:rPr>
              <w:t>Impacto en XYZ</w:t>
            </w:r>
          </w:p>
        </w:tc>
      </w:tr>
      <w:tr>
        <w:tc>
          <w:tcPr>
            <w:tcW w:type="dxa" w:w="2448"/>
          </w:tcPr>
          <w:p>
            <w:pPr>
              <w:jc w:val="left"/>
            </w:pPr>
            <w:r/>
            <w:r>
              <w:rPr>
                <w:b w:val="0"/>
                <w:sz w:val="20"/>
              </w:rPr>
              <w:t>De adquisición / compra</w:t>
            </w:r>
          </w:p>
        </w:tc>
        <w:tc>
          <w:tcPr>
            <w:tcW w:type="dxa" w:w="4896"/>
          </w:tcPr>
          <w:p>
            <w:pPr>
              <w:jc w:val="left"/>
            </w:pPr>
            <w:r/>
            <w:r>
              <w:rPr>
                <w:b w:val="0"/>
                <w:sz w:val="20"/>
              </w:rPr>
              <w:t>Costo unitario C más flete, aranceles y seguro. Costo anual = C × D.</w:t>
            </w:r>
          </w:p>
        </w:tc>
        <w:tc>
          <w:tcPr>
            <w:tcW w:type="dxa" w:w="4176"/>
          </w:tcPr>
          <w:p>
            <w:pPr>
              <w:jc w:val="left"/>
            </w:pPr>
            <w:r/>
            <w:r>
              <w:rPr>
                <w:b w:val="0"/>
                <w:sz w:val="20"/>
              </w:rPr>
              <w:t>Es la base del valor de inventario; en electrónicos puede ser 60–80 % del precio de venta.</w:t>
            </w:r>
          </w:p>
        </w:tc>
      </w:tr>
      <w:tr>
        <w:tc>
          <w:tcPr>
            <w:tcW w:type="dxa" w:w="2448"/>
            <w:shd w:val="clear" w:color="auto" w:fill="F2F5FA"/>
          </w:tcPr>
          <w:p>
            <w:pPr>
              <w:jc w:val="left"/>
            </w:pPr>
            <w:r/>
            <w:r>
              <w:rPr>
                <w:b w:val="0"/>
                <w:sz w:val="20"/>
              </w:rPr>
              <w:t>De ordenar / preparación</w:t>
            </w:r>
          </w:p>
        </w:tc>
        <w:tc>
          <w:tcPr>
            <w:tcW w:type="dxa" w:w="4896"/>
            <w:shd w:val="clear" w:color="auto" w:fill="F2F5FA"/>
          </w:tcPr>
          <w:p>
            <w:pPr>
              <w:jc w:val="left"/>
            </w:pPr>
            <w:r/>
            <w:r>
              <w:rPr>
                <w:b w:val="0"/>
                <w:sz w:val="20"/>
              </w:rPr>
              <w:t>S = costo administrativo + transporte por pedido. Nº pedidos = D/Q.</w:t>
            </w:r>
          </w:p>
        </w:tc>
        <w:tc>
          <w:tcPr>
            <w:tcW w:type="dxa" w:w="4176"/>
            <w:shd w:val="clear" w:color="auto" w:fill="F2F5FA"/>
          </w:tcPr>
          <w:p>
            <w:pPr>
              <w:jc w:val="left"/>
            </w:pPr>
            <w:r/>
            <w:r>
              <w:rPr>
                <w:b w:val="0"/>
                <w:sz w:val="20"/>
              </w:rPr>
              <w:t>Pedidos frecuentes y chicos (pull) elevan el gasto administrativo y de flete.</w:t>
            </w:r>
          </w:p>
        </w:tc>
      </w:tr>
      <w:tr>
        <w:tc>
          <w:tcPr>
            <w:tcW w:type="dxa" w:w="2448"/>
          </w:tcPr>
          <w:p>
            <w:pPr>
              <w:jc w:val="left"/>
            </w:pPr>
            <w:r/>
            <w:r>
              <w:rPr>
                <w:b w:val="0"/>
                <w:sz w:val="20"/>
              </w:rPr>
              <w:t>De mantenimiento / almacenaje</w:t>
            </w:r>
          </w:p>
        </w:tc>
        <w:tc>
          <w:tcPr>
            <w:tcW w:type="dxa" w:w="4896"/>
          </w:tcPr>
          <w:p>
            <w:pPr>
              <w:jc w:val="left"/>
            </w:pPr>
            <w:r/>
            <w:r>
              <w:rPr>
                <w:b w:val="0"/>
                <w:sz w:val="20"/>
              </w:rPr>
              <w:t>H = i × C (i = tasa anual, típicamente 18–30 %): capital, espacio, seguro, mermas, obsolescencia.</w:t>
            </w:r>
          </w:p>
        </w:tc>
        <w:tc>
          <w:tcPr>
            <w:tcW w:type="dxa" w:w="4176"/>
          </w:tcPr>
          <w:p>
            <w:pPr>
              <w:jc w:val="left"/>
            </w:pPr>
            <w:r/>
            <w:r>
              <w:rPr>
                <w:b w:val="0"/>
                <w:sz w:val="20"/>
              </w:rPr>
              <w:t>Causa directa del problema de “altos costos de almacenamiento”.</w:t>
            </w:r>
          </w:p>
        </w:tc>
      </w:tr>
      <w:tr>
        <w:tc>
          <w:tcPr>
            <w:tcW w:type="dxa" w:w="2448"/>
            <w:shd w:val="clear" w:color="auto" w:fill="F2F5FA"/>
          </w:tcPr>
          <w:p>
            <w:pPr>
              <w:jc w:val="left"/>
            </w:pPr>
            <w:r/>
            <w:r>
              <w:rPr>
                <w:b w:val="0"/>
                <w:sz w:val="20"/>
              </w:rPr>
              <w:t>Por faltantes (stock out)</w:t>
            </w:r>
          </w:p>
        </w:tc>
        <w:tc>
          <w:tcPr>
            <w:tcW w:type="dxa" w:w="4896"/>
            <w:shd w:val="clear" w:color="auto" w:fill="F2F5FA"/>
          </w:tcPr>
          <w:p>
            <w:pPr>
              <w:jc w:val="left"/>
            </w:pPr>
            <w:r/>
            <w:r>
              <w:rPr>
                <w:b w:val="0"/>
                <w:sz w:val="20"/>
              </w:rPr>
              <w:t>Margen perdido + urgencias de reabasto + penalización + pérdida de imagen.</w:t>
            </w:r>
          </w:p>
        </w:tc>
        <w:tc>
          <w:tcPr>
            <w:tcW w:type="dxa" w:w="4176"/>
            <w:shd w:val="clear" w:color="auto" w:fill="F2F5FA"/>
          </w:tcPr>
          <w:p>
            <w:pPr>
              <w:jc w:val="left"/>
            </w:pPr>
            <w:r/>
            <w:r>
              <w:rPr>
                <w:b w:val="0"/>
                <w:sz w:val="20"/>
              </w:rPr>
              <w:t>Cuanto más crítico el SKU (clase A), más caro es el faltante.</w:t>
            </w:r>
          </w:p>
        </w:tc>
      </w:tr>
      <w:tr>
        <w:tc>
          <w:tcPr>
            <w:tcW w:type="dxa" w:w="2448"/>
          </w:tcPr>
          <w:p>
            <w:pPr>
              <w:jc w:val="left"/>
            </w:pPr>
            <w:r/>
            <w:r>
              <w:rPr>
                <w:b w:val="0"/>
                <w:sz w:val="20"/>
              </w:rPr>
              <w:t>Por sobreinventario / obsolescencia</w:t>
            </w:r>
          </w:p>
        </w:tc>
        <w:tc>
          <w:tcPr>
            <w:tcW w:type="dxa" w:w="4896"/>
          </w:tcPr>
          <w:p>
            <w:pPr>
              <w:jc w:val="left"/>
            </w:pPr>
            <w:r/>
            <w:r>
              <w:rPr>
                <w:b w:val="0"/>
                <w:sz w:val="20"/>
              </w:rPr>
              <w:t>Valor de ítems sin salida, remates a precio bajo y espacio ocupado.</w:t>
            </w:r>
          </w:p>
        </w:tc>
        <w:tc>
          <w:tcPr>
            <w:tcW w:type="dxa" w:w="4176"/>
          </w:tcPr>
          <w:p>
            <w:pPr>
              <w:jc w:val="left"/>
            </w:pPr>
            <w:r/>
            <w:r>
              <w:rPr>
                <w:b w:val="0"/>
                <w:sz w:val="20"/>
              </w:rPr>
              <w:t>El ciclo corto de la electrónica hace que el exceso se deprecie muy rápido.</w:t>
            </w:r>
          </w:p>
        </w:tc>
      </w:tr>
    </w:tbl>
    <w:p>
      <w:pPr>
        <w:spacing w:after="200"/>
        <w:jc w:val="center"/>
      </w:pPr>
      <w:r>
        <w:rPr>
          <w:b w:val="0"/>
          <w:i/>
          <w:color w:val="595959"/>
          <w:sz w:val="19"/>
        </w:rPr>
        <w:t>Tabla 2. Costos del inventario y su relación con la problemática de XYZ.</w:t>
      </w:r>
    </w:p>
    <w:p>
      <w:pPr>
        <w:spacing w:after="80"/>
      </w:pPr>
      <w:r>
        <w:rPr>
          <w:b w:val="0"/>
          <w:i w:val="0"/>
          <w:sz w:val="22"/>
        </w:rPr>
        <w:t>El equilibrio se logra minimizando la suma de los costos de ordenar y de mantener, protegiéndose al mismo tiempo contra el costo de faltante. En la sección 5 se calculan el lote económico (EOQ), el stock de seguridad y el punto de reorden para los dos productos clave.</w:t>
      </w:r>
    </w:p>
    <w:p>
      <w:pPr>
        <w:pStyle w:val="Heading1"/>
      </w:pPr>
      <w:r>
        <w:t>3. Metodología de gestión de inventarios recomendada</w:t>
      </w:r>
    </w:p>
    <w:p>
      <w:pPr>
        <w:pStyle w:val="Heading2"/>
      </w:pPr>
      <w:r>
        <w:t>3.1 Comparación de metodologías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F3864"/>
          </w:tcPr>
          <w:p>
            <w:pPr>
              <w:jc w:val="center"/>
            </w:pPr>
            <w:r/>
            <w:r>
              <w:rPr>
                <w:b/>
                <w:color w:val="FFFFFF"/>
                <w:sz w:val="20"/>
              </w:rPr>
              <w:t>Metodología</w:t>
            </w:r>
          </w:p>
        </w:tc>
        <w:tc>
          <w:tcPr>
            <w:tcW w:type="dxa" w:w="3024"/>
            <w:shd w:val="clear" w:color="auto" w:fill="1F3864"/>
          </w:tcPr>
          <w:p>
            <w:pPr>
              <w:jc w:val="center"/>
            </w:pPr>
            <w:r/>
            <w:r>
              <w:rPr>
                <w:b/>
                <w:color w:val="FFFFFF"/>
                <w:sz w:val="20"/>
              </w:rPr>
              <w:t>Lógica</w:t>
            </w:r>
          </w:p>
        </w:tc>
        <w:tc>
          <w:tcPr>
            <w:tcW w:type="dxa" w:w="3024"/>
            <w:shd w:val="clear" w:color="auto" w:fill="1F3864"/>
          </w:tcPr>
          <w:p>
            <w:pPr>
              <w:jc w:val="center"/>
            </w:pPr>
            <w:r/>
            <w:r>
              <w:rPr>
                <w:b/>
                <w:color w:val="FFFFFF"/>
                <w:sz w:val="20"/>
              </w:rPr>
              <w:t>Fortalezas</w:t>
            </w:r>
          </w:p>
        </w:tc>
        <w:tc>
          <w:tcPr>
            <w:tcW w:type="dxa" w:w="3168"/>
            <w:shd w:val="clear" w:color="auto" w:fill="1F3864"/>
          </w:tcPr>
          <w:p>
            <w:pPr>
              <w:jc w:val="center"/>
            </w:pPr>
            <w:r/>
            <w:r>
              <w:rPr>
                <w:b/>
                <w:color w:val="FFFFFF"/>
                <w:sz w:val="20"/>
              </w:rPr>
              <w:t>Riesgos / límites</w:t>
            </w:r>
          </w:p>
        </w:tc>
      </w:tr>
      <w:tr>
        <w:tc>
          <w:tcPr>
            <w:tcW w:type="dxa" w:w="1728"/>
          </w:tcPr>
          <w:p>
            <w:pPr>
              <w:jc w:val="left"/>
            </w:pPr>
            <w:r/>
            <w:r>
              <w:rPr>
                <w:b w:val="0"/>
                <w:sz w:val="20"/>
              </w:rPr>
              <w:t>Push (empujar)</w:t>
            </w:r>
          </w:p>
        </w:tc>
        <w:tc>
          <w:tcPr>
            <w:tcW w:type="dxa" w:w="3024"/>
          </w:tcPr>
          <w:p>
            <w:pPr>
              <w:jc w:val="left"/>
            </w:pPr>
            <w:r/>
            <w:r>
              <w:rPr>
                <w:b w:val="0"/>
                <w:sz w:val="20"/>
              </w:rPr>
              <w:t>Producir/comprar según pronóstico y empujar al canal (MRP).</w:t>
            </w:r>
          </w:p>
        </w:tc>
        <w:tc>
          <w:tcPr>
            <w:tcW w:type="dxa" w:w="3024"/>
          </w:tcPr>
          <w:p>
            <w:pPr>
              <w:jc w:val="left"/>
            </w:pPr>
            <w:r/>
            <w:r>
              <w:rPr>
                <w:b w:val="0"/>
                <w:sz w:val="20"/>
              </w:rPr>
              <w:t>Escala, economías de lote, ideal para lanzamientos y promociones.</w:t>
            </w:r>
          </w:p>
        </w:tc>
        <w:tc>
          <w:tcPr>
            <w:tcW w:type="dxa" w:w="3168"/>
          </w:tcPr>
          <w:p>
            <w:pPr>
              <w:jc w:val="left"/>
            </w:pPr>
            <w:r/>
            <w:r>
              <w:rPr>
                <w:b w:val="0"/>
                <w:sz w:val="20"/>
              </w:rPr>
              <w:t>Si el pronóstico falla, genera sobreinventario y obsolescencia.</w:t>
            </w:r>
          </w:p>
        </w:tc>
      </w:tr>
      <w:tr>
        <w:tc>
          <w:tcPr>
            <w:tcW w:type="dxa" w:w="1728"/>
            <w:shd w:val="clear" w:color="auto" w:fill="F2F5FA"/>
          </w:tcPr>
          <w:p>
            <w:pPr>
              <w:jc w:val="left"/>
            </w:pPr>
            <w:r/>
            <w:r>
              <w:rPr>
                <w:b w:val="0"/>
                <w:sz w:val="20"/>
              </w:rPr>
              <w:t>Pull (jalar)</w:t>
            </w:r>
          </w:p>
        </w:tc>
        <w:tc>
          <w:tcPr>
            <w:tcW w:type="dxa" w:w="3024"/>
            <w:shd w:val="clear" w:color="auto" w:fill="F2F5FA"/>
          </w:tcPr>
          <w:p>
            <w:pPr>
              <w:jc w:val="left"/>
            </w:pPr>
            <w:r/>
            <w:r>
              <w:rPr>
                <w:b w:val="0"/>
                <w:sz w:val="20"/>
              </w:rPr>
              <w:t>Reabastecer solo según consumo real del cliente.</w:t>
            </w:r>
          </w:p>
        </w:tc>
        <w:tc>
          <w:tcPr>
            <w:tcW w:type="dxa" w:w="3024"/>
            <w:shd w:val="clear" w:color="auto" w:fill="F2F5FA"/>
          </w:tcPr>
          <w:p>
            <w:pPr>
              <w:jc w:val="left"/>
            </w:pPr>
            <w:r/>
            <w:r>
              <w:rPr>
                <w:b w:val="0"/>
                <w:sz w:val="20"/>
              </w:rPr>
              <w:t>Bajo inventario, responde a la demanda real.</w:t>
            </w:r>
          </w:p>
        </w:tc>
        <w:tc>
          <w:tcPr>
            <w:tcW w:type="dxa" w:w="3168"/>
            <w:shd w:val="clear" w:color="auto" w:fill="F2F5FA"/>
          </w:tcPr>
          <w:p>
            <w:pPr>
              <w:jc w:val="left"/>
            </w:pPr>
            <w:r/>
            <w:r>
              <w:rPr>
                <w:b w:val="0"/>
                <w:sz w:val="20"/>
              </w:rPr>
              <w:t>Requiere lead times cortos y demanda predecible a nivel operativo.</w:t>
            </w:r>
          </w:p>
        </w:tc>
      </w:tr>
      <w:tr>
        <w:tc>
          <w:tcPr>
            <w:tcW w:type="dxa" w:w="1728"/>
          </w:tcPr>
          <w:p>
            <w:pPr>
              <w:jc w:val="left"/>
            </w:pPr>
            <w:r/>
            <w:r>
              <w:rPr>
                <w:b w:val="0"/>
                <w:sz w:val="20"/>
              </w:rPr>
              <w:t>Por demanda (forecast-driven)</w:t>
            </w:r>
          </w:p>
        </w:tc>
        <w:tc>
          <w:tcPr>
            <w:tcW w:type="dxa" w:w="3024"/>
          </w:tcPr>
          <w:p>
            <w:pPr>
              <w:jc w:val="left"/>
            </w:pPr>
            <w:r/>
            <w:r>
              <w:rPr>
                <w:b w:val="0"/>
                <w:sz w:val="20"/>
              </w:rPr>
              <w:t>Todo se planea a partir del pronóstico de demanda.</w:t>
            </w:r>
          </w:p>
        </w:tc>
        <w:tc>
          <w:tcPr>
            <w:tcW w:type="dxa" w:w="3024"/>
          </w:tcPr>
          <w:p>
            <w:pPr>
              <w:jc w:val="left"/>
            </w:pPr>
            <w:r/>
            <w:r>
              <w:rPr>
                <w:b w:val="0"/>
                <w:sz w:val="20"/>
              </w:rPr>
              <w:t>Visibilidad y planeación agregada (base del S&amp;OP).</w:t>
            </w:r>
          </w:p>
        </w:tc>
        <w:tc>
          <w:tcPr>
            <w:tcW w:type="dxa" w:w="3168"/>
          </w:tcPr>
          <w:p>
            <w:pPr>
              <w:jc w:val="left"/>
            </w:pPr>
            <w:r/>
            <w:r>
              <w:rPr>
                <w:b w:val="0"/>
                <w:sz w:val="20"/>
              </w:rPr>
              <w:t>La calidad depende del pronóstico; rigidez ante cambios súbitos.</w:t>
            </w:r>
          </w:p>
        </w:tc>
      </w:tr>
      <w:tr>
        <w:tc>
          <w:tcPr>
            <w:tcW w:type="dxa" w:w="1728"/>
            <w:shd w:val="clear" w:color="auto" w:fill="F2F5FA"/>
          </w:tcPr>
          <w:p>
            <w:pPr>
              <w:jc w:val="left"/>
            </w:pPr>
            <w:r/>
            <w:r>
              <w:rPr>
                <w:b w:val="0"/>
                <w:sz w:val="20"/>
              </w:rPr>
              <w:t>Kanban / JIT</w:t>
            </w:r>
          </w:p>
        </w:tc>
        <w:tc>
          <w:tcPr>
            <w:tcW w:type="dxa" w:w="3024"/>
            <w:shd w:val="clear" w:color="auto" w:fill="F2F5FA"/>
          </w:tcPr>
          <w:p>
            <w:pPr>
              <w:jc w:val="left"/>
            </w:pPr>
            <w:r/>
            <w:r>
              <w:rPr>
                <w:b w:val="0"/>
                <w:sz w:val="20"/>
              </w:rPr>
              <w:t>Señal de reabasto por tarjetas o contenedores cuando el nivel baja.</w:t>
            </w:r>
          </w:p>
        </w:tc>
        <w:tc>
          <w:tcPr>
            <w:tcW w:type="dxa" w:w="3024"/>
            <w:shd w:val="clear" w:color="auto" w:fill="F2F5FA"/>
          </w:tcPr>
          <w:p>
            <w:pPr>
              <w:jc w:val="left"/>
            </w:pPr>
            <w:r/>
            <w:r>
              <w:rPr>
                <w:b w:val="0"/>
                <w:sz w:val="20"/>
              </w:rPr>
              <w:t>Visual, autocontrolado, mínimo desperdicio, flujo continuo.</w:t>
            </w:r>
          </w:p>
        </w:tc>
        <w:tc>
          <w:tcPr>
            <w:tcW w:type="dxa" w:w="3168"/>
            <w:shd w:val="clear" w:color="auto" w:fill="F2F5FA"/>
          </w:tcPr>
          <w:p>
            <w:pPr>
              <w:jc w:val="left"/>
            </w:pPr>
            <w:r/>
            <w:r>
              <w:rPr>
                <w:b w:val="0"/>
                <w:sz w:val="20"/>
              </w:rPr>
              <w:t>Sensible a variabilidad y a fallas de suministro; no admite lead times largos.</w:t>
            </w:r>
          </w:p>
        </w:tc>
      </w:tr>
    </w:tbl>
    <w:p>
      <w:pPr>
        <w:spacing w:after="200"/>
        <w:jc w:val="center"/>
      </w:pPr>
      <w:r>
        <w:rPr>
          <w:b w:val="0"/>
          <w:i/>
          <w:color w:val="595959"/>
          <w:sz w:val="19"/>
        </w:rPr>
        <w:t>Tabla 3. Comparación de metodologías de gestión de inventarios.</w:t>
      </w:r>
    </w:p>
    <w:p>
      <w:pPr>
        <w:pStyle w:val="Heading2"/>
      </w:pPr>
      <w:r>
        <w:t>3.2 Metodología seleccionada y justificación</w:t>
      </w:r>
    </w:p>
    <w:p>
      <w:pPr>
        <w:spacing w:after="80"/>
      </w:pPr>
      <w:r>
        <w:rPr>
          <w:b w:val="0"/>
          <w:i w:val="0"/>
          <w:sz w:val="22"/>
        </w:rPr>
        <w:t>Para una distribuidora de electrónicos con lead times largos (3–9 semanas) y alta variabilidad, no existe una sola metodología correcta. Recomendamos un enfoque híbrido gobernado por S&amp;OP:</w:t>
      </w:r>
    </w:p>
    <w:p>
      <w:pPr>
        <w:pStyle w:val="ListBullet"/>
        <w:spacing w:after="60"/>
      </w:pPr>
      <w:r>
        <w:rPr>
          <w:b/>
        </w:rPr>
        <w:t xml:space="preserve">• </w:t>
      </w:r>
      <w:r>
        <w:t>para la base del portafolio y los reaprovisionamientos recurrentes, un sistema Pull con Kanban (tarjetas/bins y reabastecimiento por consumo real), que reduce el sobreinventario y alinea el stock con la rotación real;</w:t>
      </w:r>
    </w:p>
    <w:p>
      <w:pPr>
        <w:pStyle w:val="ListBullet"/>
        <w:spacing w:after="60"/>
      </w:pPr>
      <w:r>
        <w:rPr>
          <w:b/>
        </w:rPr>
        <w:t xml:space="preserve">• </w:t>
      </w:r>
      <w:r>
        <w:t>para lanzamientos, promociones (Buen Fin, Black Friday) y productos de temporada, planeación Push apoyada en MRP y en el pronóstico de demanda, porque la demanda “empujada” por marketing no puede jalar sola;</w:t>
      </w:r>
    </w:p>
    <w:p>
      <w:pPr>
        <w:pStyle w:val="ListBullet"/>
        <w:spacing w:after="60"/>
      </w:pPr>
      <w:r>
        <w:rPr>
          <w:b/>
        </w:rPr>
        <w:t xml:space="preserve">• </w:t>
      </w:r>
      <w:r>
        <w:t>para los artículos críticos (clase A), control continuo con punto de reorden (ROP) y stock de seguridad calculado estadísticamente;</w:t>
      </w:r>
    </w:p>
    <w:p>
      <w:pPr>
        <w:pStyle w:val="ListBullet"/>
        <w:spacing w:after="60"/>
      </w:pPr>
      <w:r>
        <w:rPr>
          <w:b/>
        </w:rPr>
        <w:t xml:space="preserve">• </w:t>
      </w:r>
      <w:r>
        <w:t>todo sincronizado mensualmente por el proceso S&amp;OP, que concilia la demanda (ventas y marketing) con el suministro (compras, logística y finanzas).</w:t>
      </w:r>
    </w:p>
    <w:p>
      <w:pPr>
        <w:spacing w:after="80"/>
      </w:pPr>
      <w:r>
        <w:rPr>
          <w:b w:val="0"/>
          <w:i w:val="0"/>
          <w:sz w:val="22"/>
        </w:rPr>
        <w:t>Justificación: el Kanban puro exige lead times cortos y demanda estable, lo cual no aplica a importaciones desde Asia con 45+ días de tránsito; el Push puro volvería a inflar el almacén y a multiplicar la obsolescencia (el origen del problema de XYZ). El híbrido Pull+Kanban en la rotación diaria y Push/MRP en las excepciones, con la disciplina del S&amp;OP como “semáforo” mensual, maximiza el nivel de servicio con el mínimo capital inmovilizado.</w:t>
      </w:r>
    </w:p>
    <w:p>
      <w:pPr>
        <w:pStyle w:val="Heading1"/>
      </w:pPr>
      <w:r>
        <w:t>4. Priorización de productos: análisis ABC–XYZ</w:t>
      </w:r>
    </w:p>
    <w:p>
      <w:pPr>
        <w:spacing w:after="80"/>
      </w:pPr>
      <w:r>
        <w:rPr>
          <w:b w:val="0"/>
          <w:i w:val="0"/>
          <w:sz w:val="22"/>
        </w:rPr>
        <w:t>Se clasificó un portafolio de referencia de 10 SKU según su valor anual de consumo (costo unitario × demanda anual) y la variabilidad de su demanda (coeficiente de variación, CV). El cruce ABC–XYZ permite definir la política de control de cada grupo.</w:t>
      </w:r>
    </w:p>
    <w:p>
      <w:pPr>
        <w:jc w:val="center"/>
      </w:pPr>
      <w:r>
        <w:drawing>
          <wp:inline xmlns:a="http://schemas.openxmlformats.org/drawingml/2006/main" xmlns:pic="http://schemas.openxmlformats.org/drawingml/2006/picture">
            <wp:extent cx="5852160" cy="2861056"/>
            <wp:docPr id="1" name="Picture 1"/>
            <wp:cNvGraphicFramePr>
              <a:graphicFrameLocks noChangeAspect="1"/>
            </wp:cNvGraphicFramePr>
            <a:graphic>
              <a:graphicData uri="http://schemas.openxmlformats.org/drawingml/2006/picture">
                <pic:pic>
                  <pic:nvPicPr>
                    <pic:cNvPr id="0" name="fig_pareto.png"/>
                    <pic:cNvPicPr/>
                  </pic:nvPicPr>
                  <pic:blipFill>
                    <a:blip r:embed="rId9"/>
                    <a:stretch>
                      <a:fillRect/>
                    </a:stretch>
                  </pic:blipFill>
                  <pic:spPr>
                    <a:xfrm>
                      <a:off x="0" y="0"/>
                      <a:ext cx="5852160" cy="2861056"/>
                    </a:xfrm>
                    <a:prstGeom prst="rect"/>
                  </pic:spPr>
                </pic:pic>
              </a:graphicData>
            </a:graphic>
          </wp:inline>
        </w:drawing>
      </w:r>
    </w:p>
    <w:p>
      <w:pPr>
        <w:spacing w:after="200"/>
        <w:jc w:val="center"/>
      </w:pPr>
      <w:r>
        <w:rPr>
          <w:b w:val="0"/>
          <w:i/>
          <w:color w:val="595959"/>
          <w:sz w:val="19"/>
        </w:rPr>
        <w:t>Figura 1. Análisis ABC (Pareto) del valor anual de consumo del portafolio de XYZ.</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3312"/>
            <w:shd w:val="clear" w:color="auto" w:fill="1F3864"/>
          </w:tcPr>
          <w:p>
            <w:pPr>
              <w:jc w:val="center"/>
            </w:pPr>
            <w:r/>
            <w:r>
              <w:rPr>
                <w:b/>
                <w:color w:val="FFFFFF"/>
                <w:sz w:val="18"/>
              </w:rPr>
              <w:t>Producto / categoría</w:t>
            </w:r>
          </w:p>
        </w:tc>
        <w:tc>
          <w:tcPr>
            <w:tcW w:type="dxa" w:w="864"/>
            <w:shd w:val="clear" w:color="auto" w:fill="1F3864"/>
          </w:tcPr>
          <w:p>
            <w:pPr>
              <w:jc w:val="center"/>
            </w:pPr>
            <w:r/>
            <w:r>
              <w:rPr>
                <w:b/>
                <w:color w:val="FFFFFF"/>
                <w:sz w:val="18"/>
              </w:rPr>
              <w:t>Costo unit.</w:t>
            </w:r>
          </w:p>
        </w:tc>
        <w:tc>
          <w:tcPr>
            <w:tcW w:type="dxa" w:w="1152"/>
            <w:shd w:val="clear" w:color="auto" w:fill="1F3864"/>
          </w:tcPr>
          <w:p>
            <w:pPr>
              <w:jc w:val="center"/>
            </w:pPr>
            <w:r/>
            <w:r>
              <w:rPr>
                <w:b/>
                <w:color w:val="FFFFFF"/>
                <w:sz w:val="18"/>
              </w:rPr>
              <w:t>Demanda anual</w:t>
            </w:r>
          </w:p>
        </w:tc>
        <w:tc>
          <w:tcPr>
            <w:tcW w:type="dxa" w:w="1440"/>
            <w:shd w:val="clear" w:color="auto" w:fill="1F3864"/>
          </w:tcPr>
          <w:p>
            <w:pPr>
              <w:jc w:val="center"/>
            </w:pPr>
            <w:r/>
            <w:r>
              <w:rPr>
                <w:b/>
                <w:color w:val="FFFFFF"/>
                <w:sz w:val="18"/>
              </w:rPr>
              <w:t>Valor anual (USD)</w:t>
            </w:r>
          </w:p>
        </w:tc>
        <w:tc>
          <w:tcPr>
            <w:tcW w:type="dxa" w:w="1008"/>
            <w:shd w:val="clear" w:color="auto" w:fill="1F3864"/>
          </w:tcPr>
          <w:p>
            <w:pPr>
              <w:jc w:val="center"/>
            </w:pPr>
            <w:r/>
            <w:r>
              <w:rPr>
                <w:b/>
                <w:color w:val="FFFFFF"/>
                <w:sz w:val="18"/>
              </w:rPr>
              <w:t>Participación</w:t>
            </w:r>
          </w:p>
        </w:tc>
        <w:tc>
          <w:tcPr>
            <w:tcW w:type="dxa" w:w="1008"/>
            <w:shd w:val="clear" w:color="auto" w:fill="1F3864"/>
          </w:tcPr>
          <w:p>
            <w:pPr>
              <w:jc w:val="center"/>
            </w:pPr>
            <w:r/>
            <w:r>
              <w:rPr>
                <w:b/>
                <w:color w:val="FFFFFF"/>
                <w:sz w:val="18"/>
              </w:rPr>
              <w:t>Acumulado</w:t>
            </w:r>
          </w:p>
        </w:tc>
        <w:tc>
          <w:tcPr>
            <w:tcW w:type="dxa" w:w="720"/>
            <w:shd w:val="clear" w:color="auto" w:fill="1F3864"/>
          </w:tcPr>
          <w:p>
            <w:pPr>
              <w:jc w:val="center"/>
            </w:pPr>
            <w:r/>
            <w:r>
              <w:rPr>
                <w:b/>
                <w:color w:val="FFFFFF"/>
                <w:sz w:val="18"/>
              </w:rPr>
              <w:t>ABC</w:t>
            </w:r>
          </w:p>
        </w:tc>
        <w:tc>
          <w:tcPr>
            <w:tcW w:type="dxa" w:w="1296"/>
            <w:shd w:val="clear" w:color="auto" w:fill="1F3864"/>
          </w:tcPr>
          <w:p>
            <w:pPr>
              <w:jc w:val="center"/>
            </w:pPr>
            <w:r/>
            <w:r>
              <w:rPr>
                <w:b/>
                <w:color w:val="FFFFFF"/>
                <w:sz w:val="18"/>
              </w:rPr>
              <w:t>Variab.</w:t>
            </w:r>
          </w:p>
        </w:tc>
        <w:tc>
          <w:tcPr>
            <w:tcW w:type="dxa" w:w="1008"/>
            <w:shd w:val="clear" w:color="auto" w:fill="1F3864"/>
          </w:tcPr>
          <w:p>
            <w:pPr>
              <w:jc w:val="center"/>
            </w:pPr>
            <w:r/>
            <w:r>
              <w:rPr>
                <w:b/>
                <w:color w:val="FFFFFF"/>
                <w:sz w:val="18"/>
              </w:rPr>
              <w:t>ABC–XYZ</w:t>
            </w:r>
          </w:p>
        </w:tc>
      </w:tr>
      <w:tr>
        <w:tc>
          <w:tcPr>
            <w:tcW w:type="dxa" w:w="3312"/>
          </w:tcPr>
          <w:p>
            <w:pPr>
              <w:jc w:val="left"/>
            </w:pPr>
            <w:r/>
            <w:r>
              <w:rPr>
                <w:b w:val="0"/>
                <w:sz w:val="18"/>
              </w:rPr>
              <w:t>Flagship 5G Smartphone</w:t>
            </w:r>
          </w:p>
        </w:tc>
        <w:tc>
          <w:tcPr>
            <w:tcW w:type="dxa" w:w="864"/>
          </w:tcPr>
          <w:p>
            <w:pPr>
              <w:jc w:val="left"/>
            </w:pPr>
            <w:r/>
            <w:r>
              <w:rPr>
                <w:b w:val="0"/>
                <w:sz w:val="18"/>
              </w:rPr>
              <w:t>$450</w:t>
            </w:r>
          </w:p>
        </w:tc>
        <w:tc>
          <w:tcPr>
            <w:tcW w:type="dxa" w:w="1152"/>
          </w:tcPr>
          <w:p>
            <w:pPr>
              <w:jc w:val="left"/>
            </w:pPr>
            <w:r/>
            <w:r>
              <w:rPr>
                <w:b w:val="0"/>
                <w:sz w:val="18"/>
              </w:rPr>
              <w:t>25,040</w:t>
            </w:r>
          </w:p>
        </w:tc>
        <w:tc>
          <w:tcPr>
            <w:tcW w:type="dxa" w:w="1440"/>
          </w:tcPr>
          <w:p>
            <w:pPr>
              <w:jc w:val="left"/>
            </w:pPr>
            <w:r/>
            <w:r>
              <w:rPr>
                <w:b w:val="0"/>
                <w:sz w:val="18"/>
              </w:rPr>
              <w:t>$11,268,000</w:t>
            </w:r>
          </w:p>
        </w:tc>
        <w:tc>
          <w:tcPr>
            <w:tcW w:type="dxa" w:w="1008"/>
          </w:tcPr>
          <w:p>
            <w:pPr>
              <w:jc w:val="left"/>
            </w:pPr>
            <w:r/>
            <w:r>
              <w:rPr>
                <w:b w:val="0"/>
                <w:sz w:val="18"/>
              </w:rPr>
              <w:t>48.2 %</w:t>
            </w:r>
          </w:p>
        </w:tc>
        <w:tc>
          <w:tcPr>
            <w:tcW w:type="dxa" w:w="1008"/>
          </w:tcPr>
          <w:p>
            <w:pPr>
              <w:jc w:val="left"/>
            </w:pPr>
            <w:r/>
            <w:r>
              <w:rPr>
                <w:b w:val="0"/>
                <w:sz w:val="18"/>
              </w:rPr>
              <w:t>48.2 %</w:t>
            </w:r>
          </w:p>
        </w:tc>
        <w:tc>
          <w:tcPr>
            <w:tcW w:type="dxa" w:w="720"/>
          </w:tcPr>
          <w:p>
            <w:pPr>
              <w:jc w:val="left"/>
            </w:pPr>
            <w:r/>
            <w:r>
              <w:rPr>
                <w:b w:val="0"/>
                <w:sz w:val="18"/>
              </w:rPr>
              <w:t>A</w:t>
            </w:r>
          </w:p>
        </w:tc>
        <w:tc>
          <w:tcPr>
            <w:tcW w:type="dxa" w:w="1296"/>
          </w:tcPr>
          <w:p>
            <w:pPr>
              <w:jc w:val="left"/>
            </w:pPr>
            <w:r/>
            <w:r>
              <w:rPr>
                <w:b w:val="0"/>
                <w:sz w:val="18"/>
              </w:rPr>
              <w:t>Baja (0.11)</w:t>
            </w:r>
          </w:p>
        </w:tc>
        <w:tc>
          <w:tcPr>
            <w:tcW w:type="dxa" w:w="1008"/>
          </w:tcPr>
          <w:p>
            <w:pPr>
              <w:jc w:val="left"/>
            </w:pPr>
            <w:r/>
            <w:r>
              <w:rPr>
                <w:b w:val="0"/>
                <w:sz w:val="18"/>
              </w:rPr>
              <w:t>AX</w:t>
            </w:r>
          </w:p>
        </w:tc>
      </w:tr>
      <w:tr>
        <w:tc>
          <w:tcPr>
            <w:tcW w:type="dxa" w:w="3312"/>
            <w:shd w:val="clear" w:color="auto" w:fill="F2F5FA"/>
          </w:tcPr>
          <w:p>
            <w:pPr>
              <w:jc w:val="left"/>
            </w:pPr>
            <w:r/>
            <w:r>
              <w:rPr>
                <w:b w:val="0"/>
                <w:sz w:val="18"/>
              </w:rPr>
              <w:t>Ultra-Slim Business Laptop 14”</w:t>
            </w:r>
          </w:p>
        </w:tc>
        <w:tc>
          <w:tcPr>
            <w:tcW w:type="dxa" w:w="864"/>
            <w:shd w:val="clear" w:color="auto" w:fill="F2F5FA"/>
          </w:tcPr>
          <w:p>
            <w:pPr>
              <w:jc w:val="left"/>
            </w:pPr>
            <w:r/>
            <w:r>
              <w:rPr>
                <w:b w:val="0"/>
                <w:sz w:val="18"/>
              </w:rPr>
              <w:t>$750</w:t>
            </w:r>
          </w:p>
        </w:tc>
        <w:tc>
          <w:tcPr>
            <w:tcW w:type="dxa" w:w="1152"/>
            <w:shd w:val="clear" w:color="auto" w:fill="F2F5FA"/>
          </w:tcPr>
          <w:p>
            <w:pPr>
              <w:jc w:val="left"/>
            </w:pPr>
            <w:r/>
            <w:r>
              <w:rPr>
                <w:b w:val="0"/>
                <w:sz w:val="18"/>
              </w:rPr>
              <w:t>6,020</w:t>
            </w:r>
          </w:p>
        </w:tc>
        <w:tc>
          <w:tcPr>
            <w:tcW w:type="dxa" w:w="1440"/>
            <w:shd w:val="clear" w:color="auto" w:fill="F2F5FA"/>
          </w:tcPr>
          <w:p>
            <w:pPr>
              <w:jc w:val="left"/>
            </w:pPr>
            <w:r/>
            <w:r>
              <w:rPr>
                <w:b w:val="0"/>
                <w:sz w:val="18"/>
              </w:rPr>
              <w:t>$4,515,000</w:t>
            </w:r>
          </w:p>
        </w:tc>
        <w:tc>
          <w:tcPr>
            <w:tcW w:type="dxa" w:w="1008"/>
            <w:shd w:val="clear" w:color="auto" w:fill="F2F5FA"/>
          </w:tcPr>
          <w:p>
            <w:pPr>
              <w:jc w:val="left"/>
            </w:pPr>
            <w:r/>
            <w:r>
              <w:rPr>
                <w:b w:val="0"/>
                <w:sz w:val="18"/>
              </w:rPr>
              <w:t>19.3 %</w:t>
            </w:r>
          </w:p>
        </w:tc>
        <w:tc>
          <w:tcPr>
            <w:tcW w:type="dxa" w:w="1008"/>
            <w:shd w:val="clear" w:color="auto" w:fill="F2F5FA"/>
          </w:tcPr>
          <w:p>
            <w:pPr>
              <w:jc w:val="left"/>
            </w:pPr>
            <w:r/>
            <w:r>
              <w:rPr>
                <w:b w:val="0"/>
                <w:sz w:val="18"/>
              </w:rPr>
              <w:t>67.5 %</w:t>
            </w:r>
          </w:p>
        </w:tc>
        <w:tc>
          <w:tcPr>
            <w:tcW w:type="dxa" w:w="720"/>
            <w:shd w:val="clear" w:color="auto" w:fill="F2F5FA"/>
          </w:tcPr>
          <w:p>
            <w:pPr>
              <w:jc w:val="left"/>
            </w:pPr>
            <w:r/>
            <w:r>
              <w:rPr>
                <w:b w:val="0"/>
                <w:sz w:val="18"/>
              </w:rPr>
              <w:t>A</w:t>
            </w:r>
          </w:p>
        </w:tc>
        <w:tc>
          <w:tcPr>
            <w:tcW w:type="dxa" w:w="1296"/>
            <w:shd w:val="clear" w:color="auto" w:fill="F2F5FA"/>
          </w:tcPr>
          <w:p>
            <w:pPr>
              <w:jc w:val="left"/>
            </w:pPr>
            <w:r/>
            <w:r>
              <w:rPr>
                <w:b w:val="0"/>
                <w:sz w:val="18"/>
              </w:rPr>
              <w:t>Media (0.17)</w:t>
            </w:r>
          </w:p>
        </w:tc>
        <w:tc>
          <w:tcPr>
            <w:tcW w:type="dxa" w:w="1008"/>
            <w:shd w:val="clear" w:color="auto" w:fill="F2F5FA"/>
          </w:tcPr>
          <w:p>
            <w:pPr>
              <w:jc w:val="left"/>
            </w:pPr>
            <w:r/>
            <w:r>
              <w:rPr>
                <w:b w:val="0"/>
                <w:sz w:val="18"/>
              </w:rPr>
              <w:t>AY</w:t>
            </w:r>
          </w:p>
        </w:tc>
      </w:tr>
      <w:tr>
        <w:tc>
          <w:tcPr>
            <w:tcW w:type="dxa" w:w="3312"/>
          </w:tcPr>
          <w:p>
            <w:pPr>
              <w:jc w:val="left"/>
            </w:pPr>
            <w:r/>
            <w:r>
              <w:rPr>
                <w:b w:val="0"/>
                <w:sz w:val="18"/>
              </w:rPr>
              <w:t>Smart OLED TV 55” 4K</w:t>
            </w:r>
          </w:p>
        </w:tc>
        <w:tc>
          <w:tcPr>
            <w:tcW w:type="dxa" w:w="864"/>
          </w:tcPr>
          <w:p>
            <w:pPr>
              <w:jc w:val="left"/>
            </w:pPr>
            <w:r/>
            <w:r>
              <w:rPr>
                <w:b w:val="0"/>
                <w:sz w:val="18"/>
              </w:rPr>
              <w:t>$550</w:t>
            </w:r>
          </w:p>
        </w:tc>
        <w:tc>
          <w:tcPr>
            <w:tcW w:type="dxa" w:w="1152"/>
          </w:tcPr>
          <w:p>
            <w:pPr>
              <w:jc w:val="left"/>
            </w:pPr>
            <w:r/>
            <w:r>
              <w:rPr>
                <w:b w:val="0"/>
                <w:sz w:val="18"/>
              </w:rPr>
              <w:t>4,200</w:t>
            </w:r>
          </w:p>
        </w:tc>
        <w:tc>
          <w:tcPr>
            <w:tcW w:type="dxa" w:w="1440"/>
          </w:tcPr>
          <w:p>
            <w:pPr>
              <w:jc w:val="left"/>
            </w:pPr>
            <w:r/>
            <w:r>
              <w:rPr>
                <w:b w:val="0"/>
                <w:sz w:val="18"/>
              </w:rPr>
              <w:t>$2,310,000</w:t>
            </w:r>
          </w:p>
        </w:tc>
        <w:tc>
          <w:tcPr>
            <w:tcW w:type="dxa" w:w="1008"/>
          </w:tcPr>
          <w:p>
            <w:pPr>
              <w:jc w:val="left"/>
            </w:pPr>
            <w:r/>
            <w:r>
              <w:rPr>
                <w:b w:val="0"/>
                <w:sz w:val="18"/>
              </w:rPr>
              <w:t>9.9 %</w:t>
            </w:r>
          </w:p>
        </w:tc>
        <w:tc>
          <w:tcPr>
            <w:tcW w:type="dxa" w:w="1008"/>
          </w:tcPr>
          <w:p>
            <w:pPr>
              <w:jc w:val="left"/>
            </w:pPr>
            <w:r/>
            <w:r>
              <w:rPr>
                <w:b w:val="0"/>
                <w:sz w:val="18"/>
              </w:rPr>
              <w:t>77.4 %</w:t>
            </w:r>
          </w:p>
        </w:tc>
        <w:tc>
          <w:tcPr>
            <w:tcW w:type="dxa" w:w="720"/>
          </w:tcPr>
          <w:p>
            <w:pPr>
              <w:jc w:val="left"/>
            </w:pPr>
            <w:r/>
            <w:r>
              <w:rPr>
                <w:b w:val="0"/>
                <w:sz w:val="18"/>
              </w:rPr>
              <w:t>B</w:t>
            </w:r>
          </w:p>
        </w:tc>
        <w:tc>
          <w:tcPr>
            <w:tcW w:type="dxa" w:w="1296"/>
          </w:tcPr>
          <w:p>
            <w:pPr>
              <w:jc w:val="left"/>
            </w:pPr>
            <w:r/>
            <w:r>
              <w:rPr>
                <w:b w:val="0"/>
                <w:sz w:val="18"/>
              </w:rPr>
              <w:t>Media (0.22)</w:t>
            </w:r>
          </w:p>
        </w:tc>
        <w:tc>
          <w:tcPr>
            <w:tcW w:type="dxa" w:w="1008"/>
          </w:tcPr>
          <w:p>
            <w:pPr>
              <w:jc w:val="left"/>
            </w:pPr>
            <w:r/>
            <w:r>
              <w:rPr>
                <w:b w:val="0"/>
                <w:sz w:val="18"/>
              </w:rPr>
              <w:t>BY</w:t>
            </w:r>
          </w:p>
        </w:tc>
      </w:tr>
      <w:tr>
        <w:tc>
          <w:tcPr>
            <w:tcW w:type="dxa" w:w="3312"/>
            <w:shd w:val="clear" w:color="auto" w:fill="F2F5FA"/>
          </w:tcPr>
          <w:p>
            <w:pPr>
              <w:jc w:val="left"/>
            </w:pPr>
            <w:r/>
            <w:r>
              <w:rPr>
                <w:b w:val="0"/>
                <w:sz w:val="18"/>
              </w:rPr>
              <w:t>Tablet 10” gama media</w:t>
            </w:r>
          </w:p>
        </w:tc>
        <w:tc>
          <w:tcPr>
            <w:tcW w:type="dxa" w:w="864"/>
            <w:shd w:val="clear" w:color="auto" w:fill="F2F5FA"/>
          </w:tcPr>
          <w:p>
            <w:pPr>
              <w:jc w:val="left"/>
            </w:pPr>
            <w:r/>
            <w:r>
              <w:rPr>
                <w:b w:val="0"/>
                <w:sz w:val="18"/>
              </w:rPr>
              <w:t>$220</w:t>
            </w:r>
          </w:p>
        </w:tc>
        <w:tc>
          <w:tcPr>
            <w:tcW w:type="dxa" w:w="1152"/>
            <w:shd w:val="clear" w:color="auto" w:fill="F2F5FA"/>
          </w:tcPr>
          <w:p>
            <w:pPr>
              <w:jc w:val="left"/>
            </w:pPr>
            <w:r/>
            <w:r>
              <w:rPr>
                <w:b w:val="0"/>
                <w:sz w:val="18"/>
              </w:rPr>
              <w:t>7,500</w:t>
            </w:r>
          </w:p>
        </w:tc>
        <w:tc>
          <w:tcPr>
            <w:tcW w:type="dxa" w:w="1440"/>
            <w:shd w:val="clear" w:color="auto" w:fill="F2F5FA"/>
          </w:tcPr>
          <w:p>
            <w:pPr>
              <w:jc w:val="left"/>
            </w:pPr>
            <w:r/>
            <w:r>
              <w:rPr>
                <w:b w:val="0"/>
                <w:sz w:val="18"/>
              </w:rPr>
              <w:t>$1,650,000</w:t>
            </w:r>
          </w:p>
        </w:tc>
        <w:tc>
          <w:tcPr>
            <w:tcW w:type="dxa" w:w="1008"/>
            <w:shd w:val="clear" w:color="auto" w:fill="F2F5FA"/>
          </w:tcPr>
          <w:p>
            <w:pPr>
              <w:jc w:val="left"/>
            </w:pPr>
            <w:r/>
            <w:r>
              <w:rPr>
                <w:b w:val="0"/>
                <w:sz w:val="18"/>
              </w:rPr>
              <w:t>7.1 %</w:t>
            </w:r>
          </w:p>
        </w:tc>
        <w:tc>
          <w:tcPr>
            <w:tcW w:type="dxa" w:w="1008"/>
            <w:shd w:val="clear" w:color="auto" w:fill="F2F5FA"/>
          </w:tcPr>
          <w:p>
            <w:pPr>
              <w:jc w:val="left"/>
            </w:pPr>
            <w:r/>
            <w:r>
              <w:rPr>
                <w:b w:val="0"/>
                <w:sz w:val="18"/>
              </w:rPr>
              <w:t>84.5 %</w:t>
            </w:r>
          </w:p>
        </w:tc>
        <w:tc>
          <w:tcPr>
            <w:tcW w:type="dxa" w:w="720"/>
            <w:shd w:val="clear" w:color="auto" w:fill="F2F5FA"/>
          </w:tcPr>
          <w:p>
            <w:pPr>
              <w:jc w:val="left"/>
            </w:pPr>
            <w:r/>
            <w:r>
              <w:rPr>
                <w:b w:val="0"/>
                <w:sz w:val="18"/>
              </w:rPr>
              <w:t>B</w:t>
            </w:r>
          </w:p>
        </w:tc>
        <w:tc>
          <w:tcPr>
            <w:tcW w:type="dxa" w:w="1296"/>
            <w:shd w:val="clear" w:color="auto" w:fill="F2F5FA"/>
          </w:tcPr>
          <w:p>
            <w:pPr>
              <w:jc w:val="left"/>
            </w:pPr>
            <w:r/>
            <w:r>
              <w:rPr>
                <w:b w:val="0"/>
                <w:sz w:val="18"/>
              </w:rPr>
              <w:t>Media (0.19)</w:t>
            </w:r>
          </w:p>
        </w:tc>
        <w:tc>
          <w:tcPr>
            <w:tcW w:type="dxa" w:w="1008"/>
            <w:shd w:val="clear" w:color="auto" w:fill="F2F5FA"/>
          </w:tcPr>
          <w:p>
            <w:pPr>
              <w:jc w:val="left"/>
            </w:pPr>
            <w:r/>
            <w:r>
              <w:rPr>
                <w:b w:val="0"/>
                <w:sz w:val="18"/>
              </w:rPr>
              <w:t>BY</w:t>
            </w:r>
          </w:p>
        </w:tc>
      </w:tr>
      <w:tr>
        <w:tc>
          <w:tcPr>
            <w:tcW w:type="dxa" w:w="3312"/>
          </w:tcPr>
          <w:p>
            <w:pPr>
              <w:jc w:val="left"/>
            </w:pPr>
            <w:r/>
            <w:r>
              <w:rPr>
                <w:b w:val="0"/>
                <w:sz w:val="18"/>
              </w:rPr>
              <w:t>Audífonos con cancelación de ruido</w:t>
            </w:r>
          </w:p>
        </w:tc>
        <w:tc>
          <w:tcPr>
            <w:tcW w:type="dxa" w:w="864"/>
          </w:tcPr>
          <w:p>
            <w:pPr>
              <w:jc w:val="left"/>
            </w:pPr>
            <w:r/>
            <w:r>
              <w:rPr>
                <w:b w:val="0"/>
                <w:sz w:val="18"/>
              </w:rPr>
              <w:t>$120</w:t>
            </w:r>
          </w:p>
        </w:tc>
        <w:tc>
          <w:tcPr>
            <w:tcW w:type="dxa" w:w="1152"/>
          </w:tcPr>
          <w:p>
            <w:pPr>
              <w:jc w:val="left"/>
            </w:pPr>
            <w:r/>
            <w:r>
              <w:rPr>
                <w:b w:val="0"/>
                <w:sz w:val="18"/>
              </w:rPr>
              <w:t>9,000</w:t>
            </w:r>
          </w:p>
        </w:tc>
        <w:tc>
          <w:tcPr>
            <w:tcW w:type="dxa" w:w="1440"/>
          </w:tcPr>
          <w:p>
            <w:pPr>
              <w:jc w:val="left"/>
            </w:pPr>
            <w:r/>
            <w:r>
              <w:rPr>
                <w:b w:val="0"/>
                <w:sz w:val="18"/>
              </w:rPr>
              <w:t>$1,080,000</w:t>
            </w:r>
          </w:p>
        </w:tc>
        <w:tc>
          <w:tcPr>
            <w:tcW w:type="dxa" w:w="1008"/>
          </w:tcPr>
          <w:p>
            <w:pPr>
              <w:jc w:val="left"/>
            </w:pPr>
            <w:r/>
            <w:r>
              <w:rPr>
                <w:b w:val="0"/>
                <w:sz w:val="18"/>
              </w:rPr>
              <w:t>4.6 %</w:t>
            </w:r>
          </w:p>
        </w:tc>
        <w:tc>
          <w:tcPr>
            <w:tcW w:type="dxa" w:w="1008"/>
          </w:tcPr>
          <w:p>
            <w:pPr>
              <w:jc w:val="left"/>
            </w:pPr>
            <w:r/>
            <w:r>
              <w:rPr>
                <w:b w:val="0"/>
                <w:sz w:val="18"/>
              </w:rPr>
              <w:t>89.1 %</w:t>
            </w:r>
          </w:p>
        </w:tc>
        <w:tc>
          <w:tcPr>
            <w:tcW w:type="dxa" w:w="720"/>
          </w:tcPr>
          <w:p>
            <w:pPr>
              <w:jc w:val="left"/>
            </w:pPr>
            <w:r/>
            <w:r>
              <w:rPr>
                <w:b w:val="0"/>
                <w:sz w:val="18"/>
              </w:rPr>
              <w:t>B</w:t>
            </w:r>
          </w:p>
        </w:tc>
        <w:tc>
          <w:tcPr>
            <w:tcW w:type="dxa" w:w="1296"/>
          </w:tcPr>
          <w:p>
            <w:pPr>
              <w:jc w:val="left"/>
            </w:pPr>
            <w:r/>
            <w:r>
              <w:rPr>
                <w:b w:val="0"/>
                <w:sz w:val="18"/>
              </w:rPr>
              <w:t>Media (0.15)</w:t>
            </w:r>
          </w:p>
        </w:tc>
        <w:tc>
          <w:tcPr>
            <w:tcW w:type="dxa" w:w="1008"/>
          </w:tcPr>
          <w:p>
            <w:pPr>
              <w:jc w:val="left"/>
            </w:pPr>
            <w:r/>
            <w:r>
              <w:rPr>
                <w:b w:val="0"/>
                <w:sz w:val="18"/>
              </w:rPr>
              <w:t>BY</w:t>
            </w:r>
          </w:p>
        </w:tc>
      </w:tr>
      <w:tr>
        <w:tc>
          <w:tcPr>
            <w:tcW w:type="dxa" w:w="3312"/>
            <w:shd w:val="clear" w:color="auto" w:fill="F2F5FA"/>
          </w:tcPr>
          <w:p>
            <w:pPr>
              <w:jc w:val="left"/>
            </w:pPr>
            <w:r/>
            <w:r>
              <w:rPr>
                <w:b w:val="0"/>
                <w:sz w:val="18"/>
              </w:rPr>
              <w:t>Smartwatch / banda fitness</w:t>
            </w:r>
          </w:p>
        </w:tc>
        <w:tc>
          <w:tcPr>
            <w:tcW w:type="dxa" w:w="864"/>
            <w:shd w:val="clear" w:color="auto" w:fill="F2F5FA"/>
          </w:tcPr>
          <w:p>
            <w:pPr>
              <w:jc w:val="left"/>
            </w:pPr>
            <w:r/>
            <w:r>
              <w:rPr>
                <w:b w:val="0"/>
                <w:sz w:val="18"/>
              </w:rPr>
              <w:t>$85</w:t>
            </w:r>
          </w:p>
        </w:tc>
        <w:tc>
          <w:tcPr>
            <w:tcW w:type="dxa" w:w="1152"/>
            <w:shd w:val="clear" w:color="auto" w:fill="F2F5FA"/>
          </w:tcPr>
          <w:p>
            <w:pPr>
              <w:jc w:val="left"/>
            </w:pPr>
            <w:r/>
            <w:r>
              <w:rPr>
                <w:b w:val="0"/>
                <w:sz w:val="18"/>
              </w:rPr>
              <w:t>11,000</w:t>
            </w:r>
          </w:p>
        </w:tc>
        <w:tc>
          <w:tcPr>
            <w:tcW w:type="dxa" w:w="1440"/>
            <w:shd w:val="clear" w:color="auto" w:fill="F2F5FA"/>
          </w:tcPr>
          <w:p>
            <w:pPr>
              <w:jc w:val="left"/>
            </w:pPr>
            <w:r/>
            <w:r>
              <w:rPr>
                <w:b w:val="0"/>
                <w:sz w:val="18"/>
              </w:rPr>
              <w:t>$935,000</w:t>
            </w:r>
          </w:p>
        </w:tc>
        <w:tc>
          <w:tcPr>
            <w:tcW w:type="dxa" w:w="1008"/>
            <w:shd w:val="clear" w:color="auto" w:fill="F2F5FA"/>
          </w:tcPr>
          <w:p>
            <w:pPr>
              <w:jc w:val="left"/>
            </w:pPr>
            <w:r/>
            <w:r>
              <w:rPr>
                <w:b w:val="0"/>
                <w:sz w:val="18"/>
              </w:rPr>
              <w:t>4.0 %</w:t>
            </w:r>
          </w:p>
        </w:tc>
        <w:tc>
          <w:tcPr>
            <w:tcW w:type="dxa" w:w="1008"/>
            <w:shd w:val="clear" w:color="auto" w:fill="F2F5FA"/>
          </w:tcPr>
          <w:p>
            <w:pPr>
              <w:jc w:val="left"/>
            </w:pPr>
            <w:r/>
            <w:r>
              <w:rPr>
                <w:b w:val="0"/>
                <w:sz w:val="18"/>
              </w:rPr>
              <w:t>93.1 %</w:t>
            </w:r>
          </w:p>
        </w:tc>
        <w:tc>
          <w:tcPr>
            <w:tcW w:type="dxa" w:w="720"/>
            <w:shd w:val="clear" w:color="auto" w:fill="F2F5FA"/>
          </w:tcPr>
          <w:p>
            <w:pPr>
              <w:jc w:val="left"/>
            </w:pPr>
            <w:r/>
            <w:r>
              <w:rPr>
                <w:b w:val="0"/>
                <w:sz w:val="18"/>
              </w:rPr>
              <w:t>C</w:t>
            </w:r>
          </w:p>
        </w:tc>
        <w:tc>
          <w:tcPr>
            <w:tcW w:type="dxa" w:w="1296"/>
            <w:shd w:val="clear" w:color="auto" w:fill="F2F5FA"/>
          </w:tcPr>
          <w:p>
            <w:pPr>
              <w:jc w:val="left"/>
            </w:pPr>
            <w:r/>
            <w:r>
              <w:rPr>
                <w:b w:val="0"/>
                <w:sz w:val="18"/>
              </w:rPr>
              <w:t>Media (0.25)</w:t>
            </w:r>
          </w:p>
        </w:tc>
        <w:tc>
          <w:tcPr>
            <w:tcW w:type="dxa" w:w="1008"/>
            <w:shd w:val="clear" w:color="auto" w:fill="F2F5FA"/>
          </w:tcPr>
          <w:p>
            <w:pPr>
              <w:jc w:val="left"/>
            </w:pPr>
            <w:r/>
            <w:r>
              <w:rPr>
                <w:b w:val="0"/>
                <w:sz w:val="18"/>
              </w:rPr>
              <w:t>CY</w:t>
            </w:r>
          </w:p>
        </w:tc>
      </w:tr>
      <w:tr>
        <w:tc>
          <w:tcPr>
            <w:tcW w:type="dxa" w:w="3312"/>
          </w:tcPr>
          <w:p>
            <w:pPr>
              <w:jc w:val="left"/>
            </w:pPr>
            <w:r/>
            <w:r>
              <w:rPr>
                <w:b w:val="0"/>
                <w:sz w:val="18"/>
              </w:rPr>
              <w:t>Cámara de seguridad inteligente</w:t>
            </w:r>
          </w:p>
        </w:tc>
        <w:tc>
          <w:tcPr>
            <w:tcW w:type="dxa" w:w="864"/>
          </w:tcPr>
          <w:p>
            <w:pPr>
              <w:jc w:val="left"/>
            </w:pPr>
            <w:r/>
            <w:r>
              <w:rPr>
                <w:b w:val="0"/>
                <w:sz w:val="18"/>
              </w:rPr>
              <w:t>$60</w:t>
            </w:r>
          </w:p>
        </w:tc>
        <w:tc>
          <w:tcPr>
            <w:tcW w:type="dxa" w:w="1152"/>
          </w:tcPr>
          <w:p>
            <w:pPr>
              <w:jc w:val="left"/>
            </w:pPr>
            <w:r/>
            <w:r>
              <w:rPr>
                <w:b w:val="0"/>
                <w:sz w:val="18"/>
              </w:rPr>
              <w:t>8,500</w:t>
            </w:r>
          </w:p>
        </w:tc>
        <w:tc>
          <w:tcPr>
            <w:tcW w:type="dxa" w:w="1440"/>
          </w:tcPr>
          <w:p>
            <w:pPr>
              <w:jc w:val="left"/>
            </w:pPr>
            <w:r/>
            <w:r>
              <w:rPr>
                <w:b w:val="0"/>
                <w:sz w:val="18"/>
              </w:rPr>
              <w:t>$510,000</w:t>
            </w:r>
          </w:p>
        </w:tc>
        <w:tc>
          <w:tcPr>
            <w:tcW w:type="dxa" w:w="1008"/>
          </w:tcPr>
          <w:p>
            <w:pPr>
              <w:jc w:val="left"/>
            </w:pPr>
            <w:r/>
            <w:r>
              <w:rPr>
                <w:b w:val="0"/>
                <w:sz w:val="18"/>
              </w:rPr>
              <w:t>2.2 %</w:t>
            </w:r>
          </w:p>
        </w:tc>
        <w:tc>
          <w:tcPr>
            <w:tcW w:type="dxa" w:w="1008"/>
          </w:tcPr>
          <w:p>
            <w:pPr>
              <w:jc w:val="left"/>
            </w:pPr>
            <w:r/>
            <w:r>
              <w:rPr>
                <w:b w:val="0"/>
                <w:sz w:val="18"/>
              </w:rPr>
              <w:t>95.3 %</w:t>
            </w:r>
          </w:p>
        </w:tc>
        <w:tc>
          <w:tcPr>
            <w:tcW w:type="dxa" w:w="720"/>
          </w:tcPr>
          <w:p>
            <w:pPr>
              <w:jc w:val="left"/>
            </w:pPr>
            <w:r/>
            <w:r>
              <w:rPr>
                <w:b w:val="0"/>
                <w:sz w:val="18"/>
              </w:rPr>
              <w:t>C</w:t>
            </w:r>
          </w:p>
        </w:tc>
        <w:tc>
          <w:tcPr>
            <w:tcW w:type="dxa" w:w="1296"/>
          </w:tcPr>
          <w:p>
            <w:pPr>
              <w:jc w:val="left"/>
            </w:pPr>
            <w:r/>
            <w:r>
              <w:rPr>
                <w:b w:val="0"/>
                <w:sz w:val="18"/>
              </w:rPr>
              <w:t>Alta (0.28)</w:t>
            </w:r>
          </w:p>
        </w:tc>
        <w:tc>
          <w:tcPr>
            <w:tcW w:type="dxa" w:w="1008"/>
          </w:tcPr>
          <w:p>
            <w:pPr>
              <w:jc w:val="left"/>
            </w:pPr>
            <w:r/>
            <w:r>
              <w:rPr>
                <w:b w:val="0"/>
                <w:sz w:val="18"/>
              </w:rPr>
              <w:t>CZ</w:t>
            </w:r>
          </w:p>
        </w:tc>
      </w:tr>
      <w:tr>
        <w:tc>
          <w:tcPr>
            <w:tcW w:type="dxa" w:w="3312"/>
            <w:shd w:val="clear" w:color="auto" w:fill="F2F5FA"/>
          </w:tcPr>
          <w:p>
            <w:pPr>
              <w:jc w:val="left"/>
            </w:pPr>
            <w:r/>
            <w:r>
              <w:rPr>
                <w:b w:val="0"/>
                <w:sz w:val="18"/>
              </w:rPr>
              <w:t>Cargadores rápidos GaN</w:t>
            </w:r>
          </w:p>
        </w:tc>
        <w:tc>
          <w:tcPr>
            <w:tcW w:type="dxa" w:w="864"/>
            <w:shd w:val="clear" w:color="auto" w:fill="F2F5FA"/>
          </w:tcPr>
          <w:p>
            <w:pPr>
              <w:jc w:val="left"/>
            </w:pPr>
            <w:r/>
            <w:r>
              <w:rPr>
                <w:b w:val="0"/>
                <w:sz w:val="18"/>
              </w:rPr>
              <w:t>$18</w:t>
            </w:r>
          </w:p>
        </w:tc>
        <w:tc>
          <w:tcPr>
            <w:tcW w:type="dxa" w:w="1152"/>
            <w:shd w:val="clear" w:color="auto" w:fill="F2F5FA"/>
          </w:tcPr>
          <w:p>
            <w:pPr>
              <w:jc w:val="left"/>
            </w:pPr>
            <w:r/>
            <w:r>
              <w:rPr>
                <w:b w:val="0"/>
                <w:sz w:val="18"/>
              </w:rPr>
              <w:t>28,000</w:t>
            </w:r>
          </w:p>
        </w:tc>
        <w:tc>
          <w:tcPr>
            <w:tcW w:type="dxa" w:w="1440"/>
            <w:shd w:val="clear" w:color="auto" w:fill="F2F5FA"/>
          </w:tcPr>
          <w:p>
            <w:pPr>
              <w:jc w:val="left"/>
            </w:pPr>
            <w:r/>
            <w:r>
              <w:rPr>
                <w:b w:val="0"/>
                <w:sz w:val="18"/>
              </w:rPr>
              <w:t>$504,000</w:t>
            </w:r>
          </w:p>
        </w:tc>
        <w:tc>
          <w:tcPr>
            <w:tcW w:type="dxa" w:w="1008"/>
            <w:shd w:val="clear" w:color="auto" w:fill="F2F5FA"/>
          </w:tcPr>
          <w:p>
            <w:pPr>
              <w:jc w:val="left"/>
            </w:pPr>
            <w:r/>
            <w:r>
              <w:rPr>
                <w:b w:val="0"/>
                <w:sz w:val="18"/>
              </w:rPr>
              <w:t>2.2 %</w:t>
            </w:r>
          </w:p>
        </w:tc>
        <w:tc>
          <w:tcPr>
            <w:tcW w:type="dxa" w:w="1008"/>
            <w:shd w:val="clear" w:color="auto" w:fill="F2F5FA"/>
          </w:tcPr>
          <w:p>
            <w:pPr>
              <w:jc w:val="left"/>
            </w:pPr>
            <w:r/>
            <w:r>
              <w:rPr>
                <w:b w:val="0"/>
                <w:sz w:val="18"/>
              </w:rPr>
              <w:t>97.4 %</w:t>
            </w:r>
          </w:p>
        </w:tc>
        <w:tc>
          <w:tcPr>
            <w:tcW w:type="dxa" w:w="720"/>
            <w:shd w:val="clear" w:color="auto" w:fill="F2F5FA"/>
          </w:tcPr>
          <w:p>
            <w:pPr>
              <w:jc w:val="left"/>
            </w:pPr>
            <w:r/>
            <w:r>
              <w:rPr>
                <w:b w:val="0"/>
                <w:sz w:val="18"/>
              </w:rPr>
              <w:t>C</w:t>
            </w:r>
          </w:p>
        </w:tc>
        <w:tc>
          <w:tcPr>
            <w:tcW w:type="dxa" w:w="1296"/>
            <w:shd w:val="clear" w:color="auto" w:fill="F2F5FA"/>
          </w:tcPr>
          <w:p>
            <w:pPr>
              <w:jc w:val="left"/>
            </w:pPr>
            <w:r/>
            <w:r>
              <w:rPr>
                <w:b w:val="0"/>
                <w:sz w:val="18"/>
              </w:rPr>
              <w:t>Baja (0.09)</w:t>
            </w:r>
          </w:p>
        </w:tc>
        <w:tc>
          <w:tcPr>
            <w:tcW w:type="dxa" w:w="1008"/>
            <w:shd w:val="clear" w:color="auto" w:fill="F2F5FA"/>
          </w:tcPr>
          <w:p>
            <w:pPr>
              <w:jc w:val="left"/>
            </w:pPr>
            <w:r/>
            <w:r>
              <w:rPr>
                <w:b w:val="0"/>
                <w:sz w:val="18"/>
              </w:rPr>
              <w:t>CX</w:t>
            </w:r>
          </w:p>
        </w:tc>
      </w:tr>
      <w:tr>
        <w:tc>
          <w:tcPr>
            <w:tcW w:type="dxa" w:w="3312"/>
          </w:tcPr>
          <w:p>
            <w:pPr>
              <w:jc w:val="left"/>
            </w:pPr>
            <w:r/>
            <w:r>
              <w:rPr>
                <w:b w:val="0"/>
                <w:sz w:val="18"/>
              </w:rPr>
              <w:t>Bocinas Bluetooth portátiles</w:t>
            </w:r>
          </w:p>
        </w:tc>
        <w:tc>
          <w:tcPr>
            <w:tcW w:type="dxa" w:w="864"/>
          </w:tcPr>
          <w:p>
            <w:pPr>
              <w:jc w:val="left"/>
            </w:pPr>
            <w:r/>
            <w:r>
              <w:rPr>
                <w:b w:val="0"/>
                <w:sz w:val="18"/>
              </w:rPr>
              <w:t>$45</w:t>
            </w:r>
          </w:p>
        </w:tc>
        <w:tc>
          <w:tcPr>
            <w:tcW w:type="dxa" w:w="1152"/>
          </w:tcPr>
          <w:p>
            <w:pPr>
              <w:jc w:val="left"/>
            </w:pPr>
            <w:r/>
            <w:r>
              <w:rPr>
                <w:b w:val="0"/>
                <w:sz w:val="18"/>
              </w:rPr>
              <w:t>7,200</w:t>
            </w:r>
          </w:p>
        </w:tc>
        <w:tc>
          <w:tcPr>
            <w:tcW w:type="dxa" w:w="1440"/>
          </w:tcPr>
          <w:p>
            <w:pPr>
              <w:jc w:val="left"/>
            </w:pPr>
            <w:r/>
            <w:r>
              <w:rPr>
                <w:b w:val="0"/>
                <w:sz w:val="18"/>
              </w:rPr>
              <w:t>$324,000</w:t>
            </w:r>
          </w:p>
        </w:tc>
        <w:tc>
          <w:tcPr>
            <w:tcW w:type="dxa" w:w="1008"/>
          </w:tcPr>
          <w:p>
            <w:pPr>
              <w:jc w:val="left"/>
            </w:pPr>
            <w:r/>
            <w:r>
              <w:rPr>
                <w:b w:val="0"/>
                <w:sz w:val="18"/>
              </w:rPr>
              <w:t>1.4 %</w:t>
            </w:r>
          </w:p>
        </w:tc>
        <w:tc>
          <w:tcPr>
            <w:tcW w:type="dxa" w:w="1008"/>
          </w:tcPr>
          <w:p>
            <w:pPr>
              <w:jc w:val="left"/>
            </w:pPr>
            <w:r/>
            <w:r>
              <w:rPr>
                <w:b w:val="0"/>
                <w:sz w:val="18"/>
              </w:rPr>
              <w:t>98.8 %</w:t>
            </w:r>
          </w:p>
        </w:tc>
        <w:tc>
          <w:tcPr>
            <w:tcW w:type="dxa" w:w="720"/>
          </w:tcPr>
          <w:p>
            <w:pPr>
              <w:jc w:val="left"/>
            </w:pPr>
            <w:r/>
            <w:r>
              <w:rPr>
                <w:b w:val="0"/>
                <w:sz w:val="18"/>
              </w:rPr>
              <w:t>C</w:t>
            </w:r>
          </w:p>
        </w:tc>
        <w:tc>
          <w:tcPr>
            <w:tcW w:type="dxa" w:w="1296"/>
          </w:tcPr>
          <w:p>
            <w:pPr>
              <w:jc w:val="left"/>
            </w:pPr>
            <w:r/>
            <w:r>
              <w:rPr>
                <w:b w:val="0"/>
                <w:sz w:val="18"/>
              </w:rPr>
              <w:t>Alta (0.32)</w:t>
            </w:r>
          </w:p>
        </w:tc>
        <w:tc>
          <w:tcPr>
            <w:tcW w:type="dxa" w:w="1008"/>
          </w:tcPr>
          <w:p>
            <w:pPr>
              <w:jc w:val="left"/>
            </w:pPr>
            <w:r/>
            <w:r>
              <w:rPr>
                <w:b w:val="0"/>
                <w:sz w:val="18"/>
              </w:rPr>
              <w:t>CZ</w:t>
            </w:r>
          </w:p>
        </w:tc>
      </w:tr>
      <w:tr>
        <w:tc>
          <w:tcPr>
            <w:tcW w:type="dxa" w:w="3312"/>
            <w:shd w:val="clear" w:color="auto" w:fill="F2F5FA"/>
          </w:tcPr>
          <w:p>
            <w:pPr>
              <w:jc w:val="left"/>
            </w:pPr>
            <w:r/>
            <w:r>
              <w:rPr>
                <w:b w:val="0"/>
                <w:sz w:val="18"/>
              </w:rPr>
              <w:t>Kits de cables HDMI / USB-C</w:t>
            </w:r>
          </w:p>
        </w:tc>
        <w:tc>
          <w:tcPr>
            <w:tcW w:type="dxa" w:w="864"/>
            <w:shd w:val="clear" w:color="auto" w:fill="F2F5FA"/>
          </w:tcPr>
          <w:p>
            <w:pPr>
              <w:jc w:val="left"/>
            </w:pPr>
            <w:r/>
            <w:r>
              <w:rPr>
                <w:b w:val="0"/>
                <w:sz w:val="18"/>
              </w:rPr>
              <w:t>$8</w:t>
            </w:r>
          </w:p>
        </w:tc>
        <w:tc>
          <w:tcPr>
            <w:tcW w:type="dxa" w:w="1152"/>
            <w:shd w:val="clear" w:color="auto" w:fill="F2F5FA"/>
          </w:tcPr>
          <w:p>
            <w:pPr>
              <w:jc w:val="left"/>
            </w:pPr>
            <w:r/>
            <w:r>
              <w:rPr>
                <w:b w:val="0"/>
                <w:sz w:val="18"/>
              </w:rPr>
              <w:t>35,000</w:t>
            </w:r>
          </w:p>
        </w:tc>
        <w:tc>
          <w:tcPr>
            <w:tcW w:type="dxa" w:w="1440"/>
            <w:shd w:val="clear" w:color="auto" w:fill="F2F5FA"/>
          </w:tcPr>
          <w:p>
            <w:pPr>
              <w:jc w:val="left"/>
            </w:pPr>
            <w:r/>
            <w:r>
              <w:rPr>
                <w:b w:val="0"/>
                <w:sz w:val="18"/>
              </w:rPr>
              <w:t>$280,000</w:t>
            </w:r>
          </w:p>
        </w:tc>
        <w:tc>
          <w:tcPr>
            <w:tcW w:type="dxa" w:w="1008"/>
            <w:shd w:val="clear" w:color="auto" w:fill="F2F5FA"/>
          </w:tcPr>
          <w:p>
            <w:pPr>
              <w:jc w:val="left"/>
            </w:pPr>
            <w:r/>
            <w:r>
              <w:rPr>
                <w:b w:val="0"/>
                <w:sz w:val="18"/>
              </w:rPr>
              <w:t>1.2 %</w:t>
            </w:r>
          </w:p>
        </w:tc>
        <w:tc>
          <w:tcPr>
            <w:tcW w:type="dxa" w:w="1008"/>
            <w:shd w:val="clear" w:color="auto" w:fill="F2F5FA"/>
          </w:tcPr>
          <w:p>
            <w:pPr>
              <w:jc w:val="left"/>
            </w:pPr>
            <w:r/>
            <w:r>
              <w:rPr>
                <w:b w:val="0"/>
                <w:sz w:val="18"/>
              </w:rPr>
              <w:t>100.0 %</w:t>
            </w:r>
          </w:p>
        </w:tc>
        <w:tc>
          <w:tcPr>
            <w:tcW w:type="dxa" w:w="720"/>
            <w:shd w:val="clear" w:color="auto" w:fill="F2F5FA"/>
          </w:tcPr>
          <w:p>
            <w:pPr>
              <w:jc w:val="left"/>
            </w:pPr>
            <w:r/>
            <w:r>
              <w:rPr>
                <w:b w:val="0"/>
                <w:sz w:val="18"/>
              </w:rPr>
              <w:t>C</w:t>
            </w:r>
          </w:p>
        </w:tc>
        <w:tc>
          <w:tcPr>
            <w:tcW w:type="dxa" w:w="1296"/>
            <w:shd w:val="clear" w:color="auto" w:fill="F2F5FA"/>
          </w:tcPr>
          <w:p>
            <w:pPr>
              <w:jc w:val="left"/>
            </w:pPr>
            <w:r/>
            <w:r>
              <w:rPr>
                <w:b w:val="0"/>
                <w:sz w:val="18"/>
              </w:rPr>
              <w:t>Baja (0.07)</w:t>
            </w:r>
          </w:p>
        </w:tc>
        <w:tc>
          <w:tcPr>
            <w:tcW w:type="dxa" w:w="1008"/>
            <w:shd w:val="clear" w:color="auto" w:fill="F2F5FA"/>
          </w:tcPr>
          <w:p>
            <w:pPr>
              <w:jc w:val="left"/>
            </w:pPr>
            <w:r/>
            <w:r>
              <w:rPr>
                <w:b w:val="0"/>
                <w:sz w:val="18"/>
              </w:rPr>
              <w:t>CX</w:t>
            </w:r>
          </w:p>
        </w:tc>
      </w:tr>
    </w:tbl>
    <w:p>
      <w:pPr>
        <w:spacing w:after="200"/>
        <w:jc w:val="center"/>
      </w:pPr>
      <w:r>
        <w:rPr>
          <w:b w:val="0"/>
          <w:i/>
          <w:color w:val="595959"/>
          <w:sz w:val="19"/>
        </w:rPr>
        <w:t>Tabla 4. Portafolio clasificado por ABC (valor) y XYZ (variabilidad). Valor total ≈ $23.4 M.</w:t>
      </w:r>
    </w:p>
    <w:p>
      <w:pPr>
        <w:pStyle w:val="Heading2"/>
      </w:pPr>
      <w:r>
        <w:t>4.1 Política de control por grupo</w:t>
      </w:r>
    </w:p>
    <w:p>
      <w:pPr>
        <w:pStyle w:val="ListBullet"/>
        <w:spacing w:after="60"/>
      </w:pPr>
      <w:r>
        <w:rPr>
          <w:b/>
        </w:rPr>
        <w:t xml:space="preserve">• </w:t>
      </w:r>
      <w:r>
        <w:t>Clase A (≈68 % del valor con ≈20 % de los SKU): control estricto, conteo cíclico frecuente, pronóstico y stock de seguridad calculados por SKU, revisión continua y altos niveles de servicio (97–98 %).</w:t>
      </w:r>
    </w:p>
    <w:p>
      <w:pPr>
        <w:pStyle w:val="ListBullet"/>
        <w:spacing w:after="60"/>
      </w:pPr>
      <w:r>
        <w:rPr>
          <w:b/>
        </w:rPr>
        <w:t xml:space="preserve">• </w:t>
      </w:r>
      <w:r>
        <w:t>Clase B (≈21 % del valor): revisión periódica quincenal/mensual y nivel de servicio medio-alto (95 %).</w:t>
      </w:r>
    </w:p>
    <w:p>
      <w:pPr>
        <w:pStyle w:val="ListBullet"/>
        <w:spacing w:after="60"/>
      </w:pPr>
      <w:r>
        <w:rPr>
          <w:b/>
        </w:rPr>
        <w:t xml:space="preserve">• </w:t>
      </w:r>
      <w:r>
        <w:t>Clase C (≈11 % del valor, muchos SKU): control simple con sistema periódico (min–max) o Kanban de tarjetas y nivel de servicio algo menor (90–95 %), liberando tiempo del equipo.</w:t>
      </w:r>
    </w:p>
    <w:p>
      <w:pPr>
        <w:pStyle w:val="ListBullet"/>
        <w:spacing w:after="60"/>
      </w:pPr>
      <w:r>
        <w:rPr>
          <w:b/>
        </w:rPr>
        <w:t xml:space="preserve">• </w:t>
      </w:r>
      <w:r>
        <w:t>El eje XYZ refina la política: los AX (alto valor, demanda estable) se pueden manejar con Kanban/mínimo-máximo y planeación justo a tiempo; los AZ o CZ (erráticos) requieren más stock de seguridad o revisión más frecuente.</w:t>
      </w:r>
    </w:p>
    <w:p>
      <w:pPr>
        <w:pStyle w:val="Heading2"/>
      </w:pPr>
      <w:r>
        <w:t>4.2 Los dos productos principales y su valor en la cadena</w:t>
      </w:r>
    </w:p>
    <w:p>
      <w:pPr>
        <w:spacing w:after="80"/>
      </w:pPr>
      <w:r>
        <w:rPr>
          <w:b w:val="0"/>
          <w:i w:val="0"/>
          <w:sz w:val="22"/>
        </w:rPr>
        <w:t>Los dos productos que, por su impacto conjunto en costo, volumen y tiempo de reabastecimiento, deben priorizarse son:</w:t>
      </w:r>
    </w:p>
    <w:p>
      <w:pPr>
        <w:pStyle w:val="ListBullet"/>
        <w:spacing w:after="60"/>
      </w:pPr>
      <w:r>
        <w:rPr>
          <w:b/>
        </w:rPr>
        <w:t xml:space="preserve">1) </w:t>
      </w:r>
      <w:r>
        <w:t>Flagship 5G Smartphone (AX, $11.27 M/año — 48 % del valor del portafolio). Justificación: es el mayor generador de margen e ingresos; su ciclo de vida es corto (≈12 meses), por lo que un error de pronóstico o un exceso de inventario se transforma muy rápido en obsolescencia y remates. Su demanda es relativamente estable (CV ≈ 0.11), lo que permite un control ajustado con stock de seguridad bajo.</w:t>
      </w:r>
    </w:p>
    <w:p>
      <w:pPr>
        <w:pStyle w:val="ListBullet"/>
        <w:spacing w:after="60"/>
      </w:pPr>
      <w:r>
        <w:rPr>
          <w:b/>
        </w:rPr>
        <w:t xml:space="preserve">2) </w:t>
      </w:r>
      <w:r>
        <w:t>Ultra-Slim Business Laptop 14” (AY, $4.51 M/año — 19 % del valor). Justificación: segundo generador de valor con el mayor costo unitario ($750) y compradores B2B/de empresa muy sensibles al stock-out; un faltante aquí no solo pierde la venta, puede perder el contrato o contrato marco completo. Su demanda es moderadamente variable e influida por el ciclo escolar y el cierre fiscal corporativo.</w:t>
      </w:r>
    </w:p>
    <w:p>
      <w:pPr>
        <w:spacing w:after="80"/>
      </w:pPr>
      <w:r>
        <w:rPr>
          <w:b w:val="0"/>
          <w:i w:val="0"/>
          <w:sz w:val="22"/>
        </w:rPr>
        <w:t>En conjunto representan ≈68 % del valor anual de consumo, por lo que concentran la mayoría de las decisiones de pronóstico, stock de seguridad y reabastecimiento (los cálculos de la sección 5 se desarrollan sobre estos dos SKU).</w:t>
      </w:r>
    </w:p>
    <w:p>
      <w:pPr>
        <w:pStyle w:val="Heading1"/>
      </w:pPr>
      <w:r>
        <w:t>5. Pronóstico de demanda y planificación del requerimiento</w:t>
      </w:r>
    </w:p>
    <w:p>
      <w:pPr>
        <w:pStyle w:val="Heading2"/>
      </w:pPr>
      <w:r>
        <w:t>5.1 Método de pronóstico</w:t>
      </w:r>
    </w:p>
    <w:p>
      <w:pPr>
        <w:spacing w:after="80"/>
      </w:pPr>
      <w:r>
        <w:rPr>
          <w:b w:val="0"/>
          <w:i w:val="0"/>
          <w:sz w:val="22"/>
        </w:rPr>
        <w:t>Se utilizó regresión lineal de tendencia sobre 12 meses de historia (mínimos cuadrados) y, como referencia de validación, media móvil de 3 meses y suavizamiento exponencial (α = 0.3). Se eligió la línea de tendencia por su menor error de pronóstico (MAPE) y porque captura el crecimiento sostenido del mercado. La demanda proyectada se expresa como:</w:t>
      </w:r>
    </w:p>
    <w:p>
      <w:pPr>
        <w:spacing w:after="120"/>
        <w:jc w:val="center"/>
      </w:pPr>
      <w:r>
        <w:rPr>
          <w:b w:val="0"/>
          <w:i/>
          <w:sz w:val="22"/>
        </w:rPr>
        <w:t>Demanda_estimada (mes t) = a + b × t</w:t>
      </w:r>
    </w:p>
    <w:p>
      <w:pPr>
        <w:jc w:val="center"/>
      </w:pPr>
      <w:r>
        <w:drawing>
          <wp:inline xmlns:a="http://schemas.openxmlformats.org/drawingml/2006/main" xmlns:pic="http://schemas.openxmlformats.org/drawingml/2006/picture">
            <wp:extent cx="5852160" cy="4681728"/>
            <wp:docPr id="2" name="Picture 2"/>
            <wp:cNvGraphicFramePr>
              <a:graphicFrameLocks noChangeAspect="1"/>
            </wp:cNvGraphicFramePr>
            <a:graphic>
              <a:graphicData uri="http://schemas.openxmlformats.org/drawingml/2006/picture">
                <pic:pic>
                  <pic:nvPicPr>
                    <pic:cNvPr id="0" name="fig_forecast.png"/>
                    <pic:cNvPicPr/>
                  </pic:nvPicPr>
                  <pic:blipFill>
                    <a:blip r:embed="rId10"/>
                    <a:stretch>
                      <a:fillRect/>
                    </a:stretch>
                  </pic:blipFill>
                  <pic:spPr>
                    <a:xfrm>
                      <a:off x="0" y="0"/>
                      <a:ext cx="5852160" cy="4681728"/>
                    </a:xfrm>
                    <a:prstGeom prst="rect"/>
                  </pic:spPr>
                </pic:pic>
              </a:graphicData>
            </a:graphic>
          </wp:inline>
        </w:drawing>
      </w:r>
    </w:p>
    <w:p>
      <w:pPr>
        <w:spacing w:after="200"/>
        <w:jc w:val="center"/>
      </w:pPr>
      <w:r>
        <w:rPr>
          <w:b w:val="0"/>
          <w:i/>
          <w:color w:val="595959"/>
          <w:sz w:val="19"/>
        </w:rPr>
        <w:t>Figura 2. Histórico (12 meses) y pronóstico (6 meses) de los dos productos clave.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736"/>
            <w:shd w:val="clear" w:color="auto" w:fill="1F3864"/>
          </w:tcPr>
          <w:p>
            <w:pPr>
              <w:jc w:val="center"/>
            </w:pPr>
            <w:r/>
            <w:r>
              <w:rPr>
                <w:b/>
                <w:color w:val="FFFFFF"/>
                <w:sz w:val="19"/>
              </w:rPr>
              <w:t>Producto</w:t>
            </w:r>
          </w:p>
        </w:tc>
        <w:tc>
          <w:tcPr>
            <w:tcW w:type="dxa" w:w="2736"/>
            <w:shd w:val="clear" w:color="auto" w:fill="1F3864"/>
          </w:tcPr>
          <w:p>
            <w:pPr>
              <w:jc w:val="center"/>
            </w:pPr>
            <w:r/>
            <w:r>
              <w:rPr>
                <w:b/>
                <w:color w:val="FFFFFF"/>
                <w:sz w:val="19"/>
              </w:rPr>
              <w:t>Ecuación de tendencia</w:t>
            </w:r>
          </w:p>
        </w:tc>
        <w:tc>
          <w:tcPr>
            <w:tcW w:type="dxa" w:w="1440"/>
            <w:shd w:val="clear" w:color="auto" w:fill="1F3864"/>
          </w:tcPr>
          <w:p>
            <w:pPr>
              <w:jc w:val="center"/>
            </w:pPr>
            <w:r/>
            <w:r>
              <w:rPr>
                <w:b/>
                <w:color w:val="FFFFFF"/>
                <w:sz w:val="19"/>
              </w:rPr>
              <w:t>Demanda media</w:t>
            </w:r>
          </w:p>
        </w:tc>
        <w:tc>
          <w:tcPr>
            <w:tcW w:type="dxa" w:w="1152"/>
            <w:shd w:val="clear" w:color="auto" w:fill="1F3864"/>
          </w:tcPr>
          <w:p>
            <w:pPr>
              <w:jc w:val="center"/>
            </w:pPr>
            <w:r/>
            <w:r>
              <w:rPr>
                <w:b/>
                <w:color w:val="FFFFFF"/>
                <w:sz w:val="19"/>
              </w:rPr>
              <w:t>σ (desv.)</w:t>
            </w:r>
          </w:p>
        </w:tc>
        <w:tc>
          <w:tcPr>
            <w:tcW w:type="dxa" w:w="1008"/>
            <w:shd w:val="clear" w:color="auto" w:fill="1F3864"/>
          </w:tcPr>
          <w:p>
            <w:pPr>
              <w:jc w:val="center"/>
            </w:pPr>
            <w:r/>
            <w:r>
              <w:rPr>
                <w:b/>
                <w:color w:val="FFFFFF"/>
                <w:sz w:val="19"/>
              </w:rPr>
              <w:t>MAPE</w:t>
            </w:r>
          </w:p>
        </w:tc>
        <w:tc>
          <w:tcPr>
            <w:tcW w:type="dxa" w:w="1008"/>
            <w:shd w:val="clear" w:color="auto" w:fill="1F3864"/>
          </w:tcPr>
          <w:p>
            <w:pPr>
              <w:jc w:val="center"/>
            </w:pPr>
            <w:r/>
            <w:r>
              <w:rPr>
                <w:b/>
                <w:color w:val="FFFFFF"/>
                <w:sz w:val="19"/>
              </w:rPr>
              <w:t>MAD</w:t>
            </w:r>
          </w:p>
        </w:tc>
      </w:tr>
      <w:tr>
        <w:tc>
          <w:tcPr>
            <w:tcW w:type="dxa" w:w="2736"/>
          </w:tcPr>
          <w:p>
            <w:pPr>
              <w:jc w:val="left"/>
            </w:pPr>
            <w:r/>
            <w:r>
              <w:rPr>
                <w:b w:val="0"/>
                <w:sz w:val="19"/>
              </w:rPr>
              <w:t>Flagship 5G Smartphone</w:t>
            </w:r>
          </w:p>
        </w:tc>
        <w:tc>
          <w:tcPr>
            <w:tcW w:type="dxa" w:w="2736"/>
          </w:tcPr>
          <w:p>
            <w:pPr>
              <w:jc w:val="left"/>
            </w:pPr>
            <w:r/>
            <w:r>
              <w:rPr>
                <w:b w:val="0"/>
                <w:sz w:val="19"/>
              </w:rPr>
              <w:t>D = 1,690.3 + 61.0 × mes</w:t>
            </w:r>
          </w:p>
        </w:tc>
        <w:tc>
          <w:tcPr>
            <w:tcW w:type="dxa" w:w="1440"/>
          </w:tcPr>
          <w:p>
            <w:pPr>
              <w:jc w:val="left"/>
            </w:pPr>
            <w:r/>
            <w:r>
              <w:rPr>
                <w:b w:val="0"/>
                <w:sz w:val="19"/>
              </w:rPr>
              <w:t>2,087/mes</w:t>
            </w:r>
          </w:p>
        </w:tc>
        <w:tc>
          <w:tcPr>
            <w:tcW w:type="dxa" w:w="1152"/>
          </w:tcPr>
          <w:p>
            <w:pPr>
              <w:jc w:val="left"/>
            </w:pPr>
            <w:r/>
            <w:r>
              <w:rPr>
                <w:b w:val="0"/>
                <w:sz w:val="19"/>
              </w:rPr>
              <w:t>239</w:t>
            </w:r>
          </w:p>
        </w:tc>
        <w:tc>
          <w:tcPr>
            <w:tcW w:type="dxa" w:w="1008"/>
          </w:tcPr>
          <w:p>
            <w:pPr>
              <w:jc w:val="left"/>
            </w:pPr>
            <w:r/>
            <w:r>
              <w:rPr>
                <w:b w:val="0"/>
                <w:sz w:val="19"/>
              </w:rPr>
              <w:t>3.4 %</w:t>
            </w:r>
          </w:p>
        </w:tc>
        <w:tc>
          <w:tcPr>
            <w:tcW w:type="dxa" w:w="1008"/>
          </w:tcPr>
          <w:p>
            <w:pPr>
              <w:jc w:val="left"/>
            </w:pPr>
            <w:r/>
            <w:r>
              <w:rPr>
                <w:b w:val="0"/>
                <w:sz w:val="19"/>
              </w:rPr>
              <w:t>74 un.</w:t>
            </w:r>
          </w:p>
        </w:tc>
      </w:tr>
      <w:tr>
        <w:tc>
          <w:tcPr>
            <w:tcW w:type="dxa" w:w="2736"/>
            <w:shd w:val="clear" w:color="auto" w:fill="F2F5FA"/>
          </w:tcPr>
          <w:p>
            <w:pPr>
              <w:jc w:val="left"/>
            </w:pPr>
            <w:r/>
            <w:r>
              <w:rPr>
                <w:b w:val="0"/>
                <w:sz w:val="19"/>
              </w:rPr>
              <w:t>Business Laptop 14”</w:t>
            </w:r>
          </w:p>
        </w:tc>
        <w:tc>
          <w:tcPr>
            <w:tcW w:type="dxa" w:w="2736"/>
            <w:shd w:val="clear" w:color="auto" w:fill="F2F5FA"/>
          </w:tcPr>
          <w:p>
            <w:pPr>
              <w:jc w:val="left"/>
            </w:pPr>
            <w:r/>
            <w:r>
              <w:rPr>
                <w:b w:val="0"/>
                <w:sz w:val="19"/>
              </w:rPr>
              <w:t>D = 352.1 + 23.0 × mes</w:t>
            </w:r>
          </w:p>
        </w:tc>
        <w:tc>
          <w:tcPr>
            <w:tcW w:type="dxa" w:w="1440"/>
            <w:shd w:val="clear" w:color="auto" w:fill="F2F5FA"/>
          </w:tcPr>
          <w:p>
            <w:pPr>
              <w:jc w:val="left"/>
            </w:pPr>
            <w:r/>
            <w:r>
              <w:rPr>
                <w:b w:val="0"/>
                <w:sz w:val="19"/>
              </w:rPr>
              <w:t>502/mes</w:t>
            </w:r>
          </w:p>
        </w:tc>
        <w:tc>
          <w:tcPr>
            <w:tcW w:type="dxa" w:w="1152"/>
            <w:shd w:val="clear" w:color="auto" w:fill="F2F5FA"/>
          </w:tcPr>
          <w:p>
            <w:pPr>
              <w:jc w:val="left"/>
            </w:pPr>
            <w:r/>
            <w:r>
              <w:rPr>
                <w:b w:val="0"/>
                <w:sz w:val="19"/>
              </w:rPr>
              <w:t>88</w:t>
            </w:r>
          </w:p>
        </w:tc>
        <w:tc>
          <w:tcPr>
            <w:tcW w:type="dxa" w:w="1008"/>
            <w:shd w:val="clear" w:color="auto" w:fill="F2F5FA"/>
          </w:tcPr>
          <w:p>
            <w:pPr>
              <w:jc w:val="left"/>
            </w:pPr>
            <w:r/>
            <w:r>
              <w:rPr>
                <w:b w:val="0"/>
                <w:sz w:val="19"/>
              </w:rPr>
              <w:t>4.6 %</w:t>
            </w:r>
          </w:p>
        </w:tc>
        <w:tc>
          <w:tcPr>
            <w:tcW w:type="dxa" w:w="1008"/>
            <w:shd w:val="clear" w:color="auto" w:fill="F2F5FA"/>
          </w:tcPr>
          <w:p>
            <w:pPr>
              <w:jc w:val="left"/>
            </w:pPr>
            <w:r/>
            <w:r>
              <w:rPr>
                <w:b w:val="0"/>
                <w:sz w:val="19"/>
              </w:rPr>
              <w:t>24 un.</w:t>
            </w:r>
          </w:p>
        </w:tc>
      </w:tr>
    </w:tbl>
    <w:p>
      <w:pPr>
        <w:spacing w:after="200"/>
        <w:jc w:val="center"/>
      </w:pPr>
      <w:r>
        <w:rPr>
          <w:b w:val="0"/>
          <w:i/>
          <w:color w:val="595959"/>
          <w:sz w:val="19"/>
        </w:rPr>
        <w:t>Tabla 5. Parámetros del modelo de pronóstico y su precisión (MAPE &lt; 5 % → muy bueno).</w:t>
      </w:r>
    </w:p>
    <w:p>
      <w:pPr>
        <w:pStyle w:val="Heading2"/>
      </w:pPr>
      <w:r>
        <w:t>5.2 Parámetros de planificación (EOQ, stock de seguridad, ROP)</w:t>
      </w:r>
    </w:p>
    <w:p>
      <w:pPr>
        <w:spacing w:after="80"/>
      </w:pPr>
      <w:r>
        <w:rPr>
          <w:b w:val="0"/>
          <w:i w:val="0"/>
          <w:sz w:val="22"/>
        </w:rPr>
        <w:t>Supuestos de referencia: costo de ordenar S = $1,500/orden; tasa anual de mantenimiento i = 25 % del costo unitario; nivel de servicio objetivo 95 % (z = 1.645) para clase A; lead time L = 1.5 meses (≈45 días). Fórmulas aplicadas:</w:t>
      </w:r>
    </w:p>
    <w:p>
      <w:pPr>
        <w:pStyle w:val="ListBullet"/>
        <w:spacing w:after="60"/>
      </w:pPr>
      <w:r>
        <w:rPr>
          <w:b/>
        </w:rPr>
        <w:t xml:space="preserve">• </w:t>
      </w:r>
      <w:r>
        <w:t>Lote económico: EOQ = √(2DS/H), con D = demanda anual y H = costo de mantener por unidad por año.</w:t>
      </w:r>
    </w:p>
    <w:p>
      <w:pPr>
        <w:pStyle w:val="ListBullet"/>
        <w:spacing w:after="60"/>
      </w:pPr>
      <w:r>
        <w:rPr>
          <w:b/>
        </w:rPr>
        <w:t xml:space="preserve">• </w:t>
      </w:r>
      <w:r>
        <w:t>Stock de seguridad: SS = z × √L × σ_mensual.</w:t>
      </w:r>
    </w:p>
    <w:p>
      <w:pPr>
        <w:pStyle w:val="ListBullet"/>
        <w:spacing w:after="60"/>
      </w:pPr>
      <w:r>
        <w:rPr>
          <w:b/>
        </w:rPr>
        <w:t xml:space="preserve">• </w:t>
      </w:r>
      <w:r>
        <w:t>Punto de reorden: ROP = (d_promedio × L) + SS.</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024"/>
            <w:shd w:val="clear" w:color="auto" w:fill="1F3864"/>
          </w:tcPr>
          <w:p>
            <w:pPr>
              <w:jc w:val="center"/>
            </w:pPr>
            <w:r/>
            <w:r>
              <w:rPr>
                <w:b/>
                <w:color w:val="FFFFFF"/>
                <w:sz w:val="19"/>
              </w:rPr>
              <w:t>Concepto</w:t>
            </w:r>
          </w:p>
        </w:tc>
        <w:tc>
          <w:tcPr>
            <w:tcW w:type="dxa" w:w="2448"/>
            <w:shd w:val="clear" w:color="auto" w:fill="1F3864"/>
          </w:tcPr>
          <w:p>
            <w:pPr>
              <w:jc w:val="center"/>
            </w:pPr>
            <w:r/>
            <w:r>
              <w:rPr>
                <w:b/>
                <w:color w:val="FFFFFF"/>
                <w:sz w:val="19"/>
              </w:rPr>
              <w:t>Fórmula</w:t>
            </w:r>
          </w:p>
        </w:tc>
        <w:tc>
          <w:tcPr>
            <w:tcW w:type="dxa" w:w="2880"/>
            <w:shd w:val="clear" w:color="auto" w:fill="1F3864"/>
          </w:tcPr>
          <w:p>
            <w:pPr>
              <w:jc w:val="center"/>
            </w:pPr>
            <w:r/>
            <w:r>
              <w:rPr>
                <w:b/>
                <w:color w:val="FFFFFF"/>
                <w:sz w:val="19"/>
              </w:rPr>
              <w:t>Smartphone 5G</w:t>
            </w:r>
          </w:p>
        </w:tc>
        <w:tc>
          <w:tcPr>
            <w:tcW w:type="dxa" w:w="2880"/>
            <w:shd w:val="clear" w:color="auto" w:fill="1F3864"/>
          </w:tcPr>
          <w:p>
            <w:pPr>
              <w:jc w:val="center"/>
            </w:pPr>
            <w:r/>
            <w:r>
              <w:rPr>
                <w:b/>
                <w:color w:val="FFFFFF"/>
                <w:sz w:val="19"/>
              </w:rPr>
              <w:t>Laptop 14”</w:t>
            </w:r>
          </w:p>
        </w:tc>
      </w:tr>
      <w:tr>
        <w:tc>
          <w:tcPr>
            <w:tcW w:type="dxa" w:w="3024"/>
          </w:tcPr>
          <w:p>
            <w:pPr>
              <w:jc w:val="left"/>
            </w:pPr>
            <w:r/>
            <w:r>
              <w:rPr>
                <w:b w:val="0"/>
                <w:sz w:val="19"/>
              </w:rPr>
              <w:t>Demanda anual (D)</w:t>
            </w:r>
          </w:p>
        </w:tc>
        <w:tc>
          <w:tcPr>
            <w:tcW w:type="dxa" w:w="2448"/>
          </w:tcPr>
          <w:p>
            <w:pPr>
              <w:jc w:val="left"/>
            </w:pPr>
            <w:r/>
            <w:r>
              <w:rPr>
                <w:b w:val="0"/>
                <w:sz w:val="19"/>
              </w:rPr>
              <w:t>Σ demanda mensual</w:t>
            </w:r>
          </w:p>
        </w:tc>
        <w:tc>
          <w:tcPr>
            <w:tcW w:type="dxa" w:w="2880"/>
          </w:tcPr>
          <w:p>
            <w:pPr>
              <w:jc w:val="left"/>
            </w:pPr>
            <w:r/>
            <w:r>
              <w:rPr>
                <w:b w:val="0"/>
                <w:sz w:val="19"/>
              </w:rPr>
              <w:t>25,040 u. (≈2,087/mes)</w:t>
            </w:r>
          </w:p>
        </w:tc>
        <w:tc>
          <w:tcPr>
            <w:tcW w:type="dxa" w:w="2880"/>
          </w:tcPr>
          <w:p>
            <w:pPr>
              <w:jc w:val="left"/>
            </w:pPr>
            <w:r/>
            <w:r>
              <w:rPr>
                <w:b w:val="0"/>
                <w:sz w:val="19"/>
              </w:rPr>
              <w:t>6,020 u. (≈502/mes)</w:t>
            </w:r>
          </w:p>
        </w:tc>
      </w:tr>
      <w:tr>
        <w:tc>
          <w:tcPr>
            <w:tcW w:type="dxa" w:w="3024"/>
            <w:shd w:val="clear" w:color="auto" w:fill="F2F5FA"/>
          </w:tcPr>
          <w:p>
            <w:pPr>
              <w:jc w:val="left"/>
            </w:pPr>
            <w:r/>
            <w:r>
              <w:rPr>
                <w:b w:val="0"/>
                <w:sz w:val="19"/>
              </w:rPr>
              <w:t>Costo de mantener (H)</w:t>
            </w:r>
          </w:p>
        </w:tc>
        <w:tc>
          <w:tcPr>
            <w:tcW w:type="dxa" w:w="2448"/>
            <w:shd w:val="clear" w:color="auto" w:fill="F2F5FA"/>
          </w:tcPr>
          <w:p>
            <w:pPr>
              <w:jc w:val="left"/>
            </w:pPr>
            <w:r/>
            <w:r>
              <w:rPr>
                <w:b w:val="0"/>
                <w:sz w:val="19"/>
              </w:rPr>
              <w:t>i × C</w:t>
            </w:r>
          </w:p>
        </w:tc>
        <w:tc>
          <w:tcPr>
            <w:tcW w:type="dxa" w:w="2880"/>
            <w:shd w:val="clear" w:color="auto" w:fill="F2F5FA"/>
          </w:tcPr>
          <w:p>
            <w:pPr>
              <w:jc w:val="left"/>
            </w:pPr>
            <w:r/>
            <w:r>
              <w:rPr>
                <w:b w:val="0"/>
                <w:sz w:val="19"/>
              </w:rPr>
              <w:t>0.25 × $450 = $112.50/año</w:t>
            </w:r>
          </w:p>
        </w:tc>
        <w:tc>
          <w:tcPr>
            <w:tcW w:type="dxa" w:w="2880"/>
            <w:shd w:val="clear" w:color="auto" w:fill="F2F5FA"/>
          </w:tcPr>
          <w:p>
            <w:pPr>
              <w:jc w:val="left"/>
            </w:pPr>
            <w:r/>
            <w:r>
              <w:rPr>
                <w:b w:val="0"/>
                <w:sz w:val="19"/>
              </w:rPr>
              <w:t>0.25 × $750 = $187.50/año</w:t>
            </w:r>
          </w:p>
        </w:tc>
      </w:tr>
      <w:tr>
        <w:tc>
          <w:tcPr>
            <w:tcW w:type="dxa" w:w="3024"/>
          </w:tcPr>
          <w:p>
            <w:pPr>
              <w:jc w:val="left"/>
            </w:pPr>
            <w:r/>
            <w:r>
              <w:rPr>
                <w:b w:val="0"/>
                <w:sz w:val="19"/>
              </w:rPr>
              <w:t>Lote económico (EOQ)</w:t>
            </w:r>
          </w:p>
        </w:tc>
        <w:tc>
          <w:tcPr>
            <w:tcW w:type="dxa" w:w="2448"/>
          </w:tcPr>
          <w:p>
            <w:pPr>
              <w:jc w:val="left"/>
            </w:pPr>
            <w:r/>
            <w:r>
              <w:rPr>
                <w:b w:val="0"/>
                <w:sz w:val="19"/>
              </w:rPr>
              <w:t>√(2DS/H)</w:t>
            </w:r>
          </w:p>
        </w:tc>
        <w:tc>
          <w:tcPr>
            <w:tcW w:type="dxa" w:w="2880"/>
          </w:tcPr>
          <w:p>
            <w:pPr>
              <w:jc w:val="left"/>
            </w:pPr>
            <w:r/>
            <w:r>
              <w:rPr>
                <w:b w:val="0"/>
                <w:sz w:val="19"/>
              </w:rPr>
              <w:t>≈ 817 → lote práctico 1,000 u.</w:t>
            </w:r>
          </w:p>
        </w:tc>
        <w:tc>
          <w:tcPr>
            <w:tcW w:type="dxa" w:w="2880"/>
          </w:tcPr>
          <w:p>
            <w:pPr>
              <w:jc w:val="left"/>
            </w:pPr>
            <w:r/>
            <w:r>
              <w:rPr>
                <w:b w:val="0"/>
                <w:sz w:val="19"/>
              </w:rPr>
              <w:t>≈ 310 → lote práctico 350 u.</w:t>
            </w:r>
          </w:p>
        </w:tc>
      </w:tr>
      <w:tr>
        <w:tc>
          <w:tcPr>
            <w:tcW w:type="dxa" w:w="3024"/>
            <w:shd w:val="clear" w:color="auto" w:fill="F2F5FA"/>
          </w:tcPr>
          <w:p>
            <w:pPr>
              <w:jc w:val="left"/>
            </w:pPr>
            <w:r/>
            <w:r>
              <w:rPr>
                <w:b w:val="0"/>
                <w:sz w:val="19"/>
              </w:rPr>
              <w:t>Nº de pedidos al año</w:t>
            </w:r>
          </w:p>
        </w:tc>
        <w:tc>
          <w:tcPr>
            <w:tcW w:type="dxa" w:w="2448"/>
            <w:shd w:val="clear" w:color="auto" w:fill="F2F5FA"/>
          </w:tcPr>
          <w:p>
            <w:pPr>
              <w:jc w:val="left"/>
            </w:pPr>
            <w:r/>
            <w:r>
              <w:rPr>
                <w:b w:val="0"/>
                <w:sz w:val="19"/>
              </w:rPr>
              <w:t>D / lote</w:t>
            </w:r>
          </w:p>
        </w:tc>
        <w:tc>
          <w:tcPr>
            <w:tcW w:type="dxa" w:w="2880"/>
            <w:shd w:val="clear" w:color="auto" w:fill="F2F5FA"/>
          </w:tcPr>
          <w:p>
            <w:pPr>
              <w:jc w:val="left"/>
            </w:pPr>
            <w:r/>
            <w:r>
              <w:rPr>
                <w:b w:val="0"/>
                <w:sz w:val="19"/>
              </w:rPr>
              <w:t>25,040/1,000 ≈ 25 (≈ cada 2 semanas)</w:t>
            </w:r>
          </w:p>
        </w:tc>
        <w:tc>
          <w:tcPr>
            <w:tcW w:type="dxa" w:w="2880"/>
            <w:shd w:val="clear" w:color="auto" w:fill="F2F5FA"/>
          </w:tcPr>
          <w:p>
            <w:pPr>
              <w:jc w:val="left"/>
            </w:pPr>
            <w:r/>
            <w:r>
              <w:rPr>
                <w:b w:val="0"/>
                <w:sz w:val="19"/>
              </w:rPr>
              <w:t>6,020/350 ≈ 17 (≈ cada 3 semanas)</w:t>
            </w:r>
          </w:p>
        </w:tc>
      </w:tr>
      <w:tr>
        <w:tc>
          <w:tcPr>
            <w:tcW w:type="dxa" w:w="3024"/>
          </w:tcPr>
          <w:p>
            <w:pPr>
              <w:jc w:val="left"/>
            </w:pPr>
            <w:r/>
            <w:r>
              <w:rPr>
                <w:b w:val="0"/>
                <w:sz w:val="19"/>
              </w:rPr>
              <w:t>Stock de seguridad (SS)</w:t>
            </w:r>
          </w:p>
        </w:tc>
        <w:tc>
          <w:tcPr>
            <w:tcW w:type="dxa" w:w="2448"/>
          </w:tcPr>
          <w:p>
            <w:pPr>
              <w:jc w:val="left"/>
            </w:pPr>
            <w:r/>
            <w:r>
              <w:rPr>
                <w:b w:val="0"/>
                <w:sz w:val="19"/>
              </w:rPr>
              <w:t>z × √L × σ</w:t>
            </w:r>
          </w:p>
        </w:tc>
        <w:tc>
          <w:tcPr>
            <w:tcW w:type="dxa" w:w="2880"/>
          </w:tcPr>
          <w:p>
            <w:pPr>
              <w:jc w:val="left"/>
            </w:pPr>
            <w:r/>
            <w:r>
              <w:rPr>
                <w:b w:val="0"/>
                <w:sz w:val="19"/>
              </w:rPr>
              <w:t>1.645 × √1.5 × 239 ≈ 481 u.</w:t>
            </w:r>
          </w:p>
        </w:tc>
        <w:tc>
          <w:tcPr>
            <w:tcW w:type="dxa" w:w="2880"/>
          </w:tcPr>
          <w:p>
            <w:pPr>
              <w:jc w:val="left"/>
            </w:pPr>
            <w:r/>
            <w:r>
              <w:rPr>
                <w:b w:val="0"/>
                <w:sz w:val="19"/>
              </w:rPr>
              <w:t>1.645 × √1.5 × 88 ≈ 178 u.</w:t>
            </w:r>
          </w:p>
        </w:tc>
      </w:tr>
      <w:tr>
        <w:tc>
          <w:tcPr>
            <w:tcW w:type="dxa" w:w="3024"/>
            <w:shd w:val="clear" w:color="auto" w:fill="F2F5FA"/>
          </w:tcPr>
          <w:p>
            <w:pPr>
              <w:jc w:val="left"/>
            </w:pPr>
            <w:r/>
            <w:r>
              <w:rPr>
                <w:b w:val="0"/>
                <w:sz w:val="19"/>
              </w:rPr>
              <w:t>Punto de reorden (ROP)</w:t>
            </w:r>
          </w:p>
        </w:tc>
        <w:tc>
          <w:tcPr>
            <w:tcW w:type="dxa" w:w="2448"/>
            <w:shd w:val="clear" w:color="auto" w:fill="F2F5FA"/>
          </w:tcPr>
          <w:p>
            <w:pPr>
              <w:jc w:val="left"/>
            </w:pPr>
            <w:r/>
            <w:r>
              <w:rPr>
                <w:b w:val="0"/>
                <w:sz w:val="19"/>
              </w:rPr>
              <w:t>d̄ × L + SS</w:t>
            </w:r>
          </w:p>
        </w:tc>
        <w:tc>
          <w:tcPr>
            <w:tcW w:type="dxa" w:w="2880"/>
            <w:shd w:val="clear" w:color="auto" w:fill="F2F5FA"/>
          </w:tcPr>
          <w:p>
            <w:pPr>
              <w:jc w:val="left"/>
            </w:pPr>
            <w:r/>
            <w:r>
              <w:rPr>
                <w:b w:val="0"/>
                <w:sz w:val="19"/>
              </w:rPr>
              <w:t>3,130 + 481 ≈ 3,611 u.</w:t>
            </w:r>
          </w:p>
        </w:tc>
        <w:tc>
          <w:tcPr>
            <w:tcW w:type="dxa" w:w="2880"/>
            <w:shd w:val="clear" w:color="auto" w:fill="F2F5FA"/>
          </w:tcPr>
          <w:p>
            <w:pPr>
              <w:jc w:val="left"/>
            </w:pPr>
            <w:r/>
            <w:r>
              <w:rPr>
                <w:b w:val="0"/>
                <w:sz w:val="19"/>
              </w:rPr>
              <w:t>753 + 178 ≈ 931 u.</w:t>
            </w:r>
          </w:p>
        </w:tc>
      </w:tr>
    </w:tbl>
    <w:p>
      <w:pPr>
        <w:spacing w:after="200"/>
        <w:jc w:val="center"/>
      </w:pPr>
      <w:r>
        <w:rPr>
          <w:b w:val="0"/>
          <w:i/>
          <w:color w:val="595959"/>
          <w:sz w:val="19"/>
        </w:rPr>
        <w:t>Tabla 6. Parámetros de control de inventario para los dos productos clave. La desviación durante el lead time es σ_L = √L × σ_mensual.</w:t>
      </w:r>
    </w:p>
    <w:p>
      <w:pPr>
        <w:pStyle w:val="Heading2"/>
      </w:pPr>
      <w:r>
        <w:t>5.3 Planificación del requerimiento de inventario (MRP)</w:t>
      </w:r>
    </w:p>
    <w:p>
      <w:pPr>
        <w:spacing w:after="80"/>
      </w:pPr>
      <w:r>
        <w:rPr>
          <w:b w:val="0"/>
          <w:i w:val="0"/>
          <w:sz w:val="22"/>
        </w:rPr>
        <w:t>Con el pronóstico de los próximos 6 meses (meses 13 a 18), se calculó el requerimiento neto y las liberaciones de pedido con MRP (lead time de 2 meses y lotes fijos iguales al EOQ redondeado: 1,000 y 350 unidades; stock de seguridad 481 y 178 unidades).</w:t>
      </w:r>
    </w:p>
    <w:p>
      <w:pPr>
        <w:pStyle w:val="Heading3"/>
      </w:pPr>
      <w:r>
        <w:t>Smartphone 5G (lote 1,000 u., SS 481 u.)</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744"/>
            <w:shd w:val="clear" w:color="auto" w:fill="1F3864"/>
          </w:tcPr>
          <w:p>
            <w:pPr>
              <w:jc w:val="center"/>
            </w:pPr>
            <w:r/>
            <w:r>
              <w:rPr>
                <w:b/>
                <w:color w:val="FFFFFF"/>
                <w:sz w:val="18"/>
              </w:rPr>
              <w:t>Concepto</w:t>
            </w:r>
          </w:p>
        </w:tc>
        <w:tc>
          <w:tcPr>
            <w:tcW w:type="dxa" w:w="1152"/>
            <w:shd w:val="clear" w:color="auto" w:fill="1F3864"/>
          </w:tcPr>
          <w:p>
            <w:pPr>
              <w:jc w:val="center"/>
            </w:pPr>
            <w:r/>
            <w:r>
              <w:rPr>
                <w:b/>
                <w:color w:val="FFFFFF"/>
                <w:sz w:val="18"/>
              </w:rPr>
              <w:t>M1</w:t>
            </w:r>
          </w:p>
        </w:tc>
        <w:tc>
          <w:tcPr>
            <w:tcW w:type="dxa" w:w="1152"/>
            <w:shd w:val="clear" w:color="auto" w:fill="1F3864"/>
          </w:tcPr>
          <w:p>
            <w:pPr>
              <w:jc w:val="center"/>
            </w:pPr>
            <w:r/>
            <w:r>
              <w:rPr>
                <w:b/>
                <w:color w:val="FFFFFF"/>
                <w:sz w:val="18"/>
              </w:rPr>
              <w:t>M2</w:t>
            </w:r>
          </w:p>
        </w:tc>
        <w:tc>
          <w:tcPr>
            <w:tcW w:type="dxa" w:w="1152"/>
            <w:shd w:val="clear" w:color="auto" w:fill="1F3864"/>
          </w:tcPr>
          <w:p>
            <w:pPr>
              <w:jc w:val="center"/>
            </w:pPr>
            <w:r/>
            <w:r>
              <w:rPr>
                <w:b/>
                <w:color w:val="FFFFFF"/>
                <w:sz w:val="18"/>
              </w:rPr>
              <w:t>M3</w:t>
            </w:r>
          </w:p>
        </w:tc>
        <w:tc>
          <w:tcPr>
            <w:tcW w:type="dxa" w:w="1152"/>
            <w:shd w:val="clear" w:color="auto" w:fill="1F3864"/>
          </w:tcPr>
          <w:p>
            <w:pPr>
              <w:jc w:val="center"/>
            </w:pPr>
            <w:r/>
            <w:r>
              <w:rPr>
                <w:b/>
                <w:color w:val="FFFFFF"/>
                <w:sz w:val="18"/>
              </w:rPr>
              <w:t>M4</w:t>
            </w:r>
          </w:p>
        </w:tc>
        <w:tc>
          <w:tcPr>
            <w:tcW w:type="dxa" w:w="1152"/>
            <w:shd w:val="clear" w:color="auto" w:fill="1F3864"/>
          </w:tcPr>
          <w:p>
            <w:pPr>
              <w:jc w:val="center"/>
            </w:pPr>
            <w:r/>
            <w:r>
              <w:rPr>
                <w:b/>
                <w:color w:val="FFFFFF"/>
                <w:sz w:val="18"/>
              </w:rPr>
              <w:t>M5</w:t>
            </w:r>
          </w:p>
        </w:tc>
        <w:tc>
          <w:tcPr>
            <w:tcW w:type="dxa" w:w="1152"/>
            <w:shd w:val="clear" w:color="auto" w:fill="1F3864"/>
          </w:tcPr>
          <w:p>
            <w:pPr>
              <w:jc w:val="center"/>
            </w:pPr>
            <w:r/>
            <w:r>
              <w:rPr>
                <w:b/>
                <w:color w:val="FFFFFF"/>
                <w:sz w:val="18"/>
              </w:rPr>
              <w:t>M6</w:t>
            </w:r>
          </w:p>
        </w:tc>
      </w:tr>
      <w:tr>
        <w:tc>
          <w:tcPr>
            <w:tcW w:type="dxa" w:w="3744"/>
          </w:tcPr>
          <w:p>
            <w:pPr>
              <w:jc w:val="left"/>
            </w:pPr>
            <w:r/>
            <w:r>
              <w:rPr>
                <w:b w:val="0"/>
                <w:sz w:val="18"/>
              </w:rPr>
              <w:t>Requerimiento bruto (demanda)</w:t>
            </w:r>
          </w:p>
        </w:tc>
        <w:tc>
          <w:tcPr>
            <w:tcW w:type="dxa" w:w="1152"/>
          </w:tcPr>
          <w:p>
            <w:pPr>
              <w:jc w:val="left"/>
            </w:pPr>
            <w:r/>
            <w:r>
              <w:rPr>
                <w:b w:val="0"/>
                <w:sz w:val="18"/>
              </w:rPr>
              <w:t>2,483</w:t>
            </w:r>
          </w:p>
        </w:tc>
        <w:tc>
          <w:tcPr>
            <w:tcW w:type="dxa" w:w="1152"/>
          </w:tcPr>
          <w:p>
            <w:pPr>
              <w:jc w:val="left"/>
            </w:pPr>
            <w:r/>
            <w:r>
              <w:rPr>
                <w:b w:val="0"/>
                <w:sz w:val="18"/>
              </w:rPr>
              <w:t>2,544</w:t>
            </w:r>
          </w:p>
        </w:tc>
        <w:tc>
          <w:tcPr>
            <w:tcW w:type="dxa" w:w="1152"/>
          </w:tcPr>
          <w:p>
            <w:pPr>
              <w:jc w:val="left"/>
            </w:pPr>
            <w:r/>
            <w:r>
              <w:rPr>
                <w:b w:val="0"/>
                <w:sz w:val="18"/>
              </w:rPr>
              <w:t>2,605</w:t>
            </w:r>
          </w:p>
        </w:tc>
        <w:tc>
          <w:tcPr>
            <w:tcW w:type="dxa" w:w="1152"/>
          </w:tcPr>
          <w:p>
            <w:pPr>
              <w:jc w:val="left"/>
            </w:pPr>
            <w:r/>
            <w:r>
              <w:rPr>
                <w:b w:val="0"/>
                <w:sz w:val="18"/>
              </w:rPr>
              <w:t>2,666</w:t>
            </w:r>
          </w:p>
        </w:tc>
        <w:tc>
          <w:tcPr>
            <w:tcW w:type="dxa" w:w="1152"/>
          </w:tcPr>
          <w:p>
            <w:pPr>
              <w:jc w:val="left"/>
            </w:pPr>
            <w:r/>
            <w:r>
              <w:rPr>
                <w:b w:val="0"/>
                <w:sz w:val="18"/>
              </w:rPr>
              <w:t>2,727</w:t>
            </w:r>
          </w:p>
        </w:tc>
        <w:tc>
          <w:tcPr>
            <w:tcW w:type="dxa" w:w="1152"/>
          </w:tcPr>
          <w:p>
            <w:pPr>
              <w:jc w:val="left"/>
            </w:pPr>
            <w:r/>
            <w:r>
              <w:rPr>
                <w:b w:val="0"/>
                <w:sz w:val="18"/>
              </w:rPr>
              <w:t>2,788</w:t>
            </w:r>
          </w:p>
        </w:tc>
      </w:tr>
      <w:tr>
        <w:tc>
          <w:tcPr>
            <w:tcW w:type="dxa" w:w="3744"/>
            <w:shd w:val="clear" w:color="auto" w:fill="F2F5FA"/>
          </w:tcPr>
          <w:p>
            <w:pPr>
              <w:jc w:val="left"/>
            </w:pPr>
            <w:r/>
            <w:r>
              <w:rPr>
                <w:b w:val="0"/>
                <w:sz w:val="18"/>
              </w:rPr>
              <w:t>Recepciones programadas</w:t>
            </w:r>
          </w:p>
        </w:tc>
        <w:tc>
          <w:tcPr>
            <w:tcW w:type="dxa" w:w="1152"/>
            <w:shd w:val="clear" w:color="auto" w:fill="F2F5FA"/>
          </w:tcPr>
          <w:p>
            <w:pPr>
              <w:jc w:val="left"/>
            </w:pPr>
            <w:r/>
            <w:r>
              <w:rPr>
                <w:b w:val="0"/>
                <w:sz w:val="18"/>
              </w:rPr>
              <w:t>2,000</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r>
      <w:tr>
        <w:tc>
          <w:tcPr>
            <w:tcW w:type="dxa" w:w="3744"/>
          </w:tcPr>
          <w:p>
            <w:pPr>
              <w:jc w:val="left"/>
            </w:pPr>
            <w:r/>
            <w:r>
              <w:rPr>
                <w:b w:val="0"/>
                <w:sz w:val="18"/>
              </w:rPr>
              <w:t>Disponible proyectado (PAB)</w:t>
            </w:r>
          </w:p>
        </w:tc>
        <w:tc>
          <w:tcPr>
            <w:tcW w:type="dxa" w:w="1152"/>
          </w:tcPr>
          <w:p>
            <w:pPr>
              <w:jc w:val="left"/>
            </w:pPr>
            <w:r/>
            <w:r>
              <w:rPr>
                <w:b w:val="0"/>
                <w:sz w:val="18"/>
              </w:rPr>
              <w:t>2,317</w:t>
            </w:r>
          </w:p>
        </w:tc>
        <w:tc>
          <w:tcPr>
            <w:tcW w:type="dxa" w:w="1152"/>
          </w:tcPr>
          <w:p>
            <w:pPr>
              <w:jc w:val="left"/>
            </w:pPr>
            <w:r/>
            <w:r>
              <w:rPr>
                <w:b w:val="0"/>
                <w:sz w:val="18"/>
              </w:rPr>
              <w:t>773</w:t>
            </w:r>
          </w:p>
        </w:tc>
        <w:tc>
          <w:tcPr>
            <w:tcW w:type="dxa" w:w="1152"/>
          </w:tcPr>
          <w:p>
            <w:pPr>
              <w:jc w:val="left"/>
            </w:pPr>
            <w:r/>
            <w:r>
              <w:rPr>
                <w:b w:val="0"/>
                <w:sz w:val="18"/>
              </w:rPr>
              <w:t>1,168</w:t>
            </w:r>
          </w:p>
        </w:tc>
        <w:tc>
          <w:tcPr>
            <w:tcW w:type="dxa" w:w="1152"/>
          </w:tcPr>
          <w:p>
            <w:pPr>
              <w:jc w:val="left"/>
            </w:pPr>
            <w:r/>
            <w:r>
              <w:rPr>
                <w:b w:val="0"/>
                <w:sz w:val="18"/>
              </w:rPr>
              <w:t>502</w:t>
            </w:r>
          </w:p>
        </w:tc>
        <w:tc>
          <w:tcPr>
            <w:tcW w:type="dxa" w:w="1152"/>
          </w:tcPr>
          <w:p>
            <w:pPr>
              <w:jc w:val="left"/>
            </w:pPr>
            <w:r/>
            <w:r>
              <w:rPr>
                <w:b w:val="0"/>
                <w:sz w:val="18"/>
              </w:rPr>
              <w:t>775</w:t>
            </w:r>
          </w:p>
        </w:tc>
        <w:tc>
          <w:tcPr>
            <w:tcW w:type="dxa" w:w="1152"/>
          </w:tcPr>
          <w:p>
            <w:pPr>
              <w:jc w:val="left"/>
            </w:pPr>
            <w:r/>
            <w:r>
              <w:rPr>
                <w:b w:val="0"/>
                <w:sz w:val="18"/>
              </w:rPr>
              <w:t>987</w:t>
            </w:r>
          </w:p>
        </w:tc>
      </w:tr>
      <w:tr>
        <w:tc>
          <w:tcPr>
            <w:tcW w:type="dxa" w:w="3744"/>
            <w:shd w:val="clear" w:color="auto" w:fill="F2F5FA"/>
          </w:tcPr>
          <w:p>
            <w:pPr>
              <w:jc w:val="left"/>
            </w:pPr>
            <w:r/>
            <w:r>
              <w:rPr>
                <w:b w:val="0"/>
                <w:sz w:val="18"/>
              </w:rPr>
              <w:t>Requerimiento neto</w:t>
            </w:r>
          </w:p>
        </w:tc>
        <w:tc>
          <w:tcPr>
            <w:tcW w:type="dxa" w:w="1152"/>
            <w:shd w:val="clear" w:color="auto" w:fill="F2F5FA"/>
          </w:tcPr>
          <w:p>
            <w:pPr>
              <w:jc w:val="left"/>
            </w:pPr>
            <w:r/>
            <w:r>
              <w:rPr>
                <w:b w:val="0"/>
                <w:sz w:val="18"/>
              </w:rPr>
              <w:t>0</w:t>
            </w:r>
          </w:p>
        </w:tc>
        <w:tc>
          <w:tcPr>
            <w:tcW w:type="dxa" w:w="1152"/>
            <w:shd w:val="clear" w:color="auto" w:fill="F2F5FA"/>
          </w:tcPr>
          <w:p>
            <w:pPr>
              <w:jc w:val="left"/>
            </w:pPr>
            <w:r/>
            <w:r>
              <w:rPr>
                <w:b w:val="0"/>
                <w:sz w:val="18"/>
              </w:rPr>
              <w:t>708</w:t>
            </w:r>
          </w:p>
        </w:tc>
        <w:tc>
          <w:tcPr>
            <w:tcW w:type="dxa" w:w="1152"/>
            <w:shd w:val="clear" w:color="auto" w:fill="F2F5FA"/>
          </w:tcPr>
          <w:p>
            <w:pPr>
              <w:jc w:val="left"/>
            </w:pPr>
            <w:r/>
            <w:r>
              <w:rPr>
                <w:b w:val="0"/>
                <w:sz w:val="18"/>
              </w:rPr>
              <w:t>2,313</w:t>
            </w:r>
          </w:p>
        </w:tc>
        <w:tc>
          <w:tcPr>
            <w:tcW w:type="dxa" w:w="1152"/>
            <w:shd w:val="clear" w:color="auto" w:fill="F2F5FA"/>
          </w:tcPr>
          <w:p>
            <w:pPr>
              <w:jc w:val="left"/>
            </w:pPr>
            <w:r/>
            <w:r>
              <w:rPr>
                <w:b w:val="0"/>
                <w:sz w:val="18"/>
              </w:rPr>
              <w:t>1,979</w:t>
            </w:r>
          </w:p>
        </w:tc>
        <w:tc>
          <w:tcPr>
            <w:tcW w:type="dxa" w:w="1152"/>
            <w:shd w:val="clear" w:color="auto" w:fill="F2F5FA"/>
          </w:tcPr>
          <w:p>
            <w:pPr>
              <w:jc w:val="left"/>
            </w:pPr>
            <w:r/>
            <w:r>
              <w:rPr>
                <w:b w:val="0"/>
                <w:sz w:val="18"/>
              </w:rPr>
              <w:t>2,706</w:t>
            </w:r>
          </w:p>
        </w:tc>
        <w:tc>
          <w:tcPr>
            <w:tcW w:type="dxa" w:w="1152"/>
            <w:shd w:val="clear" w:color="auto" w:fill="F2F5FA"/>
          </w:tcPr>
          <w:p>
            <w:pPr>
              <w:jc w:val="left"/>
            </w:pPr>
            <w:r/>
            <w:r>
              <w:rPr>
                <w:b w:val="0"/>
                <w:sz w:val="18"/>
              </w:rPr>
              <w:t>2,494</w:t>
            </w:r>
          </w:p>
        </w:tc>
      </w:tr>
      <w:tr>
        <w:tc>
          <w:tcPr>
            <w:tcW w:type="dxa" w:w="3744"/>
          </w:tcPr>
          <w:p>
            <w:pPr>
              <w:jc w:val="left"/>
            </w:pPr>
            <w:r/>
            <w:r>
              <w:rPr>
                <w:b w:val="0"/>
                <w:sz w:val="18"/>
              </w:rPr>
              <w:t>Recepción planificada de pedido</w:t>
            </w:r>
          </w:p>
        </w:tc>
        <w:tc>
          <w:tcPr>
            <w:tcW w:type="dxa" w:w="1152"/>
          </w:tcPr>
          <w:p>
            <w:pPr>
              <w:jc w:val="left"/>
            </w:pPr>
            <w:r/>
            <w:r>
              <w:rPr>
                <w:b w:val="0"/>
                <w:sz w:val="18"/>
              </w:rPr>
              <w:t>—</w:t>
            </w:r>
          </w:p>
        </w:tc>
        <w:tc>
          <w:tcPr>
            <w:tcW w:type="dxa" w:w="1152"/>
          </w:tcPr>
          <w:p>
            <w:pPr>
              <w:jc w:val="left"/>
            </w:pPr>
            <w:r/>
            <w:r>
              <w:rPr>
                <w:b w:val="0"/>
                <w:sz w:val="18"/>
              </w:rPr>
              <w:t>1,000</w:t>
            </w:r>
          </w:p>
        </w:tc>
        <w:tc>
          <w:tcPr>
            <w:tcW w:type="dxa" w:w="1152"/>
          </w:tcPr>
          <w:p>
            <w:pPr>
              <w:jc w:val="left"/>
            </w:pPr>
            <w:r/>
            <w:r>
              <w:rPr>
                <w:b w:val="0"/>
                <w:sz w:val="18"/>
              </w:rPr>
              <w:t>3,000</w:t>
            </w:r>
          </w:p>
        </w:tc>
        <w:tc>
          <w:tcPr>
            <w:tcW w:type="dxa" w:w="1152"/>
          </w:tcPr>
          <w:p>
            <w:pPr>
              <w:jc w:val="left"/>
            </w:pPr>
            <w:r/>
            <w:r>
              <w:rPr>
                <w:b w:val="0"/>
                <w:sz w:val="18"/>
              </w:rPr>
              <w:t>2,000</w:t>
            </w:r>
          </w:p>
        </w:tc>
        <w:tc>
          <w:tcPr>
            <w:tcW w:type="dxa" w:w="1152"/>
          </w:tcPr>
          <w:p>
            <w:pPr>
              <w:jc w:val="left"/>
            </w:pPr>
            <w:r/>
            <w:r>
              <w:rPr>
                <w:b w:val="0"/>
                <w:sz w:val="18"/>
              </w:rPr>
              <w:t>3,000</w:t>
            </w:r>
          </w:p>
        </w:tc>
        <w:tc>
          <w:tcPr>
            <w:tcW w:type="dxa" w:w="1152"/>
          </w:tcPr>
          <w:p>
            <w:pPr>
              <w:jc w:val="left"/>
            </w:pPr>
            <w:r/>
            <w:r>
              <w:rPr>
                <w:b w:val="0"/>
                <w:sz w:val="18"/>
              </w:rPr>
              <w:t>3,000</w:t>
            </w:r>
          </w:p>
        </w:tc>
      </w:tr>
      <w:tr>
        <w:tc>
          <w:tcPr>
            <w:tcW w:type="dxa" w:w="3744"/>
            <w:shd w:val="clear" w:color="auto" w:fill="F2F5FA"/>
          </w:tcPr>
          <w:p>
            <w:pPr>
              <w:jc w:val="left"/>
            </w:pPr>
            <w:r/>
            <w:r>
              <w:rPr>
                <w:b w:val="0"/>
                <w:sz w:val="18"/>
              </w:rPr>
              <w:t>Liberación planificada (LT = 2 meses)</w:t>
            </w:r>
          </w:p>
        </w:tc>
        <w:tc>
          <w:tcPr>
            <w:tcW w:type="dxa" w:w="1152"/>
            <w:shd w:val="clear" w:color="auto" w:fill="F2F5FA"/>
          </w:tcPr>
          <w:p>
            <w:pPr>
              <w:jc w:val="left"/>
            </w:pPr>
            <w:r/>
            <w:r>
              <w:rPr>
                <w:b w:val="0"/>
                <w:sz w:val="18"/>
              </w:rPr>
              <w:t>3,000</w:t>
            </w:r>
          </w:p>
        </w:tc>
        <w:tc>
          <w:tcPr>
            <w:tcW w:type="dxa" w:w="1152"/>
            <w:shd w:val="clear" w:color="auto" w:fill="F2F5FA"/>
          </w:tcPr>
          <w:p>
            <w:pPr>
              <w:jc w:val="left"/>
            </w:pPr>
            <w:r/>
            <w:r>
              <w:rPr>
                <w:b w:val="0"/>
                <w:sz w:val="18"/>
              </w:rPr>
              <w:t>2,000</w:t>
            </w:r>
          </w:p>
        </w:tc>
        <w:tc>
          <w:tcPr>
            <w:tcW w:type="dxa" w:w="1152"/>
            <w:shd w:val="clear" w:color="auto" w:fill="F2F5FA"/>
          </w:tcPr>
          <w:p>
            <w:pPr>
              <w:jc w:val="left"/>
            </w:pPr>
            <w:r/>
            <w:r>
              <w:rPr>
                <w:b w:val="0"/>
                <w:sz w:val="18"/>
              </w:rPr>
              <w:t>3,000</w:t>
            </w:r>
          </w:p>
        </w:tc>
        <w:tc>
          <w:tcPr>
            <w:tcW w:type="dxa" w:w="1152"/>
            <w:shd w:val="clear" w:color="auto" w:fill="F2F5FA"/>
          </w:tcPr>
          <w:p>
            <w:pPr>
              <w:jc w:val="left"/>
            </w:pPr>
            <w:r/>
            <w:r>
              <w:rPr>
                <w:b w:val="0"/>
                <w:sz w:val="18"/>
              </w:rPr>
              <w:t>3,000</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r>
    </w:tbl>
    <w:p>
      <w:pPr>
        <w:spacing w:after="200"/>
        <w:jc w:val="center"/>
      </w:pPr>
      <w:r>
        <w:rPr>
          <w:b w:val="0"/>
          <w:i/>
          <w:color w:val="595959"/>
          <w:sz w:val="19"/>
        </w:rPr>
        <w:t>Tabla 7. Plan MRP del smartphone (unidades). Liberaciones a 2 meses anticipadas: M1=3,000 · M2=2,000 · M3=3,000 · M4=3,000 · M5=M6=— (totales estimados ya incluidos).</w:t>
      </w:r>
    </w:p>
    <w:p>
      <w:pPr>
        <w:pStyle w:val="Heading3"/>
      </w:pPr>
      <w:r>
        <w:t>Business Laptop 14” (lote 350 u., SS 178 u.)</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744"/>
            <w:shd w:val="clear" w:color="auto" w:fill="1F3864"/>
          </w:tcPr>
          <w:p>
            <w:pPr>
              <w:jc w:val="center"/>
            </w:pPr>
            <w:r/>
            <w:r>
              <w:rPr>
                <w:b/>
                <w:color w:val="FFFFFF"/>
                <w:sz w:val="18"/>
              </w:rPr>
              <w:t>Concepto</w:t>
            </w:r>
          </w:p>
        </w:tc>
        <w:tc>
          <w:tcPr>
            <w:tcW w:type="dxa" w:w="1152"/>
            <w:shd w:val="clear" w:color="auto" w:fill="1F3864"/>
          </w:tcPr>
          <w:p>
            <w:pPr>
              <w:jc w:val="center"/>
            </w:pPr>
            <w:r/>
            <w:r>
              <w:rPr>
                <w:b/>
                <w:color w:val="FFFFFF"/>
                <w:sz w:val="18"/>
              </w:rPr>
              <w:t>M1</w:t>
            </w:r>
          </w:p>
        </w:tc>
        <w:tc>
          <w:tcPr>
            <w:tcW w:type="dxa" w:w="1152"/>
            <w:shd w:val="clear" w:color="auto" w:fill="1F3864"/>
          </w:tcPr>
          <w:p>
            <w:pPr>
              <w:jc w:val="center"/>
            </w:pPr>
            <w:r/>
            <w:r>
              <w:rPr>
                <w:b/>
                <w:color w:val="FFFFFF"/>
                <w:sz w:val="18"/>
              </w:rPr>
              <w:t>M2</w:t>
            </w:r>
          </w:p>
        </w:tc>
        <w:tc>
          <w:tcPr>
            <w:tcW w:type="dxa" w:w="1152"/>
            <w:shd w:val="clear" w:color="auto" w:fill="1F3864"/>
          </w:tcPr>
          <w:p>
            <w:pPr>
              <w:jc w:val="center"/>
            </w:pPr>
            <w:r/>
            <w:r>
              <w:rPr>
                <w:b/>
                <w:color w:val="FFFFFF"/>
                <w:sz w:val="18"/>
              </w:rPr>
              <w:t>M3</w:t>
            </w:r>
          </w:p>
        </w:tc>
        <w:tc>
          <w:tcPr>
            <w:tcW w:type="dxa" w:w="1152"/>
            <w:shd w:val="clear" w:color="auto" w:fill="1F3864"/>
          </w:tcPr>
          <w:p>
            <w:pPr>
              <w:jc w:val="center"/>
            </w:pPr>
            <w:r/>
            <w:r>
              <w:rPr>
                <w:b/>
                <w:color w:val="FFFFFF"/>
                <w:sz w:val="18"/>
              </w:rPr>
              <w:t>M4</w:t>
            </w:r>
          </w:p>
        </w:tc>
        <w:tc>
          <w:tcPr>
            <w:tcW w:type="dxa" w:w="1152"/>
            <w:shd w:val="clear" w:color="auto" w:fill="1F3864"/>
          </w:tcPr>
          <w:p>
            <w:pPr>
              <w:jc w:val="center"/>
            </w:pPr>
            <w:r/>
            <w:r>
              <w:rPr>
                <w:b/>
                <w:color w:val="FFFFFF"/>
                <w:sz w:val="18"/>
              </w:rPr>
              <w:t>M5</w:t>
            </w:r>
          </w:p>
        </w:tc>
        <w:tc>
          <w:tcPr>
            <w:tcW w:type="dxa" w:w="1152"/>
            <w:shd w:val="clear" w:color="auto" w:fill="1F3864"/>
          </w:tcPr>
          <w:p>
            <w:pPr>
              <w:jc w:val="center"/>
            </w:pPr>
            <w:r/>
            <w:r>
              <w:rPr>
                <w:b/>
                <w:color w:val="FFFFFF"/>
                <w:sz w:val="18"/>
              </w:rPr>
              <w:t>M6</w:t>
            </w:r>
          </w:p>
        </w:tc>
      </w:tr>
      <w:tr>
        <w:tc>
          <w:tcPr>
            <w:tcW w:type="dxa" w:w="3744"/>
          </w:tcPr>
          <w:p>
            <w:pPr>
              <w:jc w:val="left"/>
            </w:pPr>
            <w:r/>
            <w:r>
              <w:rPr>
                <w:b w:val="0"/>
                <w:sz w:val="18"/>
              </w:rPr>
              <w:t>Requerimiento bruto (demanda)</w:t>
            </w:r>
          </w:p>
        </w:tc>
        <w:tc>
          <w:tcPr>
            <w:tcW w:type="dxa" w:w="1152"/>
          </w:tcPr>
          <w:p>
            <w:pPr>
              <w:jc w:val="left"/>
            </w:pPr>
            <w:r/>
            <w:r>
              <w:rPr>
                <w:b w:val="0"/>
                <w:sz w:val="18"/>
              </w:rPr>
              <w:t>651</w:t>
            </w:r>
          </w:p>
        </w:tc>
        <w:tc>
          <w:tcPr>
            <w:tcW w:type="dxa" w:w="1152"/>
          </w:tcPr>
          <w:p>
            <w:pPr>
              <w:jc w:val="left"/>
            </w:pPr>
            <w:r/>
            <w:r>
              <w:rPr>
                <w:b w:val="0"/>
                <w:sz w:val="18"/>
              </w:rPr>
              <w:t>674</w:t>
            </w:r>
          </w:p>
        </w:tc>
        <w:tc>
          <w:tcPr>
            <w:tcW w:type="dxa" w:w="1152"/>
          </w:tcPr>
          <w:p>
            <w:pPr>
              <w:jc w:val="left"/>
            </w:pPr>
            <w:r/>
            <w:r>
              <w:rPr>
                <w:b w:val="0"/>
                <w:sz w:val="18"/>
              </w:rPr>
              <w:t>697</w:t>
            </w:r>
          </w:p>
        </w:tc>
        <w:tc>
          <w:tcPr>
            <w:tcW w:type="dxa" w:w="1152"/>
          </w:tcPr>
          <w:p>
            <w:pPr>
              <w:jc w:val="left"/>
            </w:pPr>
            <w:r/>
            <w:r>
              <w:rPr>
                <w:b w:val="0"/>
                <w:sz w:val="18"/>
              </w:rPr>
              <w:t>720</w:t>
            </w:r>
          </w:p>
        </w:tc>
        <w:tc>
          <w:tcPr>
            <w:tcW w:type="dxa" w:w="1152"/>
          </w:tcPr>
          <w:p>
            <w:pPr>
              <w:jc w:val="left"/>
            </w:pPr>
            <w:r/>
            <w:r>
              <w:rPr>
                <w:b w:val="0"/>
                <w:sz w:val="18"/>
              </w:rPr>
              <w:t>743</w:t>
            </w:r>
          </w:p>
        </w:tc>
        <w:tc>
          <w:tcPr>
            <w:tcW w:type="dxa" w:w="1152"/>
          </w:tcPr>
          <w:p>
            <w:pPr>
              <w:jc w:val="left"/>
            </w:pPr>
            <w:r/>
            <w:r>
              <w:rPr>
                <w:b w:val="0"/>
                <w:sz w:val="18"/>
              </w:rPr>
              <w:t>766</w:t>
            </w:r>
          </w:p>
        </w:tc>
      </w:tr>
      <w:tr>
        <w:tc>
          <w:tcPr>
            <w:tcW w:type="dxa" w:w="3744"/>
            <w:shd w:val="clear" w:color="auto" w:fill="F2F5FA"/>
          </w:tcPr>
          <w:p>
            <w:pPr>
              <w:jc w:val="left"/>
            </w:pPr>
            <w:r/>
            <w:r>
              <w:rPr>
                <w:b w:val="0"/>
                <w:sz w:val="18"/>
              </w:rPr>
              <w:t>Recepciones programadas</w:t>
            </w:r>
          </w:p>
        </w:tc>
        <w:tc>
          <w:tcPr>
            <w:tcW w:type="dxa" w:w="1152"/>
            <w:shd w:val="clear" w:color="auto" w:fill="F2F5FA"/>
          </w:tcPr>
          <w:p>
            <w:pPr>
              <w:jc w:val="left"/>
            </w:pPr>
            <w:r/>
            <w:r>
              <w:rPr>
                <w:b w:val="0"/>
                <w:sz w:val="18"/>
              </w:rPr>
              <w:t>600</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r>
      <w:tr>
        <w:tc>
          <w:tcPr>
            <w:tcW w:type="dxa" w:w="3744"/>
          </w:tcPr>
          <w:p>
            <w:pPr>
              <w:jc w:val="left"/>
            </w:pPr>
            <w:r/>
            <w:r>
              <w:rPr>
                <w:b w:val="0"/>
                <w:sz w:val="18"/>
              </w:rPr>
              <w:t>Disponible proyectado (PAB)</w:t>
            </w:r>
          </w:p>
        </w:tc>
        <w:tc>
          <w:tcPr>
            <w:tcW w:type="dxa" w:w="1152"/>
          </w:tcPr>
          <w:p>
            <w:pPr>
              <w:jc w:val="left"/>
            </w:pPr>
            <w:r/>
            <w:r>
              <w:rPr>
                <w:b w:val="0"/>
                <w:sz w:val="18"/>
              </w:rPr>
              <w:t>799</w:t>
            </w:r>
          </w:p>
        </w:tc>
        <w:tc>
          <w:tcPr>
            <w:tcW w:type="dxa" w:w="1152"/>
          </w:tcPr>
          <w:p>
            <w:pPr>
              <w:jc w:val="left"/>
            </w:pPr>
            <w:r/>
            <w:r>
              <w:rPr>
                <w:b w:val="0"/>
                <w:sz w:val="18"/>
              </w:rPr>
              <w:t>475</w:t>
            </w:r>
          </w:p>
        </w:tc>
        <w:tc>
          <w:tcPr>
            <w:tcW w:type="dxa" w:w="1152"/>
          </w:tcPr>
          <w:p>
            <w:pPr>
              <w:jc w:val="left"/>
            </w:pPr>
            <w:r/>
            <w:r>
              <w:rPr>
                <w:b w:val="0"/>
                <w:sz w:val="18"/>
              </w:rPr>
              <w:t>478</w:t>
            </w:r>
          </w:p>
        </w:tc>
        <w:tc>
          <w:tcPr>
            <w:tcW w:type="dxa" w:w="1152"/>
          </w:tcPr>
          <w:p>
            <w:pPr>
              <w:jc w:val="left"/>
            </w:pPr>
            <w:r/>
            <w:r>
              <w:rPr>
                <w:b w:val="0"/>
                <w:sz w:val="18"/>
              </w:rPr>
              <w:t>458</w:t>
            </w:r>
          </w:p>
        </w:tc>
        <w:tc>
          <w:tcPr>
            <w:tcW w:type="dxa" w:w="1152"/>
          </w:tcPr>
          <w:p>
            <w:pPr>
              <w:jc w:val="left"/>
            </w:pPr>
            <w:r/>
            <w:r>
              <w:rPr>
                <w:b w:val="0"/>
                <w:sz w:val="18"/>
              </w:rPr>
              <w:t>415</w:t>
            </w:r>
          </w:p>
        </w:tc>
        <w:tc>
          <w:tcPr>
            <w:tcW w:type="dxa" w:w="1152"/>
          </w:tcPr>
          <w:p>
            <w:pPr>
              <w:jc w:val="left"/>
            </w:pPr>
            <w:r/>
            <w:r>
              <w:rPr>
                <w:b w:val="0"/>
                <w:sz w:val="18"/>
              </w:rPr>
              <w:t>349</w:t>
            </w:r>
          </w:p>
        </w:tc>
      </w:tr>
      <w:tr>
        <w:tc>
          <w:tcPr>
            <w:tcW w:type="dxa" w:w="3744"/>
            <w:shd w:val="clear" w:color="auto" w:fill="F2F5FA"/>
          </w:tcPr>
          <w:p>
            <w:pPr>
              <w:jc w:val="left"/>
            </w:pPr>
            <w:r/>
            <w:r>
              <w:rPr>
                <w:b w:val="0"/>
                <w:sz w:val="18"/>
              </w:rPr>
              <w:t>Requerimiento neto</w:t>
            </w:r>
          </w:p>
        </w:tc>
        <w:tc>
          <w:tcPr>
            <w:tcW w:type="dxa" w:w="1152"/>
            <w:shd w:val="clear" w:color="auto" w:fill="F2F5FA"/>
          </w:tcPr>
          <w:p>
            <w:pPr>
              <w:jc w:val="left"/>
            </w:pPr>
            <w:r/>
            <w:r>
              <w:rPr>
                <w:b w:val="0"/>
                <w:sz w:val="18"/>
              </w:rPr>
              <w:t>0</w:t>
            </w:r>
          </w:p>
        </w:tc>
        <w:tc>
          <w:tcPr>
            <w:tcW w:type="dxa" w:w="1152"/>
            <w:shd w:val="clear" w:color="auto" w:fill="F2F5FA"/>
          </w:tcPr>
          <w:p>
            <w:pPr>
              <w:jc w:val="left"/>
            </w:pPr>
            <w:r/>
            <w:r>
              <w:rPr>
                <w:b w:val="0"/>
                <w:sz w:val="18"/>
              </w:rPr>
              <w:t>53</w:t>
            </w:r>
          </w:p>
        </w:tc>
        <w:tc>
          <w:tcPr>
            <w:tcW w:type="dxa" w:w="1152"/>
            <w:shd w:val="clear" w:color="auto" w:fill="F2F5FA"/>
          </w:tcPr>
          <w:p>
            <w:pPr>
              <w:jc w:val="left"/>
            </w:pPr>
            <w:r/>
            <w:r>
              <w:rPr>
                <w:b w:val="0"/>
                <w:sz w:val="18"/>
              </w:rPr>
              <w:t>400</w:t>
            </w:r>
          </w:p>
        </w:tc>
        <w:tc>
          <w:tcPr>
            <w:tcW w:type="dxa" w:w="1152"/>
            <w:shd w:val="clear" w:color="auto" w:fill="F2F5FA"/>
          </w:tcPr>
          <w:p>
            <w:pPr>
              <w:jc w:val="left"/>
            </w:pPr>
            <w:r/>
            <w:r>
              <w:rPr>
                <w:b w:val="0"/>
                <w:sz w:val="18"/>
              </w:rPr>
              <w:t>420</w:t>
            </w:r>
          </w:p>
        </w:tc>
        <w:tc>
          <w:tcPr>
            <w:tcW w:type="dxa" w:w="1152"/>
            <w:shd w:val="clear" w:color="auto" w:fill="F2F5FA"/>
          </w:tcPr>
          <w:p>
            <w:pPr>
              <w:jc w:val="left"/>
            </w:pPr>
            <w:r/>
            <w:r>
              <w:rPr>
                <w:b w:val="0"/>
                <w:sz w:val="18"/>
              </w:rPr>
              <w:t>463</w:t>
            </w:r>
          </w:p>
        </w:tc>
        <w:tc>
          <w:tcPr>
            <w:tcW w:type="dxa" w:w="1152"/>
            <w:shd w:val="clear" w:color="auto" w:fill="F2F5FA"/>
          </w:tcPr>
          <w:p>
            <w:pPr>
              <w:jc w:val="left"/>
            </w:pPr>
            <w:r/>
            <w:r>
              <w:rPr>
                <w:b w:val="0"/>
                <w:sz w:val="18"/>
              </w:rPr>
              <w:t>529</w:t>
            </w:r>
          </w:p>
        </w:tc>
      </w:tr>
      <w:tr>
        <w:tc>
          <w:tcPr>
            <w:tcW w:type="dxa" w:w="3744"/>
          </w:tcPr>
          <w:p>
            <w:pPr>
              <w:jc w:val="left"/>
            </w:pPr>
            <w:r/>
            <w:r>
              <w:rPr>
                <w:b w:val="0"/>
                <w:sz w:val="18"/>
              </w:rPr>
              <w:t>Recepción planificada de pedido</w:t>
            </w:r>
          </w:p>
        </w:tc>
        <w:tc>
          <w:tcPr>
            <w:tcW w:type="dxa" w:w="1152"/>
          </w:tcPr>
          <w:p>
            <w:pPr>
              <w:jc w:val="left"/>
            </w:pPr>
            <w:r/>
            <w:r>
              <w:rPr>
                <w:b w:val="0"/>
                <w:sz w:val="18"/>
              </w:rPr>
              <w:t>—</w:t>
            </w:r>
          </w:p>
        </w:tc>
        <w:tc>
          <w:tcPr>
            <w:tcW w:type="dxa" w:w="1152"/>
          </w:tcPr>
          <w:p>
            <w:pPr>
              <w:jc w:val="left"/>
            </w:pPr>
            <w:r/>
            <w:r>
              <w:rPr>
                <w:b w:val="0"/>
                <w:sz w:val="18"/>
              </w:rPr>
              <w:t>350</w:t>
            </w:r>
          </w:p>
        </w:tc>
        <w:tc>
          <w:tcPr>
            <w:tcW w:type="dxa" w:w="1152"/>
          </w:tcPr>
          <w:p>
            <w:pPr>
              <w:jc w:val="left"/>
            </w:pPr>
            <w:r/>
            <w:r>
              <w:rPr>
                <w:b w:val="0"/>
                <w:sz w:val="18"/>
              </w:rPr>
              <w:t>700</w:t>
            </w:r>
          </w:p>
        </w:tc>
        <w:tc>
          <w:tcPr>
            <w:tcW w:type="dxa" w:w="1152"/>
          </w:tcPr>
          <w:p>
            <w:pPr>
              <w:jc w:val="left"/>
            </w:pPr>
            <w:r/>
            <w:r>
              <w:rPr>
                <w:b w:val="0"/>
                <w:sz w:val="18"/>
              </w:rPr>
              <w:t>700</w:t>
            </w:r>
          </w:p>
        </w:tc>
        <w:tc>
          <w:tcPr>
            <w:tcW w:type="dxa" w:w="1152"/>
          </w:tcPr>
          <w:p>
            <w:pPr>
              <w:jc w:val="left"/>
            </w:pPr>
            <w:r/>
            <w:r>
              <w:rPr>
                <w:b w:val="0"/>
                <w:sz w:val="18"/>
              </w:rPr>
              <w:t>700</w:t>
            </w:r>
          </w:p>
        </w:tc>
        <w:tc>
          <w:tcPr>
            <w:tcW w:type="dxa" w:w="1152"/>
          </w:tcPr>
          <w:p>
            <w:pPr>
              <w:jc w:val="left"/>
            </w:pPr>
            <w:r/>
            <w:r>
              <w:rPr>
                <w:b w:val="0"/>
                <w:sz w:val="18"/>
              </w:rPr>
              <w:t>700</w:t>
            </w:r>
          </w:p>
        </w:tc>
      </w:tr>
      <w:tr>
        <w:tc>
          <w:tcPr>
            <w:tcW w:type="dxa" w:w="3744"/>
            <w:shd w:val="clear" w:color="auto" w:fill="F2F5FA"/>
          </w:tcPr>
          <w:p>
            <w:pPr>
              <w:jc w:val="left"/>
            </w:pPr>
            <w:r/>
            <w:r>
              <w:rPr>
                <w:b w:val="0"/>
                <w:sz w:val="18"/>
              </w:rPr>
              <w:t>Liberación planificada (LT = 2 meses)</w:t>
            </w:r>
          </w:p>
        </w:tc>
        <w:tc>
          <w:tcPr>
            <w:tcW w:type="dxa" w:w="1152"/>
            <w:shd w:val="clear" w:color="auto" w:fill="F2F5FA"/>
          </w:tcPr>
          <w:p>
            <w:pPr>
              <w:jc w:val="left"/>
            </w:pPr>
            <w:r/>
            <w:r>
              <w:rPr>
                <w:b w:val="0"/>
                <w:sz w:val="18"/>
              </w:rPr>
              <w:t>700</w:t>
            </w:r>
          </w:p>
        </w:tc>
        <w:tc>
          <w:tcPr>
            <w:tcW w:type="dxa" w:w="1152"/>
            <w:shd w:val="clear" w:color="auto" w:fill="F2F5FA"/>
          </w:tcPr>
          <w:p>
            <w:pPr>
              <w:jc w:val="left"/>
            </w:pPr>
            <w:r/>
            <w:r>
              <w:rPr>
                <w:b w:val="0"/>
                <w:sz w:val="18"/>
              </w:rPr>
              <w:t>700</w:t>
            </w:r>
          </w:p>
        </w:tc>
        <w:tc>
          <w:tcPr>
            <w:tcW w:type="dxa" w:w="1152"/>
            <w:shd w:val="clear" w:color="auto" w:fill="F2F5FA"/>
          </w:tcPr>
          <w:p>
            <w:pPr>
              <w:jc w:val="left"/>
            </w:pPr>
            <w:r/>
            <w:r>
              <w:rPr>
                <w:b w:val="0"/>
                <w:sz w:val="18"/>
              </w:rPr>
              <w:t>700</w:t>
            </w:r>
          </w:p>
        </w:tc>
        <w:tc>
          <w:tcPr>
            <w:tcW w:type="dxa" w:w="1152"/>
            <w:shd w:val="clear" w:color="auto" w:fill="F2F5FA"/>
          </w:tcPr>
          <w:p>
            <w:pPr>
              <w:jc w:val="left"/>
            </w:pPr>
            <w:r/>
            <w:r>
              <w:rPr>
                <w:b w:val="0"/>
                <w:sz w:val="18"/>
              </w:rPr>
              <w:t>700</w:t>
            </w:r>
          </w:p>
        </w:tc>
        <w:tc>
          <w:tcPr>
            <w:tcW w:type="dxa" w:w="1152"/>
            <w:shd w:val="clear" w:color="auto" w:fill="F2F5FA"/>
          </w:tcPr>
          <w:p>
            <w:pPr>
              <w:jc w:val="left"/>
            </w:pPr>
            <w:r/>
            <w:r>
              <w:rPr>
                <w:b w:val="0"/>
                <w:sz w:val="18"/>
              </w:rPr>
              <w:t>—</w:t>
            </w:r>
          </w:p>
        </w:tc>
        <w:tc>
          <w:tcPr>
            <w:tcW w:type="dxa" w:w="1152"/>
            <w:shd w:val="clear" w:color="auto" w:fill="F2F5FA"/>
          </w:tcPr>
          <w:p>
            <w:pPr>
              <w:jc w:val="left"/>
            </w:pPr>
            <w:r/>
            <w:r>
              <w:rPr>
                <w:b w:val="0"/>
                <w:sz w:val="18"/>
              </w:rPr>
              <w:t>—</w:t>
            </w:r>
          </w:p>
        </w:tc>
      </w:tr>
    </w:tbl>
    <w:p>
      <w:pPr>
        <w:spacing w:after="200"/>
        <w:jc w:val="center"/>
      </w:pPr>
      <w:r>
        <w:rPr>
          <w:b w:val="0"/>
          <w:i/>
          <w:color w:val="595959"/>
          <w:sz w:val="19"/>
        </w:rPr>
        <w:t>Tabla 8. Plan MRP de la laptop (unidades). Liberaciones a 2 meses anticipadas: M1=M2=M3=M4=700 · M5=M6=—.</w:t>
      </w:r>
    </w:p>
    <w:p>
      <w:pPr>
        <w:spacing w:after="80"/>
      </w:pPr>
      <w:r>
        <w:rPr>
          <w:b w:val="0"/>
          <w:i w:val="0"/>
          <w:sz w:val="22"/>
        </w:rPr>
        <w:t>Interpretación: el stock inicial más las recepciones en tránsito cubren el primer mes; a partir de ahí se liberan pedidos con dos meses de anticipación para cubrir la demanda sin caer por debajo del stock de seguridad. El lote es un múltiplo del EOQ redondeado (1,000 y 350 unidades), por lo que, en promedio, el smartphone se pide unas 25 veces al año y la laptop unas 17. Esto traduce el pronóstico en un plan de compras concreto y en compromisos de capacidad con los proveedores.</w:t>
      </w:r>
    </w:p>
    <w:p>
      <w:pPr>
        <w:pStyle w:val="Heading1"/>
      </w:pPr>
      <w:r>
        <w:t>6. Cronograma de reuniones de S&amp;OP: fases del proceso</w:t>
      </w:r>
    </w:p>
    <w:p>
      <w:pPr>
        <w:pStyle w:val="Heading2"/>
      </w:pPr>
      <w:r>
        <w:t>6.1 Las cinco fases del proceso S&amp;OP</w:t>
      </w:r>
    </w:p>
    <w:p>
      <w:pPr>
        <w:spacing w:after="80"/>
      </w:pPr>
      <w:r>
        <w:rPr>
          <w:b w:val="0"/>
          <w:i w:val="0"/>
          <w:sz w:val="22"/>
        </w:rPr>
        <w:t>El proceso S&amp;OP es un ciclo mensual de planeación táctica que integra ventas, operaciones, compras, finanzas y dirección. Sus cinco fases 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448"/>
            <w:shd w:val="clear" w:color="auto" w:fill="1F3864"/>
          </w:tcPr>
          <w:p>
            <w:pPr>
              <w:jc w:val="center"/>
            </w:pPr>
            <w:r/>
            <w:r>
              <w:rPr>
                <w:b/>
                <w:color w:val="FFFFFF"/>
                <w:sz w:val="17"/>
              </w:rPr>
              <w:t>Fase</w:t>
            </w:r>
          </w:p>
        </w:tc>
        <w:tc>
          <w:tcPr>
            <w:tcW w:type="dxa" w:w="2736"/>
            <w:shd w:val="clear" w:color="auto" w:fill="1F3864"/>
          </w:tcPr>
          <w:p>
            <w:pPr>
              <w:jc w:val="center"/>
            </w:pPr>
            <w:r/>
            <w:r>
              <w:rPr>
                <w:b/>
                <w:color w:val="FFFFFF"/>
                <w:sz w:val="17"/>
              </w:rPr>
              <w:t>Objetivo</w:t>
            </w:r>
          </w:p>
        </w:tc>
        <w:tc>
          <w:tcPr>
            <w:tcW w:type="dxa" w:w="2160"/>
            <w:shd w:val="clear" w:color="auto" w:fill="1F3864"/>
          </w:tcPr>
          <w:p>
            <w:pPr>
              <w:jc w:val="center"/>
            </w:pPr>
            <w:r/>
            <w:r>
              <w:rPr>
                <w:b/>
                <w:color w:val="FFFFFF"/>
                <w:sz w:val="17"/>
              </w:rPr>
              <w:t>Entradas</w:t>
            </w:r>
          </w:p>
        </w:tc>
        <w:tc>
          <w:tcPr>
            <w:tcW w:type="dxa" w:w="2304"/>
            <w:shd w:val="clear" w:color="auto" w:fill="1F3864"/>
          </w:tcPr>
          <w:p>
            <w:pPr>
              <w:jc w:val="center"/>
            </w:pPr>
            <w:r/>
            <w:r>
              <w:rPr>
                <w:b/>
                <w:color w:val="FFFFFF"/>
                <w:sz w:val="17"/>
              </w:rPr>
              <w:t>Salidas</w:t>
            </w:r>
          </w:p>
        </w:tc>
        <w:tc>
          <w:tcPr>
            <w:tcW w:type="dxa" w:w="1728"/>
            <w:shd w:val="clear" w:color="auto" w:fill="1F3864"/>
          </w:tcPr>
          <w:p>
            <w:pPr>
              <w:jc w:val="center"/>
            </w:pPr>
            <w:r/>
            <w:r>
              <w:rPr>
                <w:b/>
                <w:color w:val="FFFFFF"/>
                <w:sz w:val="17"/>
              </w:rPr>
              <w:t>Dueño</w:t>
            </w:r>
          </w:p>
        </w:tc>
        <w:tc>
          <w:tcPr>
            <w:tcW w:type="dxa" w:w="1296"/>
            <w:shd w:val="clear" w:color="auto" w:fill="1F3864"/>
          </w:tcPr>
          <w:p>
            <w:pPr>
              <w:jc w:val="center"/>
            </w:pPr>
            <w:r/>
            <w:r>
              <w:rPr>
                <w:b/>
                <w:color w:val="FFFFFF"/>
                <w:sz w:val="17"/>
              </w:rPr>
              <w:t>Duración</w:t>
            </w:r>
          </w:p>
        </w:tc>
      </w:tr>
      <w:tr>
        <w:tc>
          <w:tcPr>
            <w:tcW w:type="dxa" w:w="2448"/>
          </w:tcPr>
          <w:p>
            <w:pPr>
              <w:jc w:val="left"/>
            </w:pPr>
            <w:r/>
            <w:r>
              <w:rPr>
                <w:b w:val="0"/>
                <w:sz w:val="17"/>
              </w:rPr>
              <w:t>1. Revisión de datos (Data review)</w:t>
            </w:r>
          </w:p>
        </w:tc>
        <w:tc>
          <w:tcPr>
            <w:tcW w:type="dxa" w:w="2736"/>
          </w:tcPr>
          <w:p>
            <w:pPr>
              <w:jc w:val="left"/>
            </w:pPr>
            <w:r/>
            <w:r>
              <w:rPr>
                <w:b w:val="0"/>
                <w:sz w:val="17"/>
              </w:rPr>
              <w:t>Actualizar cifras reales: ventas, inventario, pedidos, backorders, lead times y errores de pronóstico.</w:t>
            </w:r>
          </w:p>
        </w:tc>
        <w:tc>
          <w:tcPr>
            <w:tcW w:type="dxa" w:w="2160"/>
          </w:tcPr>
          <w:p>
            <w:pPr>
              <w:jc w:val="left"/>
            </w:pPr>
            <w:r/>
            <w:r>
              <w:rPr>
                <w:b w:val="0"/>
                <w:sz w:val="17"/>
              </w:rPr>
              <w:t>Ventas reales del mes, niveles de stock, cumplimiento de proveedores.</w:t>
            </w:r>
          </w:p>
        </w:tc>
        <w:tc>
          <w:tcPr>
            <w:tcW w:type="dxa" w:w="2304"/>
          </w:tcPr>
          <w:p>
            <w:pPr>
              <w:jc w:val="left"/>
            </w:pPr>
            <w:r/>
            <w:r>
              <w:rPr>
                <w:b w:val="0"/>
                <w:sz w:val="17"/>
              </w:rPr>
              <w:t>Base de datos única y confiable (single source of truth).</w:t>
            </w:r>
          </w:p>
        </w:tc>
        <w:tc>
          <w:tcPr>
            <w:tcW w:type="dxa" w:w="1728"/>
          </w:tcPr>
          <w:p>
            <w:pPr>
              <w:jc w:val="left"/>
            </w:pPr>
            <w:r/>
            <w:r>
              <w:rPr>
                <w:b w:val="0"/>
                <w:sz w:val="17"/>
              </w:rPr>
              <w:t>Planeador de demanda / Analista de datos</w:t>
            </w:r>
          </w:p>
        </w:tc>
        <w:tc>
          <w:tcPr>
            <w:tcW w:type="dxa" w:w="1296"/>
          </w:tcPr>
          <w:p>
            <w:pPr>
              <w:jc w:val="left"/>
            </w:pPr>
            <w:r/>
            <w:r>
              <w:rPr>
                <w:b w:val="0"/>
                <w:sz w:val="17"/>
              </w:rPr>
              <w:t>Días 1–3 del ciclo</w:t>
            </w:r>
          </w:p>
        </w:tc>
      </w:tr>
      <w:tr>
        <w:tc>
          <w:tcPr>
            <w:tcW w:type="dxa" w:w="2448"/>
            <w:shd w:val="clear" w:color="auto" w:fill="F2F5FA"/>
          </w:tcPr>
          <w:p>
            <w:pPr>
              <w:jc w:val="left"/>
            </w:pPr>
            <w:r/>
            <w:r>
              <w:rPr>
                <w:b w:val="0"/>
                <w:sz w:val="17"/>
              </w:rPr>
              <w:t>2. Pronóstico de demanda (Demand planning)</w:t>
            </w:r>
          </w:p>
        </w:tc>
        <w:tc>
          <w:tcPr>
            <w:tcW w:type="dxa" w:w="2736"/>
            <w:shd w:val="clear" w:color="auto" w:fill="F2F5FA"/>
          </w:tcPr>
          <w:p>
            <w:pPr>
              <w:jc w:val="left"/>
            </w:pPr>
            <w:r/>
            <w:r>
              <w:rPr>
                <w:b w:val="0"/>
                <w:sz w:val="17"/>
              </w:rPr>
              <w:t>Generar el pronóstico consensuado por SKU/familia (estadístico + aportes de ventas y marketing).</w:t>
            </w:r>
          </w:p>
        </w:tc>
        <w:tc>
          <w:tcPr>
            <w:tcW w:type="dxa" w:w="2160"/>
            <w:shd w:val="clear" w:color="auto" w:fill="F2F5FA"/>
          </w:tcPr>
          <w:p>
            <w:pPr>
              <w:jc w:val="left"/>
            </w:pPr>
            <w:r/>
            <w:r>
              <w:rPr>
                <w:b w:val="0"/>
                <w:sz w:val="17"/>
              </w:rPr>
              <w:t>Históricos, pipeline comercial, promociones, tendencias de mercado.</w:t>
            </w:r>
          </w:p>
        </w:tc>
        <w:tc>
          <w:tcPr>
            <w:tcW w:type="dxa" w:w="2304"/>
            <w:shd w:val="clear" w:color="auto" w:fill="F2F5FA"/>
          </w:tcPr>
          <w:p>
            <w:pPr>
              <w:jc w:val="left"/>
            </w:pPr>
            <w:r/>
            <w:r>
              <w:rPr>
                <w:b w:val="0"/>
                <w:sz w:val="17"/>
              </w:rPr>
              <w:t>Pronóstico de demanda base + escenarios alto/bajo por familia.</w:t>
            </w:r>
          </w:p>
        </w:tc>
        <w:tc>
          <w:tcPr>
            <w:tcW w:type="dxa" w:w="1728"/>
            <w:shd w:val="clear" w:color="auto" w:fill="F2F5FA"/>
          </w:tcPr>
          <w:p>
            <w:pPr>
              <w:jc w:val="left"/>
            </w:pPr>
            <w:r/>
            <w:r>
              <w:rPr>
                <w:b w:val="0"/>
                <w:sz w:val="17"/>
              </w:rPr>
              <w:t>Gerente de demanda / Ventas y Marketing</w:t>
            </w:r>
          </w:p>
        </w:tc>
        <w:tc>
          <w:tcPr>
            <w:tcW w:type="dxa" w:w="1296"/>
            <w:shd w:val="clear" w:color="auto" w:fill="F2F5FA"/>
          </w:tcPr>
          <w:p>
            <w:pPr>
              <w:jc w:val="left"/>
            </w:pPr>
            <w:r/>
            <w:r>
              <w:rPr>
                <w:b w:val="0"/>
                <w:sz w:val="17"/>
              </w:rPr>
              <w:t>Día 4–7 del ciclo</w:t>
            </w:r>
          </w:p>
        </w:tc>
      </w:tr>
      <w:tr>
        <w:tc>
          <w:tcPr>
            <w:tcW w:type="dxa" w:w="2448"/>
          </w:tcPr>
          <w:p>
            <w:pPr>
              <w:jc w:val="left"/>
            </w:pPr>
            <w:r/>
            <w:r>
              <w:rPr>
                <w:b w:val="0"/>
                <w:sz w:val="17"/>
              </w:rPr>
              <w:t>3. Revisión de suministro (Supply review)</w:t>
            </w:r>
          </w:p>
        </w:tc>
        <w:tc>
          <w:tcPr>
            <w:tcW w:type="dxa" w:w="2736"/>
          </w:tcPr>
          <w:p>
            <w:pPr>
              <w:jc w:val="left"/>
            </w:pPr>
            <w:r/>
            <w:r>
              <w:rPr>
                <w:b w:val="0"/>
                <w:sz w:val="17"/>
              </w:rPr>
              <w:t>Validar capacidad, proveedores, niveles de inventario y restricciones para cumplir el pronóstico.</w:t>
            </w:r>
          </w:p>
        </w:tc>
        <w:tc>
          <w:tcPr>
            <w:tcW w:type="dxa" w:w="2160"/>
          </w:tcPr>
          <w:p>
            <w:pPr>
              <w:jc w:val="left"/>
            </w:pPr>
            <w:r/>
            <w:r>
              <w:rPr>
                <w:b w:val="0"/>
                <w:sz w:val="17"/>
              </w:rPr>
              <w:t>Pronóstico aprobado en fase 2, capacidad de almacenes, planes de compra.</w:t>
            </w:r>
          </w:p>
        </w:tc>
        <w:tc>
          <w:tcPr>
            <w:tcW w:type="dxa" w:w="2304"/>
          </w:tcPr>
          <w:p>
            <w:pPr>
              <w:jc w:val="left"/>
            </w:pPr>
            <w:r/>
            <w:r>
              <w:rPr>
                <w:b w:val="0"/>
                <w:sz w:val="17"/>
              </w:rPr>
              <w:t>Plan de suministro, inventarios proyectados, brechas de capacidad.</w:t>
            </w:r>
          </w:p>
        </w:tc>
        <w:tc>
          <w:tcPr>
            <w:tcW w:type="dxa" w:w="1728"/>
          </w:tcPr>
          <w:p>
            <w:pPr>
              <w:jc w:val="left"/>
            </w:pPr>
            <w:r/>
            <w:r>
              <w:rPr>
                <w:b w:val="0"/>
                <w:sz w:val="17"/>
              </w:rPr>
              <w:t>Gerente de operaciones / Compras y Logística</w:t>
            </w:r>
          </w:p>
        </w:tc>
        <w:tc>
          <w:tcPr>
            <w:tcW w:type="dxa" w:w="1296"/>
          </w:tcPr>
          <w:p>
            <w:pPr>
              <w:jc w:val="left"/>
            </w:pPr>
            <w:r/>
            <w:r>
              <w:rPr>
                <w:b w:val="0"/>
                <w:sz w:val="17"/>
              </w:rPr>
              <w:t>Día 8–10 del ciclo</w:t>
            </w:r>
          </w:p>
        </w:tc>
      </w:tr>
      <w:tr>
        <w:tc>
          <w:tcPr>
            <w:tcW w:type="dxa" w:w="2448"/>
            <w:shd w:val="clear" w:color="auto" w:fill="F2F5FA"/>
          </w:tcPr>
          <w:p>
            <w:pPr>
              <w:jc w:val="left"/>
            </w:pPr>
            <w:r/>
            <w:r>
              <w:rPr>
                <w:b w:val="0"/>
                <w:sz w:val="17"/>
              </w:rPr>
              <w:t>4. Reconciliación / Pre-S&amp;OP</w:t>
            </w:r>
          </w:p>
        </w:tc>
        <w:tc>
          <w:tcPr>
            <w:tcW w:type="dxa" w:w="2736"/>
            <w:shd w:val="clear" w:color="auto" w:fill="F2F5FA"/>
          </w:tcPr>
          <w:p>
            <w:pPr>
              <w:jc w:val="left"/>
            </w:pPr>
            <w:r/>
            <w:r>
              <w:rPr>
                <w:b w:val="0"/>
                <w:sz w:val="17"/>
              </w:rPr>
              <w:t>Confrontar demanda vs. suministro, resolver desbalances y preparar escenarios con impacto financiero.</w:t>
            </w:r>
          </w:p>
        </w:tc>
        <w:tc>
          <w:tcPr>
            <w:tcW w:type="dxa" w:w="2160"/>
            <w:shd w:val="clear" w:color="auto" w:fill="F2F5FA"/>
          </w:tcPr>
          <w:p>
            <w:pPr>
              <w:jc w:val="left"/>
            </w:pPr>
            <w:r/>
            <w:r>
              <w:rPr>
                <w:b w:val="0"/>
                <w:sz w:val="17"/>
              </w:rPr>
              <w:t>Planes de demanda y suministro, costos, márgenes, restricciones.</w:t>
            </w:r>
          </w:p>
        </w:tc>
        <w:tc>
          <w:tcPr>
            <w:tcW w:type="dxa" w:w="2304"/>
            <w:shd w:val="clear" w:color="auto" w:fill="F2F5FA"/>
          </w:tcPr>
          <w:p>
            <w:pPr>
              <w:jc w:val="left"/>
            </w:pPr>
            <w:r/>
            <w:r>
              <w:rPr>
                <w:b w:val="0"/>
                <w:sz w:val="17"/>
              </w:rPr>
              <w:t>Escenarios conciliados y recomendaciones para la dirección.</w:t>
            </w:r>
          </w:p>
        </w:tc>
        <w:tc>
          <w:tcPr>
            <w:tcW w:type="dxa" w:w="1728"/>
            <w:shd w:val="clear" w:color="auto" w:fill="F2F5FA"/>
          </w:tcPr>
          <w:p>
            <w:pPr>
              <w:jc w:val="left"/>
            </w:pPr>
            <w:r/>
            <w:r>
              <w:rPr>
                <w:b w:val="0"/>
                <w:sz w:val="17"/>
              </w:rPr>
              <w:t>Líder de S&amp;OP / Finanzas</w:t>
            </w:r>
          </w:p>
        </w:tc>
        <w:tc>
          <w:tcPr>
            <w:tcW w:type="dxa" w:w="1296"/>
            <w:shd w:val="clear" w:color="auto" w:fill="F2F5FA"/>
          </w:tcPr>
          <w:p>
            <w:pPr>
              <w:jc w:val="left"/>
            </w:pPr>
            <w:r/>
            <w:r>
              <w:rPr>
                <w:b w:val="0"/>
                <w:sz w:val="17"/>
              </w:rPr>
              <w:t>Día 11–12 del ciclo</w:t>
            </w:r>
          </w:p>
        </w:tc>
      </w:tr>
      <w:tr>
        <w:tc>
          <w:tcPr>
            <w:tcW w:type="dxa" w:w="2448"/>
          </w:tcPr>
          <w:p>
            <w:pPr>
              <w:jc w:val="left"/>
            </w:pPr>
            <w:r/>
            <w:r>
              <w:rPr>
                <w:b w:val="0"/>
                <w:sz w:val="17"/>
              </w:rPr>
              <w:t>5. Reunión ejecutiva S&amp;OP</w:t>
            </w:r>
          </w:p>
        </w:tc>
        <w:tc>
          <w:tcPr>
            <w:tcW w:type="dxa" w:w="2736"/>
          </w:tcPr>
          <w:p>
            <w:pPr>
              <w:jc w:val="left"/>
            </w:pPr>
            <w:r/>
            <w:r>
              <w:rPr>
                <w:b w:val="0"/>
                <w:sz w:val="17"/>
              </w:rPr>
              <w:t>Revisar escenarios, tomar decisiones, aprobar el plan único y asignar responsables.</w:t>
            </w:r>
          </w:p>
        </w:tc>
        <w:tc>
          <w:tcPr>
            <w:tcW w:type="dxa" w:w="2160"/>
          </w:tcPr>
          <w:p>
            <w:pPr>
              <w:jc w:val="left"/>
            </w:pPr>
            <w:r/>
            <w:r>
              <w:rPr>
                <w:b w:val="0"/>
                <w:sz w:val="17"/>
              </w:rPr>
              <w:t>Escenarios de la fase 4, KPIs, riesgos.</w:t>
            </w:r>
          </w:p>
        </w:tc>
        <w:tc>
          <w:tcPr>
            <w:tcW w:type="dxa" w:w="2304"/>
          </w:tcPr>
          <w:p>
            <w:pPr>
              <w:jc w:val="left"/>
            </w:pPr>
            <w:r/>
            <w:r>
              <w:rPr>
                <w:b w:val="0"/>
                <w:sz w:val="17"/>
              </w:rPr>
              <w:t>Plan operativo aprobado (ventas + operaciones + inventario + financiero) y acciones.</w:t>
            </w:r>
          </w:p>
        </w:tc>
        <w:tc>
          <w:tcPr>
            <w:tcW w:type="dxa" w:w="1728"/>
          </w:tcPr>
          <w:p>
            <w:pPr>
              <w:jc w:val="left"/>
            </w:pPr>
            <w:r/>
            <w:r>
              <w:rPr>
                <w:b w:val="0"/>
                <w:sz w:val="17"/>
              </w:rPr>
              <w:t>Dirección general</w:t>
            </w:r>
          </w:p>
        </w:tc>
        <w:tc>
          <w:tcPr>
            <w:tcW w:type="dxa" w:w="1296"/>
          </w:tcPr>
          <w:p>
            <w:pPr>
              <w:jc w:val="left"/>
            </w:pPr>
            <w:r/>
            <w:r>
              <w:rPr>
                <w:b w:val="0"/>
                <w:sz w:val="17"/>
              </w:rPr>
              <w:t>Día 13–15 del ciclo</w:t>
            </w:r>
          </w:p>
        </w:tc>
      </w:tr>
    </w:tbl>
    <w:p>
      <w:pPr>
        <w:spacing w:after="200"/>
        <w:jc w:val="center"/>
      </w:pPr>
      <w:r>
        <w:rPr>
          <w:b w:val="0"/>
          <w:i/>
          <w:color w:val="595959"/>
          <w:sz w:val="19"/>
        </w:rPr>
        <w:t>Tabla 9. Fases del proceso mensual de S&amp;OP (adaptado de APICS/ASCM).</w:t>
      </w:r>
    </w:p>
    <w:p>
      <w:pPr>
        <w:pStyle w:val="Heading2"/>
      </w:pPr>
      <w:r>
        <w:t>6.2 Cadencia mensual (cronograma tipo)</w:t>
      </w:r>
    </w:p>
    <w:p>
      <w:pPr>
        <w:spacing w:after="80"/>
      </w:pPr>
      <w:r>
        <w:rPr>
          <w:b w:val="0"/>
          <w:i w:val="0"/>
          <w:sz w:val="22"/>
        </w:rPr>
        <w:t>Cada ciclo mensual sigue una secuencia semanal fija para que el ritmo sea predecible: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1F3864"/>
          </w:tcPr>
          <w:p>
            <w:pPr>
              <w:jc w:val="center"/>
            </w:pPr>
            <w:r/>
            <w:r>
              <w:rPr>
                <w:b/>
                <w:color w:val="FFFFFF"/>
                <w:sz w:val="19"/>
              </w:rPr>
              <w:t>Semana del mes</w:t>
            </w:r>
          </w:p>
        </w:tc>
        <w:tc>
          <w:tcPr>
            <w:tcW w:type="dxa" w:w="4320"/>
            <w:shd w:val="clear" w:color="auto" w:fill="1F3864"/>
          </w:tcPr>
          <w:p>
            <w:pPr>
              <w:jc w:val="center"/>
            </w:pPr>
            <w:r/>
            <w:r>
              <w:rPr>
                <w:b/>
                <w:color w:val="FFFFFF"/>
                <w:sz w:val="19"/>
              </w:rPr>
              <w:t>Actividad</w:t>
            </w:r>
          </w:p>
        </w:tc>
        <w:tc>
          <w:tcPr>
            <w:tcW w:type="dxa" w:w="2880"/>
            <w:shd w:val="clear" w:color="auto" w:fill="1F3864"/>
          </w:tcPr>
          <w:p>
            <w:pPr>
              <w:jc w:val="center"/>
            </w:pPr>
            <w:r/>
            <w:r>
              <w:rPr>
                <w:b/>
                <w:color w:val="FFFFFF"/>
                <w:sz w:val="19"/>
              </w:rPr>
              <w:t>Participantes</w:t>
            </w:r>
          </w:p>
        </w:tc>
        <w:tc>
          <w:tcPr>
            <w:tcW w:type="dxa" w:w="2736"/>
            <w:shd w:val="clear" w:color="auto" w:fill="1F3864"/>
          </w:tcPr>
          <w:p>
            <w:pPr>
              <w:jc w:val="center"/>
            </w:pPr>
            <w:r/>
            <w:r>
              <w:rPr>
                <w:b/>
                <w:color w:val="FFFFFF"/>
                <w:sz w:val="19"/>
              </w:rPr>
              <w:t>Resultado</w:t>
            </w:r>
          </w:p>
        </w:tc>
      </w:tr>
      <w:tr>
        <w:tc>
          <w:tcPr>
            <w:tcW w:type="dxa" w:w="2016"/>
          </w:tcPr>
          <w:p>
            <w:pPr>
              <w:jc w:val="left"/>
            </w:pPr>
            <w:r/>
            <w:r>
              <w:rPr>
                <w:b w:val="0"/>
                <w:sz w:val="19"/>
              </w:rPr>
              <w:t>Semana 1 (días 1–5)</w:t>
            </w:r>
          </w:p>
        </w:tc>
        <w:tc>
          <w:tcPr>
            <w:tcW w:type="dxa" w:w="4320"/>
          </w:tcPr>
          <w:p>
            <w:pPr>
              <w:jc w:val="left"/>
            </w:pPr>
            <w:r/>
            <w:r>
              <w:rPr>
                <w:b w:val="0"/>
                <w:sz w:val="19"/>
              </w:rPr>
              <w:t>Fase 1: cierre y revisión de datos; Fase 2: arranque del pronóstico.</w:t>
            </w:r>
          </w:p>
        </w:tc>
        <w:tc>
          <w:tcPr>
            <w:tcW w:type="dxa" w:w="2880"/>
          </w:tcPr>
          <w:p>
            <w:pPr>
              <w:jc w:val="left"/>
            </w:pPr>
            <w:r/>
            <w:r>
              <w:rPr>
                <w:b w:val="0"/>
                <w:sz w:val="19"/>
              </w:rPr>
              <w:t>Analistas, planeador de demanda.</w:t>
            </w:r>
          </w:p>
        </w:tc>
        <w:tc>
          <w:tcPr>
            <w:tcW w:type="dxa" w:w="2736"/>
          </w:tcPr>
          <w:p>
            <w:pPr>
              <w:jc w:val="left"/>
            </w:pPr>
            <w:r/>
            <w:r>
              <w:rPr>
                <w:b w:val="0"/>
                <w:sz w:val="19"/>
              </w:rPr>
              <w:t>Base de datos validada.</w:t>
            </w:r>
          </w:p>
        </w:tc>
      </w:tr>
      <w:tr>
        <w:tc>
          <w:tcPr>
            <w:tcW w:type="dxa" w:w="2016"/>
            <w:shd w:val="clear" w:color="auto" w:fill="F2F5FA"/>
          </w:tcPr>
          <w:p>
            <w:pPr>
              <w:jc w:val="left"/>
            </w:pPr>
            <w:r/>
            <w:r>
              <w:rPr>
                <w:b w:val="0"/>
                <w:sz w:val="19"/>
              </w:rPr>
              <w:t>Semana 2 (días 6–12)</w:t>
            </w:r>
          </w:p>
        </w:tc>
        <w:tc>
          <w:tcPr>
            <w:tcW w:type="dxa" w:w="4320"/>
            <w:shd w:val="clear" w:color="auto" w:fill="F2F5FA"/>
          </w:tcPr>
          <w:p>
            <w:pPr>
              <w:jc w:val="left"/>
            </w:pPr>
            <w:r/>
            <w:r>
              <w:rPr>
                <w:b w:val="0"/>
                <w:sz w:val="19"/>
              </w:rPr>
              <w:t>Fase 2 (cierre): consenso de demanda; Fase 3: revisión de suministro.</w:t>
            </w:r>
          </w:p>
        </w:tc>
        <w:tc>
          <w:tcPr>
            <w:tcW w:type="dxa" w:w="2880"/>
            <w:shd w:val="clear" w:color="auto" w:fill="F2F5FA"/>
          </w:tcPr>
          <w:p>
            <w:pPr>
              <w:jc w:val="left"/>
            </w:pPr>
            <w:r/>
            <w:r>
              <w:rPr>
                <w:b w:val="0"/>
                <w:sz w:val="19"/>
              </w:rPr>
              <w:t>Ventas, marketing, compras, logística.</w:t>
            </w:r>
          </w:p>
        </w:tc>
        <w:tc>
          <w:tcPr>
            <w:tcW w:type="dxa" w:w="2736"/>
            <w:shd w:val="clear" w:color="auto" w:fill="F2F5FA"/>
          </w:tcPr>
          <w:p>
            <w:pPr>
              <w:jc w:val="left"/>
            </w:pPr>
            <w:r/>
            <w:r>
              <w:rPr>
                <w:b w:val="0"/>
                <w:sz w:val="19"/>
              </w:rPr>
              <w:t>Pronóstico y plan de suministro preliminares.</w:t>
            </w:r>
          </w:p>
        </w:tc>
      </w:tr>
      <w:tr>
        <w:tc>
          <w:tcPr>
            <w:tcW w:type="dxa" w:w="2016"/>
          </w:tcPr>
          <w:p>
            <w:pPr>
              <w:jc w:val="left"/>
            </w:pPr>
            <w:r/>
            <w:r>
              <w:rPr>
                <w:b w:val="0"/>
                <w:sz w:val="19"/>
              </w:rPr>
              <w:t>Semana 3 (días 13–20)</w:t>
            </w:r>
          </w:p>
        </w:tc>
        <w:tc>
          <w:tcPr>
            <w:tcW w:type="dxa" w:w="4320"/>
          </w:tcPr>
          <w:p>
            <w:pPr>
              <w:jc w:val="left"/>
            </w:pPr>
            <w:r/>
            <w:r>
              <w:rPr>
                <w:b w:val="0"/>
                <w:sz w:val="19"/>
              </w:rPr>
              <w:t>Fase 4: reconciliación y escenarios financieros (Pre-S&amp;OP).</w:t>
            </w:r>
          </w:p>
        </w:tc>
        <w:tc>
          <w:tcPr>
            <w:tcW w:type="dxa" w:w="2880"/>
          </w:tcPr>
          <w:p>
            <w:pPr>
              <w:jc w:val="left"/>
            </w:pPr>
            <w:r/>
            <w:r>
              <w:rPr>
                <w:b w:val="0"/>
                <w:sz w:val="19"/>
              </w:rPr>
              <w:t>Líder S&amp;OP, finanzas, operaciones.</w:t>
            </w:r>
          </w:p>
        </w:tc>
        <w:tc>
          <w:tcPr>
            <w:tcW w:type="dxa" w:w="2736"/>
          </w:tcPr>
          <w:p>
            <w:pPr>
              <w:jc w:val="left"/>
            </w:pPr>
            <w:r/>
            <w:r>
              <w:rPr>
                <w:b w:val="0"/>
                <w:sz w:val="19"/>
              </w:rPr>
              <w:t>Escenarios conciliados con impacto $.</w:t>
            </w:r>
          </w:p>
        </w:tc>
      </w:tr>
      <w:tr>
        <w:tc>
          <w:tcPr>
            <w:tcW w:type="dxa" w:w="2016"/>
            <w:shd w:val="clear" w:color="auto" w:fill="F2F5FA"/>
          </w:tcPr>
          <w:p>
            <w:pPr>
              <w:jc w:val="left"/>
            </w:pPr>
            <w:r/>
            <w:r>
              <w:rPr>
                <w:b w:val="0"/>
                <w:sz w:val="19"/>
              </w:rPr>
              <w:t>Semana 4 (días 21–30)</w:t>
            </w:r>
          </w:p>
        </w:tc>
        <w:tc>
          <w:tcPr>
            <w:tcW w:type="dxa" w:w="4320"/>
            <w:shd w:val="clear" w:color="auto" w:fill="F2F5FA"/>
          </w:tcPr>
          <w:p>
            <w:pPr>
              <w:jc w:val="left"/>
            </w:pPr>
            <w:r/>
            <w:r>
              <w:rPr>
                <w:b w:val="0"/>
                <w:sz w:val="19"/>
              </w:rPr>
              <w:t>Fase 5: reunión ejecutiva; aprobación y comunicación del plan.</w:t>
            </w:r>
          </w:p>
        </w:tc>
        <w:tc>
          <w:tcPr>
            <w:tcW w:type="dxa" w:w="2880"/>
            <w:shd w:val="clear" w:color="auto" w:fill="F2F5FA"/>
          </w:tcPr>
          <w:p>
            <w:pPr>
              <w:jc w:val="left"/>
            </w:pPr>
            <w:r/>
            <w:r>
              <w:rPr>
                <w:b w:val="0"/>
                <w:sz w:val="19"/>
              </w:rPr>
              <w:t>Dirección y gerentes de área.</w:t>
            </w:r>
          </w:p>
        </w:tc>
        <w:tc>
          <w:tcPr>
            <w:tcW w:type="dxa" w:w="2736"/>
            <w:shd w:val="clear" w:color="auto" w:fill="F2F5FA"/>
          </w:tcPr>
          <w:p>
            <w:pPr>
              <w:jc w:val="left"/>
            </w:pPr>
            <w:r/>
            <w:r>
              <w:rPr>
                <w:b w:val="0"/>
                <w:sz w:val="19"/>
              </w:rPr>
              <w:t>Plan único aprobado + acciones.</w:t>
            </w:r>
          </w:p>
        </w:tc>
      </w:tr>
    </w:tbl>
    <w:p>
      <w:pPr>
        <w:spacing w:after="200"/>
        <w:jc w:val="center"/>
      </w:pPr>
      <w:r>
        <w:rPr>
          <w:b w:val="0"/>
          <w:i/>
          <w:color w:val="595959"/>
          <w:sz w:val="19"/>
        </w:rPr>
        <w:t>Tabla 10. Cadencia estándar de un ciclo mensual de S&amp;OP.</w:t>
      </w:r>
    </w:p>
    <w:p>
      <w:pPr>
        <w:pStyle w:val="Heading2"/>
      </w:pPr>
      <w:r>
        <w:t>6.3 Cronograma anual de reuniones ejecutivas</w:t>
      </w:r>
    </w:p>
    <w:p>
      <w:pPr>
        <w:spacing w:after="80"/>
      </w:pPr>
      <w:r>
        <w:rPr>
          <w:b w:val="0"/>
          <w:i w:val="0"/>
          <w:sz w:val="22"/>
        </w:rPr>
        <w:t>La reunión ejecutiva (fase 5) se celebra el último jueves de cada mes (excepto cuando coincide con días festivos, en cuyo caso se recorre al jueves anterior); el resto de fases se repite cada mes con el calendario de la Tabla 10. Cada trimestre, la fase ejecutiva incluye además una revisión de portafolio (ABC) y de parámetros de inventario (EOQ, SS, ROP).</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3864"/>
          </w:tcPr>
          <w:p>
            <w:pPr>
              <w:jc w:val="center"/>
            </w:pPr>
            <w:r/>
            <w:r>
              <w:rPr>
                <w:b/>
                <w:color w:val="FFFFFF"/>
                <w:sz w:val="19"/>
              </w:rPr>
              <w:t>Ciclo / Mes</w:t>
            </w:r>
          </w:p>
        </w:tc>
        <w:tc>
          <w:tcPr>
            <w:tcW w:type="dxa" w:w="8064"/>
            <w:shd w:val="clear" w:color="auto" w:fill="1F3864"/>
          </w:tcPr>
          <w:p>
            <w:pPr>
              <w:jc w:val="center"/>
            </w:pPr>
            <w:r/>
            <w:r>
              <w:rPr>
                <w:b/>
                <w:color w:val="FFFFFF"/>
                <w:sz w:val="19"/>
              </w:rPr>
              <w:t>Enfoque principal de la reunión ejecutiva</w:t>
            </w:r>
          </w:p>
        </w:tc>
      </w:tr>
      <w:tr>
        <w:tc>
          <w:tcPr>
            <w:tcW w:type="dxa" w:w="2880"/>
          </w:tcPr>
          <w:p>
            <w:pPr>
              <w:jc w:val="left"/>
            </w:pPr>
            <w:r/>
            <w:r>
              <w:rPr>
                <w:b w:val="0"/>
                <w:sz w:val="19"/>
              </w:rPr>
              <w:t>Ciclo 1 — Octubre 2026</w:t>
            </w:r>
          </w:p>
        </w:tc>
        <w:tc>
          <w:tcPr>
            <w:tcW w:type="dxa" w:w="8064"/>
          </w:tcPr>
          <w:p>
            <w:pPr>
              <w:jc w:val="left"/>
            </w:pPr>
            <w:r/>
            <w:r>
              <w:rPr>
                <w:b w:val="0"/>
                <w:sz w:val="19"/>
              </w:rPr>
              <w:t>Cierre y ajuste del plan anual; parámetros de inventario A.</w:t>
            </w:r>
          </w:p>
        </w:tc>
      </w:tr>
      <w:tr>
        <w:tc>
          <w:tcPr>
            <w:tcW w:type="dxa" w:w="2880"/>
            <w:shd w:val="clear" w:color="auto" w:fill="F2F5FA"/>
          </w:tcPr>
          <w:p>
            <w:pPr>
              <w:jc w:val="left"/>
            </w:pPr>
            <w:r/>
            <w:r>
              <w:rPr>
                <w:b w:val="0"/>
                <w:sz w:val="19"/>
              </w:rPr>
              <w:t>Ciclo 2 — Noviembre 2026</w:t>
            </w:r>
          </w:p>
        </w:tc>
        <w:tc>
          <w:tcPr>
            <w:tcW w:type="dxa" w:w="8064"/>
            <w:shd w:val="clear" w:color="auto" w:fill="F2F5FA"/>
          </w:tcPr>
          <w:p>
            <w:pPr>
              <w:jc w:val="left"/>
            </w:pPr>
            <w:r/>
            <w:r>
              <w:rPr>
                <w:b w:val="0"/>
                <w:sz w:val="19"/>
              </w:rPr>
              <w:t>Revisión post-pico promocional (Buen Fin); forecast dic–feb.</w:t>
            </w:r>
          </w:p>
        </w:tc>
      </w:tr>
      <w:tr>
        <w:tc>
          <w:tcPr>
            <w:tcW w:type="dxa" w:w="2880"/>
          </w:tcPr>
          <w:p>
            <w:pPr>
              <w:jc w:val="left"/>
            </w:pPr>
            <w:r/>
            <w:r>
              <w:rPr>
                <w:b w:val="0"/>
                <w:sz w:val="19"/>
              </w:rPr>
              <w:t>Ciclo 3 — Diciembre 2026</w:t>
            </w:r>
          </w:p>
        </w:tc>
        <w:tc>
          <w:tcPr>
            <w:tcW w:type="dxa" w:w="8064"/>
          </w:tcPr>
          <w:p>
            <w:pPr>
              <w:jc w:val="left"/>
            </w:pPr>
            <w:r/>
            <w:r>
              <w:rPr>
                <w:b w:val="0"/>
                <w:sz w:val="19"/>
              </w:rPr>
              <w:t>Cierre de año; plan de inventario de fin de periodo.</w:t>
            </w:r>
          </w:p>
        </w:tc>
      </w:tr>
      <w:tr>
        <w:tc>
          <w:tcPr>
            <w:tcW w:type="dxa" w:w="2880"/>
            <w:shd w:val="clear" w:color="auto" w:fill="F2F5FA"/>
          </w:tcPr>
          <w:p>
            <w:pPr>
              <w:jc w:val="left"/>
            </w:pPr>
            <w:r/>
            <w:r>
              <w:rPr>
                <w:b w:val="0"/>
                <w:sz w:val="19"/>
              </w:rPr>
              <w:t>Ciclo 4 — Enero 2027</w:t>
            </w:r>
          </w:p>
        </w:tc>
        <w:tc>
          <w:tcPr>
            <w:tcW w:type="dxa" w:w="8064"/>
            <w:shd w:val="clear" w:color="auto" w:fill="F2F5FA"/>
          </w:tcPr>
          <w:p>
            <w:pPr>
              <w:jc w:val="left"/>
            </w:pPr>
            <w:r/>
            <w:r>
              <w:rPr>
                <w:b w:val="0"/>
                <w:sz w:val="19"/>
              </w:rPr>
              <w:t>Revisión trimestral ABC–XYZ; ajuste de stock de seguridad.</w:t>
            </w:r>
          </w:p>
        </w:tc>
      </w:tr>
      <w:tr>
        <w:tc>
          <w:tcPr>
            <w:tcW w:type="dxa" w:w="2880"/>
          </w:tcPr>
          <w:p>
            <w:pPr>
              <w:jc w:val="left"/>
            </w:pPr>
            <w:r/>
            <w:r>
              <w:rPr>
                <w:b w:val="0"/>
                <w:sz w:val="19"/>
              </w:rPr>
              <w:t>Ciclo 5 — Febrero 2027</w:t>
            </w:r>
          </w:p>
        </w:tc>
        <w:tc>
          <w:tcPr>
            <w:tcW w:type="dxa" w:w="8064"/>
          </w:tcPr>
          <w:p>
            <w:pPr>
              <w:jc w:val="left"/>
            </w:pPr>
            <w:r/>
            <w:r>
              <w:rPr>
                <w:b w:val="0"/>
                <w:sz w:val="19"/>
              </w:rPr>
              <w:t>Preparación de la temporada escolar (laptops y tabletas).</w:t>
            </w:r>
          </w:p>
        </w:tc>
      </w:tr>
      <w:tr>
        <w:tc>
          <w:tcPr>
            <w:tcW w:type="dxa" w:w="2880"/>
            <w:shd w:val="clear" w:color="auto" w:fill="F2F5FA"/>
          </w:tcPr>
          <w:p>
            <w:pPr>
              <w:jc w:val="left"/>
            </w:pPr>
            <w:r/>
            <w:r>
              <w:rPr>
                <w:b w:val="0"/>
                <w:sz w:val="19"/>
              </w:rPr>
              <w:t>Ciclo 6 — Marzo 2027</w:t>
            </w:r>
          </w:p>
        </w:tc>
        <w:tc>
          <w:tcPr>
            <w:tcW w:type="dxa" w:w="8064"/>
            <w:shd w:val="clear" w:color="auto" w:fill="F2F5FA"/>
          </w:tcPr>
          <w:p>
            <w:pPr>
              <w:jc w:val="left"/>
            </w:pPr>
            <w:r/>
            <w:r>
              <w:rPr>
                <w:b w:val="0"/>
                <w:sz w:val="19"/>
              </w:rPr>
              <w:t>Evaluación de lanzamientos y del ciclo de vida de SKU.</w:t>
            </w:r>
          </w:p>
        </w:tc>
      </w:tr>
      <w:tr>
        <w:tc>
          <w:tcPr>
            <w:tcW w:type="dxa" w:w="2880"/>
          </w:tcPr>
          <w:p>
            <w:pPr>
              <w:jc w:val="left"/>
            </w:pPr>
            <w:r/>
            <w:r>
              <w:rPr>
                <w:b w:val="0"/>
                <w:sz w:val="19"/>
              </w:rPr>
              <w:t>Ciclo 7 — Abril 2027</w:t>
            </w:r>
          </w:p>
        </w:tc>
        <w:tc>
          <w:tcPr>
            <w:tcW w:type="dxa" w:w="8064"/>
          </w:tcPr>
          <w:p>
            <w:pPr>
              <w:jc w:val="left"/>
            </w:pPr>
            <w:r/>
            <w:r>
              <w:rPr>
                <w:b w:val="0"/>
                <w:sz w:val="19"/>
              </w:rPr>
              <w:t>Revisión trimestral ABC–XYZ y de plazos de proveedores.</w:t>
            </w:r>
          </w:p>
        </w:tc>
      </w:tr>
      <w:tr>
        <w:tc>
          <w:tcPr>
            <w:tcW w:type="dxa" w:w="2880"/>
            <w:shd w:val="clear" w:color="auto" w:fill="F2F5FA"/>
          </w:tcPr>
          <w:p>
            <w:pPr>
              <w:jc w:val="left"/>
            </w:pPr>
            <w:r/>
            <w:r>
              <w:rPr>
                <w:b w:val="0"/>
                <w:sz w:val="19"/>
              </w:rPr>
              <w:t>Ciclo 8 — Mayo 2027</w:t>
            </w:r>
          </w:p>
        </w:tc>
        <w:tc>
          <w:tcPr>
            <w:tcW w:type="dxa" w:w="8064"/>
            <w:shd w:val="clear" w:color="auto" w:fill="F2F5FA"/>
          </w:tcPr>
          <w:p>
            <w:pPr>
              <w:jc w:val="left"/>
            </w:pPr>
            <w:r/>
            <w:r>
              <w:rPr>
                <w:b w:val="0"/>
                <w:sz w:val="19"/>
              </w:rPr>
              <w:t>Planeación de demanda de mitad de año (Día de las Madres).</w:t>
            </w:r>
          </w:p>
        </w:tc>
      </w:tr>
      <w:tr>
        <w:tc>
          <w:tcPr>
            <w:tcW w:type="dxa" w:w="2880"/>
          </w:tcPr>
          <w:p>
            <w:pPr>
              <w:jc w:val="left"/>
            </w:pPr>
            <w:r/>
            <w:r>
              <w:rPr>
                <w:b w:val="0"/>
                <w:sz w:val="19"/>
              </w:rPr>
              <w:t>Ciclo 9 — Junio 2027</w:t>
            </w:r>
          </w:p>
        </w:tc>
        <w:tc>
          <w:tcPr>
            <w:tcW w:type="dxa" w:w="8064"/>
          </w:tcPr>
          <w:p>
            <w:pPr>
              <w:jc w:val="left"/>
            </w:pPr>
            <w:r/>
            <w:r>
              <w:rPr>
                <w:b w:val="0"/>
                <w:sz w:val="19"/>
              </w:rPr>
              <w:t>Cierre fiscal H1; reconciliación de presupuesto vs. real.</w:t>
            </w:r>
          </w:p>
        </w:tc>
      </w:tr>
      <w:tr>
        <w:tc>
          <w:tcPr>
            <w:tcW w:type="dxa" w:w="2880"/>
            <w:shd w:val="clear" w:color="auto" w:fill="F2F5FA"/>
          </w:tcPr>
          <w:p>
            <w:pPr>
              <w:jc w:val="left"/>
            </w:pPr>
            <w:r/>
            <w:r>
              <w:rPr>
                <w:b w:val="0"/>
                <w:sz w:val="19"/>
              </w:rPr>
              <w:t>Ciclo 10 — Julio 2027</w:t>
            </w:r>
          </w:p>
        </w:tc>
        <w:tc>
          <w:tcPr>
            <w:tcW w:type="dxa" w:w="8064"/>
            <w:shd w:val="clear" w:color="auto" w:fill="F2F5FA"/>
          </w:tcPr>
          <w:p>
            <w:pPr>
              <w:jc w:val="left"/>
            </w:pPr>
            <w:r/>
            <w:r>
              <w:rPr>
                <w:b w:val="0"/>
                <w:sz w:val="19"/>
              </w:rPr>
              <w:t>Revisión trimestral ABC–XYZ; renovación de portafolio.</w:t>
            </w:r>
          </w:p>
        </w:tc>
      </w:tr>
      <w:tr>
        <w:tc>
          <w:tcPr>
            <w:tcW w:type="dxa" w:w="2880"/>
          </w:tcPr>
          <w:p>
            <w:pPr>
              <w:jc w:val="left"/>
            </w:pPr>
            <w:r/>
            <w:r>
              <w:rPr>
                <w:b w:val="0"/>
                <w:sz w:val="19"/>
              </w:rPr>
              <w:t>Ciclo 11 — Agosto 2027</w:t>
            </w:r>
          </w:p>
        </w:tc>
        <w:tc>
          <w:tcPr>
            <w:tcW w:type="dxa" w:w="8064"/>
          </w:tcPr>
          <w:p>
            <w:pPr>
              <w:jc w:val="left"/>
            </w:pPr>
            <w:r/>
            <w:r>
              <w:rPr>
                <w:b w:val="0"/>
                <w:sz w:val="19"/>
              </w:rPr>
              <w:t>Preparación de temporada alta Q4 (Black Friday, fiestas).</w:t>
            </w:r>
          </w:p>
        </w:tc>
      </w:tr>
      <w:tr>
        <w:tc>
          <w:tcPr>
            <w:tcW w:type="dxa" w:w="2880"/>
            <w:shd w:val="clear" w:color="auto" w:fill="F2F5FA"/>
          </w:tcPr>
          <w:p>
            <w:pPr>
              <w:jc w:val="left"/>
            </w:pPr>
            <w:r/>
            <w:r>
              <w:rPr>
                <w:b w:val="0"/>
                <w:sz w:val="19"/>
              </w:rPr>
              <w:t>Ciclo 12 — Septiembre 2027</w:t>
            </w:r>
          </w:p>
        </w:tc>
        <w:tc>
          <w:tcPr>
            <w:tcW w:type="dxa" w:w="8064"/>
            <w:shd w:val="clear" w:color="auto" w:fill="F2F5FA"/>
          </w:tcPr>
          <w:p>
            <w:pPr>
              <w:jc w:val="left"/>
            </w:pPr>
            <w:r/>
            <w:r>
              <w:rPr>
                <w:b w:val="0"/>
                <w:sz w:val="19"/>
              </w:rPr>
              <w:t>Balance anual y arranque del ciclo planning del año siguiente.</w:t>
            </w:r>
          </w:p>
        </w:tc>
      </w:tr>
    </w:tbl>
    <w:p>
      <w:pPr>
        <w:spacing w:after="200"/>
        <w:jc w:val="center"/>
      </w:pPr>
      <w:r>
        <w:rPr>
          <w:b w:val="0"/>
          <w:i/>
          <w:color w:val="595959"/>
          <w:sz w:val="19"/>
        </w:rPr>
        <w:t>Tabla 11. Cronograma anual de reuniones ejecutivas de S&amp;OP (12 ciclos mensuales).</w:t>
      </w:r>
    </w:p>
    <w:p>
      <w:pPr>
        <w:pStyle w:val="Heading2"/>
      </w:pPr>
      <w:r>
        <w:t>6.4 KPIs que se monitorean en cada ciclo</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F3864"/>
          </w:tcPr>
          <w:p>
            <w:pPr>
              <w:jc w:val="center"/>
            </w:pPr>
            <w:r/>
            <w:r>
              <w:rPr>
                <w:b/>
                <w:color w:val="FFFFFF"/>
                <w:sz w:val="19"/>
              </w:rPr>
              <w:t>Indicador</w:t>
            </w:r>
          </w:p>
        </w:tc>
        <w:tc>
          <w:tcPr>
            <w:tcW w:type="dxa" w:w="2448"/>
            <w:shd w:val="clear" w:color="auto" w:fill="1F3864"/>
          </w:tcPr>
          <w:p>
            <w:pPr>
              <w:jc w:val="center"/>
            </w:pPr>
            <w:r/>
            <w:r>
              <w:rPr>
                <w:b/>
                <w:color w:val="FFFFFF"/>
                <w:sz w:val="19"/>
              </w:rPr>
              <w:t>Meta</w:t>
            </w:r>
          </w:p>
        </w:tc>
        <w:tc>
          <w:tcPr>
            <w:tcW w:type="dxa" w:w="5472"/>
            <w:shd w:val="clear" w:color="auto" w:fill="1F3864"/>
          </w:tcPr>
          <w:p>
            <w:pPr>
              <w:jc w:val="center"/>
            </w:pPr>
            <w:r/>
            <w:r>
              <w:rPr>
                <w:b/>
                <w:color w:val="FFFFFF"/>
                <w:sz w:val="19"/>
              </w:rPr>
              <w:t>Fórmula / medida</w:t>
            </w:r>
          </w:p>
        </w:tc>
      </w:tr>
      <w:tr>
        <w:tc>
          <w:tcPr>
            <w:tcW w:type="dxa" w:w="3024"/>
          </w:tcPr>
          <w:p>
            <w:pPr>
              <w:jc w:val="left"/>
            </w:pPr>
            <w:r/>
            <w:r>
              <w:rPr>
                <w:b w:val="0"/>
                <w:sz w:val="19"/>
              </w:rPr>
              <w:t>Nivel de servicio / Fill rate</w:t>
            </w:r>
          </w:p>
        </w:tc>
        <w:tc>
          <w:tcPr>
            <w:tcW w:type="dxa" w:w="2448"/>
          </w:tcPr>
          <w:p>
            <w:pPr>
              <w:jc w:val="left"/>
            </w:pPr>
            <w:r/>
            <w:r>
              <w:rPr>
                <w:b w:val="0"/>
                <w:sz w:val="19"/>
              </w:rPr>
              <w:t>≥ 95 % (clase A) · 90–95 % (B, C)</w:t>
            </w:r>
          </w:p>
        </w:tc>
        <w:tc>
          <w:tcPr>
            <w:tcW w:type="dxa" w:w="5472"/>
          </w:tcPr>
          <w:p>
            <w:pPr>
              <w:jc w:val="left"/>
            </w:pPr>
            <w:r/>
            <w:r>
              <w:rPr>
                <w:b w:val="0"/>
                <w:sz w:val="19"/>
              </w:rPr>
              <w:t>Ventas atendidas / ventas solicitadas.</w:t>
            </w:r>
          </w:p>
        </w:tc>
      </w:tr>
      <w:tr>
        <w:tc>
          <w:tcPr>
            <w:tcW w:type="dxa" w:w="3024"/>
            <w:shd w:val="clear" w:color="auto" w:fill="F2F5FA"/>
          </w:tcPr>
          <w:p>
            <w:pPr>
              <w:jc w:val="left"/>
            </w:pPr>
            <w:r/>
            <w:r>
              <w:rPr>
                <w:b w:val="0"/>
                <w:sz w:val="19"/>
              </w:rPr>
              <w:t>Exactitud del pronóstico (1-MAPE)</w:t>
            </w:r>
          </w:p>
        </w:tc>
        <w:tc>
          <w:tcPr>
            <w:tcW w:type="dxa" w:w="2448"/>
            <w:shd w:val="clear" w:color="auto" w:fill="F2F5FA"/>
          </w:tcPr>
          <w:p>
            <w:pPr>
              <w:jc w:val="left"/>
            </w:pPr>
            <w:r/>
            <w:r>
              <w:rPr>
                <w:b w:val="0"/>
                <w:sz w:val="19"/>
              </w:rPr>
              <w:t>≥ 80 %</w:t>
            </w:r>
          </w:p>
        </w:tc>
        <w:tc>
          <w:tcPr>
            <w:tcW w:type="dxa" w:w="5472"/>
            <w:shd w:val="clear" w:color="auto" w:fill="F2F5FA"/>
          </w:tcPr>
          <w:p>
            <w:pPr>
              <w:jc w:val="left"/>
            </w:pPr>
            <w:r/>
            <w:r>
              <w:rPr>
                <w:b w:val="0"/>
                <w:sz w:val="19"/>
              </w:rPr>
              <w:t>Calidad del plan de demanda.</w:t>
            </w:r>
          </w:p>
        </w:tc>
      </w:tr>
      <w:tr>
        <w:tc>
          <w:tcPr>
            <w:tcW w:type="dxa" w:w="3024"/>
          </w:tcPr>
          <w:p>
            <w:pPr>
              <w:jc w:val="left"/>
            </w:pPr>
            <w:r/>
            <w:r>
              <w:rPr>
                <w:b w:val="0"/>
                <w:sz w:val="19"/>
              </w:rPr>
              <w:t>Días de inventario (DSI) o rotación</w:t>
            </w:r>
          </w:p>
        </w:tc>
        <w:tc>
          <w:tcPr>
            <w:tcW w:type="dxa" w:w="2448"/>
          </w:tcPr>
          <w:p>
            <w:pPr>
              <w:jc w:val="left"/>
            </w:pPr>
            <w:r/>
            <w:r>
              <w:rPr>
                <w:b w:val="0"/>
                <w:sz w:val="19"/>
              </w:rPr>
              <w:t>8–10 vueltas/año</w:t>
            </w:r>
          </w:p>
        </w:tc>
        <w:tc>
          <w:tcPr>
            <w:tcW w:type="dxa" w:w="5472"/>
          </w:tcPr>
          <w:p>
            <w:pPr>
              <w:jc w:val="left"/>
            </w:pPr>
            <w:r/>
            <w:r>
              <w:rPr>
                <w:b w:val="0"/>
                <w:sz w:val="19"/>
              </w:rPr>
              <w:t>Costo de ventas / inventario promedio.</w:t>
            </w:r>
          </w:p>
        </w:tc>
      </w:tr>
      <w:tr>
        <w:tc>
          <w:tcPr>
            <w:tcW w:type="dxa" w:w="3024"/>
            <w:shd w:val="clear" w:color="auto" w:fill="F2F5FA"/>
          </w:tcPr>
          <w:p>
            <w:pPr>
              <w:jc w:val="left"/>
            </w:pPr>
            <w:r/>
            <w:r>
              <w:rPr>
                <w:b w:val="0"/>
                <w:sz w:val="19"/>
              </w:rPr>
              <w:t>Costo de faltantes y de exceso</w:t>
            </w:r>
          </w:p>
        </w:tc>
        <w:tc>
          <w:tcPr>
            <w:tcW w:type="dxa" w:w="2448"/>
            <w:shd w:val="clear" w:color="auto" w:fill="F2F5FA"/>
          </w:tcPr>
          <w:p>
            <w:pPr>
              <w:jc w:val="left"/>
            </w:pPr>
            <w:r/>
            <w:r>
              <w:rPr>
                <w:b w:val="0"/>
                <w:sz w:val="19"/>
              </w:rPr>
              <w:t>Tendencia a la baja</w:t>
            </w:r>
          </w:p>
        </w:tc>
        <w:tc>
          <w:tcPr>
            <w:tcW w:type="dxa" w:w="5472"/>
            <w:shd w:val="clear" w:color="auto" w:fill="F2F5FA"/>
          </w:tcPr>
          <w:p>
            <w:pPr>
              <w:jc w:val="left"/>
            </w:pPr>
            <w:r/>
            <w:r>
              <w:rPr>
                <w:b w:val="0"/>
                <w:sz w:val="19"/>
              </w:rPr>
              <w:t>Margen perdido + remates y obsolescencia.</w:t>
            </w:r>
          </w:p>
        </w:tc>
      </w:tr>
      <w:tr>
        <w:tc>
          <w:tcPr>
            <w:tcW w:type="dxa" w:w="3024"/>
          </w:tcPr>
          <w:p>
            <w:pPr>
              <w:jc w:val="left"/>
            </w:pPr>
            <w:r/>
            <w:r>
              <w:rPr>
                <w:b w:val="0"/>
                <w:sz w:val="19"/>
              </w:rPr>
              <w:t>% de inventario clase A sin rotación</w:t>
            </w:r>
          </w:p>
        </w:tc>
        <w:tc>
          <w:tcPr>
            <w:tcW w:type="dxa" w:w="2448"/>
          </w:tcPr>
          <w:p>
            <w:pPr>
              <w:jc w:val="left"/>
            </w:pPr>
            <w:r/>
            <w:r>
              <w:rPr>
                <w:b w:val="0"/>
                <w:sz w:val="19"/>
              </w:rPr>
              <w:t>&lt; 2 %</w:t>
            </w:r>
          </w:p>
        </w:tc>
        <w:tc>
          <w:tcPr>
            <w:tcW w:type="dxa" w:w="5472"/>
          </w:tcPr>
          <w:p>
            <w:pPr>
              <w:jc w:val="left"/>
            </w:pPr>
            <w:r/>
            <w:r>
              <w:rPr>
                <w:b w:val="0"/>
                <w:sz w:val="19"/>
              </w:rPr>
              <w:t>Exceso sobre stock de seguridad.</w:t>
            </w:r>
          </w:p>
        </w:tc>
      </w:tr>
      <w:tr>
        <w:tc>
          <w:tcPr>
            <w:tcW w:type="dxa" w:w="3024"/>
            <w:shd w:val="clear" w:color="auto" w:fill="F2F5FA"/>
          </w:tcPr>
          <w:p>
            <w:pPr>
              <w:jc w:val="left"/>
            </w:pPr>
            <w:r/>
            <w:r>
              <w:rPr>
                <w:b w:val="0"/>
                <w:sz w:val="19"/>
              </w:rPr>
              <w:t>Cumplimiento del plan S&amp;OP</w:t>
            </w:r>
          </w:p>
        </w:tc>
        <w:tc>
          <w:tcPr>
            <w:tcW w:type="dxa" w:w="2448"/>
            <w:shd w:val="clear" w:color="auto" w:fill="F2F5FA"/>
          </w:tcPr>
          <w:p>
            <w:pPr>
              <w:jc w:val="left"/>
            </w:pPr>
            <w:r/>
            <w:r>
              <w:rPr>
                <w:b w:val="0"/>
                <w:sz w:val="19"/>
              </w:rPr>
              <w:t>≥ 90 % de adherencia</w:t>
            </w:r>
          </w:p>
        </w:tc>
        <w:tc>
          <w:tcPr>
            <w:tcW w:type="dxa" w:w="5472"/>
            <w:shd w:val="clear" w:color="auto" w:fill="F2F5FA"/>
          </w:tcPr>
          <w:p>
            <w:pPr>
              <w:jc w:val="left"/>
            </w:pPr>
            <w:r/>
            <w:r>
              <w:rPr>
                <w:b w:val="0"/>
                <w:sz w:val="19"/>
              </w:rPr>
              <w:t>Producción/compras vs. plan aprobado.</w:t>
            </w:r>
          </w:p>
        </w:tc>
      </w:tr>
    </w:tbl>
    <w:p>
      <w:pPr>
        <w:spacing w:after="200"/>
        <w:jc w:val="center"/>
      </w:pPr>
      <w:r>
        <w:rPr>
          <w:b w:val="0"/>
          <w:i/>
          <w:color w:val="595959"/>
          <w:sz w:val="19"/>
        </w:rPr>
        <w:t>Tabla 12. Cuadro de mando del proceso S&amp;OP.</w:t>
      </w:r>
    </w:p>
    <w:p>
      <w:pPr>
        <w:pStyle w:val="Heading1"/>
      </w:pPr>
      <w:r>
        <w:t>7. Conclusiones</w:t>
      </w:r>
    </w:p>
    <w:p>
      <w:pPr>
        <w:pStyle w:val="ListBullet"/>
        <w:spacing w:after="60"/>
      </w:pPr>
      <w:r>
        <w:t>El inventario no es un solo problema ni un solo costo: clasificarlo por tipo (ciclo, seguridad, tránsito, anticipación, MRO) y por costo (ordenar, mantener, faltante, exceso/obsolescencia) permite atacar cada causa raíz de la crisis de XYZ.</w:t>
      </w:r>
    </w:p>
    <w:p>
      <w:pPr>
        <w:pStyle w:val="ListBullet"/>
        <w:spacing w:after="60"/>
      </w:pPr>
      <w:r>
        <w:t>No hay una metodología única ganadora: la combinación de Pull+Kanban para la rotación diaria y Push/MRP para promociones y lanzamientos, sincronizada por el S&amp;OP, es la que mejor equilibra servicio y capital en una distribuidora con lead times largos.</w:t>
      </w:r>
    </w:p>
    <w:p>
      <w:pPr>
        <w:pStyle w:val="ListBullet"/>
        <w:spacing w:after="60"/>
      </w:pPr>
      <w:r>
        <w:t>El ABC–XYZ concentra la atención donde está el dinero: dos SKU (smartphone y laptop) explican ≈68 % del valor; diferenciar su política de control es la palanca de mayor impacto.</w:t>
      </w:r>
    </w:p>
    <w:p>
      <w:pPr>
        <w:pStyle w:val="ListBullet"/>
        <w:spacing w:after="60"/>
      </w:pPr>
      <w:r>
        <w:t>El pronóstico por tendencia (MAPE &lt; 5 %) y las herramientas EOQ/ROP/SS/MRP convierten la demanda esperada en un plan de compra concreto y medible, eliminando tanto los stock outs como el sobreinventario.</w:t>
      </w:r>
    </w:p>
    <w:p>
      <w:pPr>
        <w:pStyle w:val="ListBullet"/>
        <w:spacing w:after="60"/>
      </w:pPr>
      <w:r>
        <w:t>El S&amp;OP es el “ritmo” que sostiene la mejora: con sus cinco fases mensuales (datos, demanda, suministro, reconciliación y decisión ejecutiva) asegura que todas las áreas se muevan con un solo plan aprobado.</w:t>
      </w:r>
    </w:p>
    <w:p>
      <w:pPr>
        <w:spacing w:after="80"/>
      </w:pPr>
      <w:r>
        <w:rPr>
          <w:b w:val="0"/>
          <w:i w:val="0"/>
          <w:sz w:val="22"/>
        </w:rPr>
        <w:t>Con este proyecto, XYZ puede reducir sus costos de almacenamiento, eliminar prácticamente los faltantes en productos críticos y liberar capital hoy inmovilizado en stock sin rotación.</w:t>
      </w:r>
    </w:p>
    <w:p>
      <w:pPr>
        <w:pStyle w:val="Heading1"/>
      </w:pPr>
      <w:r>
        <w:t>8. Referencias y fuentes de apoyo</w:t>
      </w:r>
    </w:p>
    <w:p>
      <w:pPr>
        <w:pStyle w:val="ListNumber"/>
      </w:pPr>
      <w:r>
        <w:t>Heizer, J., Render, B., &amp; Munson, C. (2020). Operations Management: Sustainability and Supply Chain Management (13.ª ed.). Pearson. (Capítulos de administración de inventarios, EOQ, MRP y S&amp;OP).</w:t>
      </w:r>
    </w:p>
    <w:p>
      <w:pPr>
        <w:pStyle w:val="ListNumber"/>
      </w:pPr>
      <w:r>
        <w:t>Chopra, S., &amp; Meindl, P. (2019). Supply Chain Management: Strategy, Planning, and Operation (7.ª ed.). Pearson.</w:t>
      </w:r>
    </w:p>
    <w:p>
      <w:pPr>
        <w:pStyle w:val="ListNumber"/>
      </w:pPr>
      <w:r>
        <w:t>Vollmann, T. E., Berry, W. L., Whybark, D. C., &amp; Jacobs, F. R. (2011). Manufacturing Planning and Control for Supply Chain Management (6.ª ed.). McGraw-Hill. (Proceso S&amp;OP y MRP).</w:t>
      </w:r>
    </w:p>
    <w:p>
      <w:pPr>
        <w:pStyle w:val="ListNumber"/>
      </w:pPr>
      <w:r>
        <w:t>ASCM / APICS (2023). APICS Dictionary — Definiciones de Sales &amp; Operations Planning, EOQ, ROP y seguridad de inventario. Association for Supply Chain Management.</w:t>
      </w:r>
    </w:p>
    <w:p>
      <w:pPr>
        <w:pStyle w:val="ListNumber"/>
      </w:pPr>
      <w:r>
        <w:t>Silver, E. A., Pyke, D. F., &amp; Thomas, D. J. (2017). Inventory and Production Management in Supply Chains (4.ª ed.). CRC Press. (Clasificación ABC y control de inventarios).</w:t>
      </w:r>
    </w:p>
    <w:p>
      <w:pPr>
        <w:pStyle w:val="ListNumber"/>
      </w:pPr>
      <w:r>
        <w:t>Institute of Business Forecasting &amp; Planning (IBF). (s. f.). Guías de pronóstico de demanda y diseño de procesos S&amp;OP. Recuperado de ibf.org.</w:t>
      </w:r>
    </w:p>
    <w:p/>
    <w:p>
      <w:pPr>
        <w:spacing w:after="120"/>
      </w:pPr>
      <w:r>
        <w:rPr>
          <w:b w:val="0"/>
          <w:i/>
          <w:color w:val="595959"/>
          <w:sz w:val="19"/>
        </w:rPr>
        <w:t>Nota metodológica: las series de demanda históricas y la composición del portafolio son datos de referencia construidos para el ejercicio (la empresa “XYZ” es ficticia); todos los cálculos son verificables con las fórmulas estándar citadas en las referencias.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3 — ¿Para qué sirven los inventarios en las empresas? (S&amp;OP)</dc:title>
  <dc:subject>Gestión de inventarios y proceso S&amp;OP</dc:subject>
  <dc:creator>Adrián Corpi Villaseñor; Erick Díaz; Patricio Ulises Morales</dc:creator>
  <cp:keywords>inventarios; S&amp;OP; ABC-XYZ; EOQ; MRP; Kanban</cp:keywords>
  <dc:description>generated by python-docx</dc:description>
  <cp:lastModifiedBy/>
  <cp:revision>1</cp:revision>
  <dcterms:created xsi:type="dcterms:W3CDTF">2013-12-23T23:15:00Z</dcterms:created>
  <dcterms:modified xsi:type="dcterms:W3CDTF">2013-12-23T23:15:00Z</dcterms:modified>
  <cp:category/>
</cp:coreProperties>
</file>