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 descr="Логотип центра ментального здоровья Азимут Клиник" title="Азимут Клини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imut-logo-do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5786F"/>
          <w:sz w:val="22"/>
        </w:rPr>
        <w:t>ЦЕНТР МЕНТАЛЬНОГО ЗДОРОВЬЯ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123B5A"/>
          <w:sz w:val="52"/>
        </w:rPr>
        <w:t>АЗИМУТ КЛИНИК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64E7A"/>
          <w:sz w:val="38"/>
        </w:rPr>
        <w:t>РАБОЧИЙ ОФФЕР И ЧЕК-ЛИСТ ЗАПУСКА</w:t>
      </w:r>
    </w:p>
    <w:p>
      <w:pPr>
        <w:spacing w:after="640"/>
        <w:jc w:val="center"/>
      </w:pPr>
      <w:r>
        <w:rPr>
          <w:rFonts w:ascii="Calibri" w:hAnsi="Calibri" w:eastAsia="Calibri"/>
          <w:i/>
          <w:color w:val="5E7480"/>
          <w:sz w:val="27"/>
        </w:rPr>
        <w:t>Сайт, CRM-контур, Telegram и пилот AI-ассистента для внутренних встреч</w:t>
      </w:r>
    </w:p>
    <w:p>
      <w:pPr>
        <w:spacing w:before="0" w:after="100" w:line="264" w:lineRule="auto"/>
        <w:ind w:left="1440" w:right="1008"/>
      </w:pPr>
      <w:r>
        <w:rPr>
          <w:rFonts w:ascii="Calibri" w:hAnsi="Calibri" w:eastAsia="Calibri"/>
          <w:b/>
          <w:color w:val="15786F"/>
          <w:sz w:val="21"/>
        </w:rPr>
        <w:t xml:space="preserve">Для: </w:t>
      </w:r>
      <w:r>
        <w:rPr>
          <w:rFonts w:ascii="Calibri" w:hAnsi="Calibri" w:eastAsia="Calibri"/>
          <w:color w:val="243946"/>
          <w:sz w:val="21"/>
        </w:rPr>
        <w:t>Натальи, руководителя центра «Азимут Клиник»</w:t>
      </w:r>
    </w:p>
    <w:p>
      <w:pPr>
        <w:spacing w:before="0" w:after="100" w:line="264" w:lineRule="auto"/>
        <w:ind w:left="1440" w:right="1008"/>
      </w:pPr>
      <w:r>
        <w:rPr>
          <w:rFonts w:ascii="Calibri" w:hAnsi="Calibri" w:eastAsia="Calibri"/>
          <w:b/>
          <w:color w:val="15786F"/>
          <w:sz w:val="21"/>
        </w:rPr>
        <w:t xml:space="preserve">Подготовил: </w:t>
      </w:r>
      <w:r>
        <w:rPr>
          <w:rFonts w:ascii="Calibri" w:hAnsi="Calibri" w:eastAsia="Calibri"/>
          <w:color w:val="243946"/>
          <w:sz w:val="21"/>
        </w:rPr>
        <w:t>Сергей Бежаев, AI / Digital / Marketing</w:t>
      </w:r>
    </w:p>
    <w:p>
      <w:pPr>
        <w:spacing w:before="0" w:after="100" w:line="264" w:lineRule="auto"/>
        <w:ind w:left="1440" w:right="1008"/>
      </w:pPr>
      <w:r>
        <w:rPr>
          <w:rFonts w:ascii="Calibri" w:hAnsi="Calibri" w:eastAsia="Calibri"/>
          <w:b/>
          <w:color w:val="15786F"/>
          <w:sz w:val="21"/>
        </w:rPr>
        <w:t xml:space="preserve">Дата: </w:t>
      </w:r>
      <w:r>
        <w:rPr>
          <w:rFonts w:ascii="Calibri" w:hAnsi="Calibri" w:eastAsia="Calibri"/>
          <w:color w:val="243946"/>
          <w:sz w:val="21"/>
        </w:rPr>
        <w:t>19 июня 2026 года</w:t>
      </w:r>
    </w:p>
    <w:p>
      <w:pPr>
        <w:spacing w:before="0" w:after="100" w:line="264" w:lineRule="auto"/>
        <w:ind w:left="1440" w:right="1008"/>
      </w:pPr>
      <w:r>
        <w:rPr>
          <w:rFonts w:ascii="Calibri" w:hAnsi="Calibri" w:eastAsia="Calibri"/>
          <w:b/>
          <w:color w:val="15786F"/>
          <w:sz w:val="21"/>
        </w:rPr>
        <w:t xml:space="preserve">Статус: </w:t>
      </w:r>
      <w:r>
        <w:rPr>
          <w:rFonts w:ascii="Calibri" w:hAnsi="Calibri" w:eastAsia="Calibri"/>
          <w:color w:val="243946"/>
          <w:sz w:val="21"/>
        </w:rPr>
        <w:t>Рабочая версия для обсуждения и определения объёма следующего этапа</w:t>
      </w:r>
    </w:p>
    <w:p>
      <w:pPr>
        <w:spacing w:after="280"/>
      </w:pP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Предлагаю двигаться в двух связанных контурах: сначала без задержек довести сайт до запуска, а параллельно провести короткую диагностику цифровой инфраструктуры клиники и подготовить безопасный пилот AI-ассистента для внутренних рабочих встреч.</w:t>
      </w:r>
    </w:p>
    <w:p>
      <w:pPr>
        <w:spacing w:before="400" w:after="0"/>
        <w:jc w:val="center"/>
      </w:pPr>
      <w:r>
        <w:rPr>
          <w:rFonts w:ascii="Calibri" w:hAnsi="Calibri" w:eastAsia="Calibri"/>
          <w:color w:val="5E7480"/>
          <w:sz w:val="19"/>
        </w:rPr>
        <w:t>+7 (999) 996-22-06  •  lecmedea@gmail.com  •  Telegram: @notoruis</w:t>
      </w:r>
    </w:p>
    <w:p>
      <w:r>
        <w:br w:type="page"/>
      </w:r>
    </w:p>
    <w:p>
      <w:pPr>
        <w:pStyle w:val="Heading1"/>
      </w:pPr>
      <w:r>
        <w:t>1. Кратко о предложении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Задача проекта — не просто опубликовать сайт, а связать его с реальными рабочими процессами клиники: приёмом обращений, распределением заявок, коммуникацией с пациентами, внутренними задачами команды, аналитикой и дальнейшей автоматизацией. Сайт становится входной точкой цифровой системы, а не отдельной витриной.</w:t>
      </w:r>
    </w:p>
    <w:p>
      <w:pPr>
        <w:pStyle w:val="Heading2"/>
      </w:pPr>
      <w:r>
        <w:t>Предлагаемый результат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Готовый к публикации многостраничный сайт клиники на собственном домене с корректной мобильной версией, формами, аналитикой и понятным маршрутом обращения.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Карта цифровой архитектуры: сайт, домен, почта, Битрикс24, телефония, Telegram, сервисы записи, платежи, аналитика и ответственные сотрудники.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Пилот AI-ассистента для внутренних встреч: протокол, решения, задачи, ответственные, сроки, персональные списки дел и контроль подготовки к следующему созвону.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План дальнейших интеграций и автоматизации с оценкой приоритета, сложности, рисков и ожидаемого эффекта.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При необходимости — развитие Telegram-бота, контентной системы и маркетингового контура клиники отдельными модулями.</w:t>
      </w:r>
    </w:p>
    <w:p>
      <w:pPr>
        <w:pStyle w:val="Heading2"/>
      </w:pPr>
      <w:r>
        <w:t>Принцип работы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Сначала — минимально необходимый и безопасный запуск. Затем — короткие пилоты на реальных процессах. Только после подтверждения пользы масштабируем автоматизацию и интеграции.</w:t>
      </w:r>
    </w:p>
    <w:p>
      <w:pPr>
        <w:pStyle w:val="Heading1"/>
      </w:pPr>
      <w:r>
        <w:t>2. Состав работ</w:t>
      </w:r>
    </w:p>
    <w:p>
      <w:pPr>
        <w:pStyle w:val="Heading2"/>
      </w:pPr>
      <w:r>
        <w:t>2.1. Базовый контур: запуск сайта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Работы по сайту продолжаются в рамках уже начатого проекта и внесённой предоплаты. На этапе запуска предлагаю закрыть следующие блоки: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Финальная структура разделов, услуг, направлений, врачей, цен, блога, контактов и юридических документов.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Замена презентационных материалов на согласованные тексты, фотографии, сведения о специалистах, реквизиты, лицензии и сертификаты.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Подключение домена и DNS безопасным способом: совместная настройка на созвоне, делегированный доступ или точечная передача DNS-записей.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Настройка форм записи и маршрута заявок: кто получает обращение, в какой системе оно фиксируется, кто и в какой срок отвечает.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Подключение аналитики и событий: отправка формы, клик по телефону, переход в Telegram, запись на консультацию.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Проверка адаптивности, скорости загрузки, ссылок, изображений, аудио, базовой доступности и поведения сайта на основных устройствах.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Публикация, контроль после запуска и короткая инструкция по дальнейшему обновлению контента.</w:t>
      </w:r>
    </w:p>
    <w:p>
      <w:pPr>
        <w:pStyle w:val="Heading2"/>
      </w:pPr>
      <w:r>
        <w:t>2.2. Диагностика цифровой инфраструктуры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До сложных интеграций нужна одна рабочая встреча с руководителем и ответственными сотрудниками. На ней фиксируем не названия сервисов сами по себе, а реальные процессы и точки передачи данных.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Какие каналы приводят обращения: сайт, телефон, мессенджеры, рекомендации, реклама, агрегаторы.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Где создаётся карточка обращения и как она проходит путь до записи, оплаты, визита и повторного контакта.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Как устроены Битрикс24, телефония, рабочие чаты, почта, календарь, сервис онлайн-консультаций и внутренняя постановка задач.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Какие данные действительно нужны сотрудникам, кто имеет к ним доступ и сколько времени они должны храниться.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Где возникают потери: неотвеченные заявки, дублирование, ручной перенос данных, забытые договорённости, отсутствие контроля сроков.</w:t>
      </w:r>
    </w:p>
    <w:p>
      <w:pPr>
        <w:pStyle w:val="Heading2"/>
      </w:pPr>
      <w:r>
        <w:t>2.3. Пилот AI-ассистента для внутренних встреч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Идея из голосового сообщения предлагается как отдельный пилот для административных и проектных встреч клиники. На первом этапе система не подключается к консультациям с пациентами и не обрабатывает клинические данные.</w:t>
      </w:r>
    </w:p>
    <w:p>
      <w:pPr>
        <w:pStyle w:val="Heading3"/>
      </w:pPr>
      <w:r>
        <w:t>Как будет выглядеть сценарий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Команда проводит встречу в привычном сервисе: Zoom, Яндекс Телемост или другом согласованном инструменте.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После встречи система получает запись или расшифровку и формирует единый протокол.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AI выделяет решения, задачи, ответственных, сроки, зависимости, нерешённые вопросы и пункты к следующей встрече.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Каждый участник получает персональный список задач; руководитель — общий реестр и статус выполнения.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После ручного подтверждения задачи могут передаваться в Битрикс24, календарь, Telegram или другой выбранный рабочий инструмент.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Перед следующим созвоном система готовит краткую сводку: что выполнено, что просрочено, какие вопросы требуют решения.</w:t>
      </w:r>
    </w:p>
    <w:p>
      <w:pPr>
        <w:pStyle w:val="Heading3"/>
      </w:pPr>
      <w:r>
        <w:t>MVP пилота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Один выбранный формат входа: готовая расшифровка или запись из одного сервиса.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Шаблон протокола встречи в фирменном формате клиники.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Реестр задач: задача, ответственный, срок, приоритет, источник и статус.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Персональные документы или сообщения для участников.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Обязательное подтверждение человеком перед отправкой задач и уведомлений.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Тест на 2–4 внутренних встречах и корректировка правил по реальным результатам.</w:t>
      </w:r>
    </w:p>
    <w:p>
      <w:pPr>
        <w:pStyle w:val="Heading3"/>
      </w:pPr>
      <w:r>
        <w:t>Что не входит в пилот без отдельного согласования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Автоматическая обработка бесед с пациентами, медицинских заключений и иной чувствительной клинической информации.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Автоматическая постановка диагнозов, медицинские рекомендации или принятие кадровых и управленческих решений без человека.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Глубокая интеграция со всеми системами сразу: сначала проверяется полезность процесса на ограниченном контуре.</w:t>
      </w:r>
    </w:p>
    <w:p>
      <w:pPr>
        <w:pStyle w:val="Heading2"/>
      </w:pPr>
      <w:r>
        <w:t>2.4. Telegram-бот и сервисные сценарии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Существующий демонстрационный бот можно использовать как основу и пересобрать под актуальный бренд. Возможные функции внедряются поэтапно: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Выбор направления помощи и формата консультации без медицинской диагностики в боте.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Ответы на организационные вопросы: режим работы, адрес, стоимость, документы, способы связи.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Передача заявки администратору или в CRM с фиксацией источника.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Напоминания о записи, запрос обратной связи и выдача согласованных материалов.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Сервисный канал для партнёров или родственников — только после определения правил и ответственных.</w:t>
      </w:r>
    </w:p>
    <w:p>
      <w:pPr>
        <w:pStyle w:val="Heading2"/>
      </w:pPr>
      <w:r>
        <w:t>2.5. Контент и маркетинг как следующий модуль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После стабилизации сайта можно выстроить регулярную контентную систему, связанную с услугами клиники и реальными вопросами аудитории: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Контент-матрица: экспертные, репутационные, сервисные, образовательные и конверсионные материалы.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Редакционный календарь для блога, Telegram и других выбранных площадок.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AI-поддержка черновиков, визуалов и адаптаций при обязательной проверке профильным специалистом клиники.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Связка контента с заявками и аналитикой: измеряем переходы, обращения, записи и полезность тем.</w:t>
      </w:r>
    </w:p>
    <w:p>
      <w:pPr>
        <w:pStyle w:val="Heading1"/>
      </w:pPr>
      <w:r>
        <w:t>3. Предлагаемая архитектура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Каналы обращения и рабочие встречи → сайт / телефон / Telegram / видеосвязь → CRM и реестр задач → ответственные сотрудники → аналитика и контроль. AI помогает структурировать информацию, но не заменяет управленческое и медицинское решение.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входит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Входные каналы</w:t>
            </w:r>
          </w:p>
        </w:tc>
        <w:tc>
          <w:tcPr>
            <w:tcW w:type="dxa" w:w="3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Сайт, телефон, Telegram, почта, реклама, партнёры, видеовстречи</w:t>
            </w:r>
          </w:p>
        </w:tc>
        <w:tc>
          <w:tcPr>
            <w:tcW w:type="dxa" w:w="3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Единые правила фиксации источника и обращения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Операционный центр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Битрикс24 или согласованная CRM, календарь, задачи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Карточка обращения, ответственный, срок и статус</w:t>
            </w:r>
          </w:p>
        </w:tc>
      </w:tr>
      <w:tr>
        <w:trPr>
          <w:cantSplit/>
        </w:trPr>
        <w:tc>
          <w:tcPr>
            <w:tcW w:type="dxa" w:w="18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AI-слой</w:t>
            </w:r>
          </w:p>
        </w:tc>
        <w:tc>
          <w:tcPr>
            <w:tcW w:type="dxa" w:w="3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Расшифровка, протоколы, классификация, напоминания, черновики</w:t>
            </w:r>
          </w:p>
        </w:tc>
        <w:tc>
          <w:tcPr>
            <w:tcW w:type="dxa" w:w="3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Только в согласованных сценариях и с подтверждением человека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Данные и доступ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Роли, журналирование, резервные копии, сроки хранения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Минимально необходимый доступ и отдельные служебные аккаунты</w:t>
            </w:r>
          </w:p>
        </w:tc>
      </w:tr>
      <w:tr>
        <w:trPr>
          <w:cantSplit/>
        </w:trPr>
        <w:tc>
          <w:tcPr>
            <w:tcW w:type="dxa" w:w="18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Аналитика</w:t>
            </w:r>
          </w:p>
        </w:tc>
        <w:tc>
          <w:tcPr>
            <w:tcW w:type="dxa" w:w="3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Источники, конверсии, время ответа, загрузка, контент</w:t>
            </w:r>
          </w:p>
        </w:tc>
        <w:tc>
          <w:tcPr>
            <w:tcW w:type="dxa" w:w="3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Понятные показатели для управленческих решений</w:t>
            </w:r>
          </w:p>
        </w:tc>
      </w:tr>
    </w:tbl>
    <w:p>
      <w:pPr>
        <w:spacing w:after="40"/>
      </w:pPr>
    </w:p>
    <w:p>
      <w:pPr>
        <w:pStyle w:val="Heading1"/>
      </w:pPr>
      <w:r>
        <w:t>4. Этапы и предварительные сроки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Сроки ниже являются ориентировочными. Финальный календарь зависит от готовности материалов, доступов и решений со стороны клиники.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2300"/>
        <w:gridCol w:w="1900"/>
        <w:gridCol w:w="516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Ориентир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0. Старт</w:t>
            </w:r>
          </w:p>
        </w:tc>
        <w:tc>
          <w:tcPr>
            <w:tcW w:type="dxa" w:w="1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1–2 рабочих дня</w:t>
            </w:r>
          </w:p>
        </w:tc>
        <w:tc>
          <w:tcPr>
            <w:tcW w:type="dxa" w:w="51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Ответственные, каналы связи, список решений, порядок доступа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1. Диагностика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3–5 рабочих дней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Карта систем, процессов, рисков и приоритетов</w:t>
            </w:r>
          </w:p>
        </w:tc>
      </w:tr>
      <w:tr>
        <w:trPr>
          <w:cantSplit/>
        </w:trPr>
        <w:tc>
          <w:tcPr>
            <w:tcW w:type="dxa" w:w="23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2. Подготовка сайта к запуску</w:t>
            </w:r>
          </w:p>
        </w:tc>
        <w:tc>
          <w:tcPr>
            <w:tcW w:type="dxa" w:w="1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1–3 недели</w:t>
            </w:r>
          </w:p>
        </w:tc>
        <w:tc>
          <w:tcPr>
            <w:tcW w:type="dxa" w:w="51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Контент, домен, формы, аналитика, тестирование и публикация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3. AI-пилот встреч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2–3 недели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MVP на 2–4 внутренних встречах и отчёт по результату</w:t>
            </w:r>
          </w:p>
        </w:tc>
      </w:tr>
      <w:tr>
        <w:trPr>
          <w:cantSplit/>
        </w:trPr>
        <w:tc>
          <w:tcPr>
            <w:tcW w:type="dxa" w:w="23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4. Интеграции</w:t>
            </w:r>
          </w:p>
        </w:tc>
        <w:tc>
          <w:tcPr>
            <w:tcW w:type="dxa" w:w="1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2–4 недели на модуль</w:t>
            </w:r>
          </w:p>
        </w:tc>
        <w:tc>
          <w:tcPr>
            <w:tcW w:type="dxa" w:w="51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Связка с CRM, задачами, Telegram или календарём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5. Развитие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 согласованному циклу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Контент, аналитика, автоматизация и улучшения</w:t>
            </w:r>
          </w:p>
        </w:tc>
      </w:tr>
    </w:tbl>
    <w:p>
      <w:pPr>
        <w:spacing w:after="40"/>
      </w:pPr>
    </w:p>
    <w:p>
      <w:pPr>
        <w:pStyle w:val="Heading1"/>
      </w:pPr>
      <w:r>
        <w:t>5. Роли и ответственность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Участник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Зона ответственности</w:t>
            </w:r>
          </w:p>
        </w:tc>
      </w:tr>
      <w:tr>
        <w:trPr>
          <w:cantSplit/>
        </w:trPr>
        <w:tc>
          <w:tcPr>
            <w:tcW w:type="dxa" w:w="26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Наталья / руководитель</w:t>
            </w:r>
          </w:p>
        </w:tc>
        <w:tc>
          <w:tcPr>
            <w:tcW w:type="dxa" w:w="67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Приоритеты, финальные решения, назначение ответственных, согласование правил доступа и данных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Координатор от клиники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Сбор материалов, оперативные ответы, организация тестирования, сведение комментариев команды</w:t>
            </w:r>
          </w:p>
        </w:tc>
      </w:tr>
      <w:tr>
        <w:trPr>
          <w:cantSplit/>
        </w:trPr>
        <w:tc>
          <w:tcPr>
            <w:tcW w:type="dxa" w:w="26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Сергей Бежаев</w:t>
            </w:r>
          </w:p>
        </w:tc>
        <w:tc>
          <w:tcPr>
            <w:tcW w:type="dxa" w:w="67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Архитектура, проектное ведение, сайт, прототипирование, постановка интеграций, AI-пилот, контроль качества и отчётность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Профильные специалисты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Проверка медицинского и экспертного контента, терминологии и корректности пользовательских сценариев</w:t>
            </w:r>
          </w:p>
        </w:tc>
      </w:tr>
      <w:tr>
        <w:trPr>
          <w:cantSplit/>
        </w:trPr>
        <w:tc>
          <w:tcPr>
            <w:tcW w:type="dxa" w:w="26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Внешние подрядчики</w:t>
            </w:r>
          </w:p>
        </w:tc>
        <w:tc>
          <w:tcPr>
            <w:tcW w:type="dxa" w:w="67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Битрикс24, телефония, хостинг и иные системы — по необходимости и в согласованном объёме</w:t>
            </w:r>
          </w:p>
        </w:tc>
      </w:tr>
    </w:tbl>
    <w:p>
      <w:pPr>
        <w:spacing w:after="40"/>
      </w:pPr>
    </w:p>
    <w:p>
      <w:pPr>
        <w:pStyle w:val="Heading1"/>
      </w:pPr>
      <w:r>
        <w:t>6. Коммерческий формат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Работа по сайту продолжается в рамках действующих договорённостей и полученной предоплаты.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Диагностика цифровой инфраструктуры, AI-ассистент, Telegram-бот, CRM-интеграции и контентное сопровождение оформляются как дополнительные модули после определения границ. Для каждого модуля готовится отдельная смета, где фиксируются результат, состав работ, сроки, стоимость, ограничения и критерии приёмки.</w:t>
      </w:r>
    </w:p>
    <w:p>
      <w:pPr>
        <w:pStyle w:val="Heading2"/>
      </w:pPr>
      <w:r>
        <w:t>Возможные модели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Фиксированный этап — для диагностики, конкретной интеграции или запуска определённого модуля.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Пилот — ограниченная версия решения с измерением пользы до масштабирования.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Ежемесячное сопровождение — развитие сайта, аналитика, контент и небольшие улучшения по согласованному приоритету.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Принцип: не включать в смету сложные интеграции до проверки доступов, API, тарифов сервисов и реального рабочего процесса.</w:t>
      </w:r>
    </w:p>
    <w:p>
      <w:pPr>
        <w:pStyle w:val="Heading1"/>
      </w:pPr>
      <w:r>
        <w:t>7. Критерии результата</w:t>
      </w:r>
    </w:p>
    <w:p>
      <w:pPr>
        <w:pStyle w:val="Heading2"/>
      </w:pPr>
      <w:r>
        <w:t>Для сайта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Сайт открывается на согласованном домене, корректно работает на мобильных и десктопных устройствах.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Все обязательные страницы, формы, контакты, юридические документы и материалы клиники опубликованы и согласованы.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Заявка доходит до назначенного сотрудника или CRM, источник обращения фиксируется.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Подключены согласованные события аналитики; отсутствуют битые ссылки и локальные пути.</w:t>
      </w:r>
    </w:p>
    <w:p>
      <w:pPr>
        <w:pStyle w:val="Heading2"/>
      </w:pPr>
      <w:r>
        <w:t>Для AI-пилота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После встречи формируется понятный протокол и список решений.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Для каждой задачи указаны ответственный и срок либо система явно отмечает, что они не определены.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Участники могут быстро исправить результат перед отправкой; изменения учитываются в правилах следующего запуска.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 итогам пилота измеряется время подготовки протокола, количество ручных исправлений и доля задач, получивших владельца и срок.</w:t>
      </w:r>
    </w:p>
    <w:p>
      <w:pPr>
        <w:pStyle w:val="Heading1"/>
      </w:pPr>
      <w:r>
        <w:t>8. Безопасность и конфиденциальность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Не передавать основные пароли в мессенджерах; использовать совместную настройку, делегированный доступ или отдельный временный аккаунт.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Включить двухфакторную аутентификацию и заранее определить владельца каждого аккаунта.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Выдавать только необходимый уровень прав и отзывать временный доступ после завершения этапа.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До записи встреч определить правила уведомления участников, место хранения, срок хранения и порядок удаления записей и расшифровок.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На первом пилоте использовать только внутренние организационные встречи без данных пациентов.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Перед обработкой медицинской или иной чувствительной информации отдельно согласовать правовую модель, договоры с сервисами и требования клиники с профильным юристом.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AI-выводы являются черновиком: протокол, задачи, тексты и ответы подтверждаются ответственным сотрудником.</w:t>
      </w:r>
    </w:p>
    <w:p>
      <w:pPr>
        <w:pStyle w:val="Heading1"/>
      </w:pPr>
      <w:r>
        <w:t>9. Почему этот проект могу вести я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Моя роль в проекте — соединить маркетинг, продуктовую логику, сайт, контент, AI-инструменты и операционное управление. Это позволяет обсуждать с командой клиники результат бизнеса, а не перекладывать коммуникацию между несколькими несвязанными подрядчиками.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Компетенция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Практическое подтверждение</w:t>
            </w:r>
          </w:p>
        </w:tc>
      </w:tr>
      <w:tr>
        <w:trPr>
          <w:cantSplit/>
        </w:trPr>
        <w:tc>
          <w:tcPr>
            <w:tcW w:type="dxa" w:w="27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Сайты и digital-продукты</w:t>
            </w:r>
          </w:p>
        </w:tc>
        <w:tc>
          <w:tcPr>
            <w:tcW w:type="dxa" w:w="6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Структура, UX-логика, тексты, HTML/CSS/JS, GitHub Pages, адаптивность и интеграционные задачи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Прикладная автоматизация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Собственная программа анализа Telegram-чатов: договорённости, задачи, напоминания и Excel-реестр с дедлайнами</w:t>
            </w:r>
          </w:p>
        </w:tc>
      </w:tr>
      <w:tr>
        <w:trPr>
          <w:cantSplit/>
        </w:trPr>
        <w:tc>
          <w:tcPr>
            <w:tcW w:type="dxa" w:w="27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Управление проектами</w:t>
            </w:r>
          </w:p>
        </w:tc>
        <w:tc>
          <w:tcPr>
            <w:tcW w:type="dxa" w:w="6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Экосистемы, команды, KPI, подрядчики, базы данных, отчётность и до 15 оригинальных единиц контента в день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AI и контент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Генеративный продакшн, AI-инфлюенсеры, сценарии, визуалы, локализация и AI coding</w:t>
            </w:r>
          </w:p>
        </w:tc>
      </w:tr>
      <w:tr>
        <w:trPr>
          <w:cantSplit/>
        </w:trPr>
        <w:tc>
          <w:tcPr>
            <w:tcW w:type="dxa" w:w="27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Подтверждённые результаты</w:t>
            </w:r>
          </w:p>
        </w:tc>
        <w:tc>
          <w:tcPr>
            <w:tcW w:type="dxa" w:w="6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30 000 регистраций на RUKAMI, 2+ млн охвата «Магнит × Эрмитаж», 38% ER в проекте Yams</w:t>
            </w:r>
          </w:p>
        </w:tc>
      </w:tr>
    </w:tbl>
    <w:p>
      <w:pPr>
        <w:spacing w:after="40"/>
      </w:pPr>
    </w:p>
    <w:p>
      <w:pPr>
        <w:pStyle w:val="Heading1"/>
      </w:pPr>
      <w:r>
        <w:t>10. Чек-лист для Натальи и команды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Для старта не нужно собирать всё сразу. Сначала достаточно закрыть пункты с приоритетом A; остальные материалы можно готовить параллельно.</w:t>
      </w:r>
    </w:p>
    <w:p>
      <w:pPr>
        <w:pStyle w:val="Heading2"/>
      </w:pPr>
      <w:r>
        <w:t>10.1. Решения на ближайшие 1–2 дня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Назначить одного координатора проекта со стороны клиники и резервного участника.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Подтвердить актуальное название бренда, написание и формат использования логотипа.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Согласовать дату технической встречи на 60–90 минут и список участников.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Определить владельца домена и удобный формат настройки DNS.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Подтвердить приоритет: сначала запуск сайта, затем AI-пилот и интеграции отдельными этапами.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Выбрать канал оперативной коммуникации и формат согласования материалов.</w:t>
            </w:r>
          </w:p>
        </w:tc>
      </w:tr>
    </w:tbl>
    <w:p>
      <w:pPr>
        <w:spacing w:after="40"/>
      </w:pPr>
    </w:p>
    <w:p>
      <w:pPr>
        <w:pStyle w:val="Heading2"/>
      </w:pPr>
      <w:r>
        <w:t>10.2. Материалы для сайта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Карточка организации: полное наименование, ИНН, ОГРН, юридический и фактический адрес, контакты.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Актуальные телефон, e-mail, Telegram, режим работы и маршрут обработки заявок.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Финальный перечень услуг, форматов помощи и цен либо правило публикации стоимости.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Список врачей и сотрудников: ФИО, должность, образование, специализация, стаж, фото и согласие на публикацию.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Лицензии, сертификаты и другие документы, которые должны быть размещены на сайте.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Утверждённые сведения о директоре Наталье и фотография для раздела команды.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Фотографии клиники, кабинетов, входа, команды и деталей пространства в исходном качестве.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Отзывы, кейсы и ответы на частые организационные вопросы, разрешённые к публикации.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Тексты или тезисы о подходе клиники, ценностях, направлениях и отличиях от конкурентов.</w:t>
            </w:r>
          </w:p>
        </w:tc>
      </w:tr>
    </w:tbl>
    <w:p>
      <w:pPr>
        <w:spacing w:after="40"/>
      </w:pPr>
    </w:p>
    <w:p>
      <w:pPr>
        <w:pStyle w:val="Heading2"/>
      </w:pPr>
      <w:r>
        <w:t>10.3. Домен, доступы и публикация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Название регистратора домена и аккаунт владельца; пароль заранее не отправлять.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Выбрать безопасный вариант: совместная настройка на созвоне, делегированный доступ или точечные DNS-записи.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Проверить, включена ли двухфакторная аутентификация у регистратора и кто имеет резервный доступ.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Определить, где должна работать корпоративная почта и какие адреса нужны.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Доступ к аналитике или решение о создании новых аккаунтов Яндекс Метрики и других систем.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Список сотрудников, которые могут получать заявки и отчёты сайта.</w:t>
            </w:r>
          </w:p>
        </w:tc>
      </w:tr>
    </w:tbl>
    <w:p>
      <w:pPr>
        <w:spacing w:after="40"/>
      </w:pPr>
    </w:p>
    <w:p>
      <w:pPr>
        <w:pStyle w:val="Heading2"/>
      </w:pPr>
      <w:r>
        <w:t>10.4. CRM и операционные процессы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Тариф и текущий администратор Битрикс24; можно начать с демонстрации экрана без передачи полного доступа.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Показать текущую воронку: новое обращение → контакт → запись → визит → повторный контакт.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Определить норматив времени ответа и ответственных по каждому каналу.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Список телефонии, мессенджеров, календарей, сервисов записи, оплаты и видеоконсультаций.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Перечень ручных операций, которые чаще всего отнимают время или приводят к потерям.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Какие отчёты нужны руководителю ежедневно, еженедельно и ежемесячно.</w:t>
            </w:r>
          </w:p>
        </w:tc>
      </w:tr>
    </w:tbl>
    <w:p>
      <w:pPr>
        <w:spacing w:after="40"/>
      </w:pPr>
    </w:p>
    <w:p>
      <w:pPr>
        <w:pStyle w:val="Heading2"/>
      </w:pPr>
      <w:r>
        <w:t>10.5. Подготовка AI-пилота встреч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Выбрать 2–4 внутренние административные встречи без данных пациентов.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Определить используемую платформу и возможность получить запись или расшифровку.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Утвердить шаблон результата: протокол, решения, задачи, ответственные, сроки и вопросы.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Выбрать, куда сначала отправлять результат: документ, Telegram, e-mail или тестовый реестр.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Назначить человека, который подтверждает задачи перед рассылкой.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Собрать примеры текущих протоколов, списков задач и типовых формулировок команды.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Согласовать правила уведомления участников, хранения и удаления записей/расшифровок.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После пилота решить, нужна ли интеграция с Битрикс24, календарём или рабочими чатами.</w:t>
            </w:r>
          </w:p>
        </w:tc>
      </w:tr>
    </w:tbl>
    <w:p>
      <w:pPr>
        <w:spacing w:after="40"/>
      </w:pPr>
    </w:p>
    <w:p>
      <w:pPr>
        <w:pStyle w:val="Heading1"/>
      </w:pPr>
      <w:r>
        <w:t>11. Повестка технической встречи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Время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фиксируем</w:t>
            </w:r>
          </w:p>
        </w:tc>
      </w:tr>
      <w:tr>
        <w:trPr>
          <w:cantSplit/>
        </w:trPr>
        <w:tc>
          <w:tcPr>
            <w:tcW w:type="dxa" w:w="15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10 минут</w:t>
            </w:r>
          </w:p>
        </w:tc>
        <w:tc>
          <w:tcPr>
            <w:tcW w:type="dxa" w:w="30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Цели бизнеса и приоритет запуска</w:t>
            </w:r>
          </w:p>
        </w:tc>
        <w:tc>
          <w:tcPr>
            <w:tcW w:type="dxa" w:w="48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Что должно заработать первым и какие проблемы наиболее дорогие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20 минут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Текущий цифровой контур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Сайт, Битрикс24, телефония, чаты, запись, оплата, аналитика</w:t>
            </w:r>
          </w:p>
        </w:tc>
      </w:tr>
      <w:tr>
        <w:trPr>
          <w:cantSplit/>
        </w:trPr>
        <w:tc>
          <w:tcPr>
            <w:tcW w:type="dxa" w:w="15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15 минут</w:t>
            </w:r>
          </w:p>
        </w:tc>
        <w:tc>
          <w:tcPr>
            <w:tcW w:type="dxa" w:w="30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Сайт и материалы</w:t>
            </w:r>
          </w:p>
        </w:tc>
        <w:tc>
          <w:tcPr>
            <w:tcW w:type="dxa" w:w="48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Контент, врачи, услуги, документы, формы, домен и ответственные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20 минут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AI-ассистент встреч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Сценарий пилота, формат результата, участники, ограничения</w:t>
            </w:r>
          </w:p>
        </w:tc>
      </w:tr>
      <w:tr>
        <w:trPr>
          <w:cantSplit/>
        </w:trPr>
        <w:tc>
          <w:tcPr>
            <w:tcW w:type="dxa" w:w="15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10 минут</w:t>
            </w:r>
          </w:p>
        </w:tc>
        <w:tc>
          <w:tcPr>
            <w:tcW w:type="dxa" w:w="30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Доступ и безопасность</w:t>
            </w:r>
          </w:p>
        </w:tc>
        <w:tc>
          <w:tcPr>
            <w:tcW w:type="dxa" w:w="48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Роли, 2FA, временные доступы, хранение и удаление данных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10 минут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Решения и следующий шаг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Календарь, владельцы задач и пакет материалов первой очереди</w:t>
            </w:r>
          </w:p>
        </w:tc>
      </w:tr>
    </w:tbl>
    <w:p>
      <w:pPr>
        <w:spacing w:after="40"/>
      </w:pPr>
    </w:p>
    <w:p>
      <w:pPr>
        <w:pStyle w:val="Heading2"/>
      </w:pPr>
      <w:r>
        <w:t>Результат встречи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Согласованная карта систем и процессов клиники.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Список решений, доступов и материалов с ответственными и сроками.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План публикации сайта и список блокирующих вопросов.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Техническое задание на ограниченный AI-пилот.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Основание для отдельной сметы на дополнительные модули.</w:t>
      </w:r>
    </w:p>
    <w:p>
      <w:pPr>
        <w:pStyle w:val="Heading1"/>
      </w:pPr>
      <w:r>
        <w:t>12. Следующий шаг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Предлагаю Наталье подтвердить координатора проекта, выбрать дату технической встречи и передать минимальный пакет первой очереди: актуальные реквизиты, перечень услуг, контакты, сведения о домене и список ответственных. Остальные материалы собираем параллельно по чек-листу.</w:t>
      </w:r>
    </w:p>
    <w:p>
      <w:pPr>
        <w:pStyle w:val="Heading2"/>
      </w:pPr>
      <w:r>
        <w:t>Готовый текст сообщения Наталье</w:t>
      </w:r>
    </w:p>
    <w:p>
      <w:pPr>
        <w:shd w:fill="EDF4F8"/>
        <w:spacing w:before="80" w:after="280"/>
        <w:ind w:left="259" w:right="259"/>
      </w:pPr>
      <w:r>
        <w:rPr>
          <w:rFonts w:ascii="Calibri" w:hAnsi="Calibri" w:eastAsia="Calibri"/>
          <w:i/>
          <w:color w:val="123B5A"/>
          <w:sz w:val="21"/>
        </w:rPr>
        <w:t>Наталья, здравствуйте! Подготовил рабочий оффер и чек-лист по запуску сайта и дальнейшему развитию цифрового контура клиники. Предлагаю разделить работу на два направления: сначала без задержек довести сайт до публикации, а параллельно провести короткую техническую встречу и определить безопасный пилот AI-ассистента для внутренних совещаний. В документе отдельно отметил, что нужно подготовить в первую очередь, какие доступы можно давать без передачи основных паролей и какие вопросы стоит обсудить по Битрикс24, телефонии, Telegram и другим сервисам. Для старта нам достаточно назначить координатора, выбрать дату встречи и собрать минимальный пакет материалов с приоритетом A.</w:t>
      </w:r>
    </w:p>
    <w:p>
      <w:pPr>
        <w:keepLines w:val="0"/>
        <w:spacing w:after="40"/>
      </w:pPr>
      <w:r>
        <w:rPr>
          <w:rFonts w:ascii="Calibri" w:hAnsi="Calibri" w:eastAsia="Calibri"/>
          <w:b/>
          <w:color w:val="243946"/>
          <w:sz w:val="22"/>
        </w:rPr>
        <w:t>Подготовил:</w:t>
      </w:r>
      <w:r>
        <w:rPr>
          <w:rFonts w:ascii="Calibri" w:hAnsi="Calibri" w:eastAsia="Calibri"/>
          <w:color w:val="243946"/>
          <w:sz w:val="22"/>
        </w:rPr>
        <w:t xml:space="preserve"> Сергей Бежаев</w:t>
      </w:r>
    </w:p>
    <w:p>
      <w:pPr>
        <w:keepLines w:val="0"/>
        <w:spacing w:after="40"/>
      </w:pPr>
      <w:r>
        <w:rPr>
          <w:rFonts w:ascii="Calibri" w:hAnsi="Calibri" w:eastAsia="Calibri"/>
          <w:b/>
          <w:color w:val="243946"/>
          <w:sz w:val="22"/>
        </w:rPr>
        <w:t>Телефон:</w:t>
      </w:r>
      <w:r>
        <w:rPr>
          <w:rFonts w:ascii="Calibri" w:hAnsi="Calibri" w:eastAsia="Calibri"/>
          <w:color w:val="243946"/>
          <w:sz w:val="22"/>
        </w:rPr>
        <w:t xml:space="preserve"> +7 (999) 996-22-06</w:t>
      </w:r>
    </w:p>
    <w:p>
      <w:pPr>
        <w:keepLines w:val="0"/>
        <w:spacing w:after="40"/>
      </w:pPr>
      <w:r>
        <w:rPr>
          <w:rFonts w:ascii="Calibri" w:hAnsi="Calibri" w:eastAsia="Calibri"/>
          <w:b/>
          <w:color w:val="243946"/>
          <w:sz w:val="22"/>
        </w:rPr>
        <w:t>E-mail:</w:t>
      </w:r>
      <w:r>
        <w:rPr>
          <w:rFonts w:ascii="Calibri" w:hAnsi="Calibri" w:eastAsia="Calibri"/>
          <w:color w:val="243946"/>
          <w:sz w:val="22"/>
        </w:rPr>
        <w:t xml:space="preserve"> lecmedea@gmail.com</w:t>
      </w:r>
    </w:p>
    <w:p>
      <w:pPr>
        <w:keepLines w:val="0"/>
        <w:spacing w:after="40"/>
      </w:pPr>
      <w:r>
        <w:rPr>
          <w:rFonts w:ascii="Calibri" w:hAnsi="Calibri" w:eastAsia="Calibri"/>
          <w:b/>
          <w:color w:val="243946"/>
          <w:sz w:val="22"/>
        </w:rPr>
        <w:t>Telegram:</w:t>
      </w:r>
      <w:r>
        <w:rPr>
          <w:rFonts w:ascii="Calibri" w:hAnsi="Calibri" w:eastAsia="Calibri"/>
          <w:color w:val="243946"/>
          <w:sz w:val="22"/>
        </w:rPr>
        <w:t xml:space="preserve"> @notoruis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E7480"/>
        <w:sz w:val="17"/>
      </w:rPr>
      <w:t>Рабочее предложение • Сергей Бежаев • 19 июня 2026</w:t>
    </w:r>
    <w:r>
      <w:rPr>
        <w:rFonts w:ascii="Calibri" w:hAnsi="Calibri" w:eastAsia="Calibri"/>
        <w:color w:val="5E7480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E7480"/>
        <w:sz w:val="17"/>
      </w:rPr>
      <w:t>АЗИМУТ КЛИНИК  |  ЦИФРОВОЙ КОНТУР КЛИНИКИ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7" w:lineRule="auto"/>
      <w:jc w:val="both"/>
    </w:pPr>
    <w:rPr>
      <w:rFonts w:ascii="Calibri" w:hAnsi="Calibri"/>
      <w:color w:val="2439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4E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4E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color w:val="2439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color w:val="2439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60" w:after="240" w:line="288" w:lineRule="auto"/>
      <w:ind w:left="288" w:right="288"/>
    </w:pPr>
    <w:rPr>
      <w:rFonts w:ascii="Calibri" w:hAnsi="Calibri"/>
      <w:b/>
      <w:color w:val="123B5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Рабочий оффер и чек-лист запуска — Азимут Клиник</dc:title>
  <dc:subject>Сайт, цифровой контур клиники и пилот AI-ассистента</dc:subject>
  <dc:creator>Сергей Бежаев</dc:creator>
  <cp:keywords>Азимут Клиник, сайт, AI-ассистент, CRM, Битрикс24, чек-лист</cp:keywords>
  <dc:description>Подготовлено для обсуждения с Натальей.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