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itle"/>
        <w:spacing w:before="1080" w:after="360"/>
      </w:pPr>
      <w:r>
        <w:rPr>
          <w:rFonts w:ascii="Helvetica Neue" w:hAnsi="Helvetica Neue" w:eastAsia="Helvetica Neue" w:cs="Helvetica Neue"/>
        </w:rPr>
        <w:t xml:space="preserve">Prospecção de mandatos na GHT4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jc w:val="center"/>
      </w:pPr>
      <w:r>
        <w:rPr>
          <w:rFonts w:ascii="Helvetica Neue" w:hAnsi="Helvetica Neue" w:eastAsia="Helvetica Neue" w:cs="Helvetica Neue"/>
        </w:rPr>
        <w:t xml:space="preserve">Pesquisa e planejamento operacional com requisitos da ferramenta de IA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before="1400" w:after="0"/>
      </w:pPr>
    </w:p>
    <w:tbl>
      <w:tblPr>
        <w:tblStyle w:val="a"/>
        <w:tblW w:w="9360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7110"/>
      </w:tblGrid>
      <w:tr w14:paraId="12FAFF88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AC528A1" w14:textId="77777777">
            <w:pP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Tema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8B49669" w14:textId="77777777">
            <w:pPr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Originação e suporte a mandatos de compra e venda</w:t>
            </w:r>
          </w:p>
        </w:tc>
      </w:tr>
      <w:tr w14:paraId="2103F82B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229BF86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Piloto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6A55D95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Distribuição e Trading Químico</w:t>
            </w:r>
          </w:p>
        </w:tc>
      </w:tr>
      <w:tr w14:paraId="775FD1AF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05457B3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Destinatários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EB52BD8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Sócios, equipe Advisory e responsável técnico</w:t>
            </w:r>
          </w:p>
        </w:tc>
      </w:tr>
      <w:tr w14:paraId="3E0688CF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1FC2D12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Data de corte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59E72D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10 de setembro de 2026</w:t>
            </w:r>
          </w:p>
        </w:tc>
      </w:tr>
      <w:tr w14:paraId="7AB6CABE" w14:textId="77777777">
        <w:trPr>
          <w:trHeight w:val="431"/>
        </w:trPr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BBB306A" w14:textId="77777777">
            <w:pPr>
              <w:rPr>
                <w:rFonts w:ascii="Helvetica Neue" w:eastAsia="Helvetica Neue" w:hAnsi="Helvetica Neue" w:cs="Helvetica Neue"/>
                <w:color w:val="112075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112075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Versão</w:t>
            </w:r>
          </w:p>
        </w:tc>
        <w:tc>
          <w:tcPr>
            <w:tcW w:w="7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73D035C" w14:textId="77777777">
            <w:pPr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</w:rPr>
              <w:rPr>
                <w:rFonts w:ascii="Helvetica Neue" w:hAnsi="Helvetica Neue" w:eastAsia="Helvetica Neue" w:cs="Helvetica Neue"/>
              </w:rPr>
              <w:t xml:space="preserve">Planejamento proposto e requisitos consolidados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Documento destinado à GHT4 para orientar prioridades, operação e implementação. Metas e estimativas propostas dependem de validação pelos responsáveis.</w:t>
      </w:r>
    </w:p>
    <w:p>
      <w:pPr>
        <w:pStyle w:val="Heading1"/>
        <w:keepNext/>
        <w:keepLines/>
        <w:pageBreakBefore/>
      </w:pPr>
      <w:r>
        <w:rPr>
          <w:rFonts w:ascii="Helvetica Neue" w:hAnsi="Helvetica Neue" w:eastAsia="Helvetica Neue" w:cs="Helvetica Neue"/>
        </w:rPr>
        <w:t xml:space="preserve">Conteúdo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">
        <w:r>
          <w:rPr>
            <w:rFonts w:ascii="Helvetica Neue" w:hAnsi="Helvetica Neue" w:eastAsia="Helvetica Neue" w:cs="Helvetica Neue"/>
          </w:rPr>
          <w:t xml:space="preserve">1 Recomendação executiva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2">
        <w:r>
          <w:rPr>
            <w:rFonts w:ascii="Helvetica Neue" w:hAnsi="Helvetica Neue" w:eastAsia="Helvetica Neue" w:cs="Helvetica Neue"/>
          </w:rPr>
          <w:t xml:space="preserve">2 O que a pesquisa sustenta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3">
        <w:r>
          <w:rPr>
            <w:rFonts w:ascii="Helvetica Neue" w:hAnsi="Helvetica Neue" w:eastAsia="Helvetica Neue" w:cs="Helvetica Neue"/>
          </w:rPr>
          <w:t xml:space="preserve">3 Adaptação ao ambiente da boutique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4">
        <w:r>
          <w:rPr>
            <w:rFonts w:ascii="Helvetica Neue" w:hAnsi="Helvetica Neue" w:eastAsia="Helvetica Neue" w:cs="Helvetica Neue"/>
          </w:rPr>
          <w:t xml:space="preserve">4 Processo comercial de ponta a ponta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5">
        <w:r>
          <w:rPr>
            <w:rFonts w:ascii="Helvetica Neue" w:hAnsi="Helvetica Neue" w:eastAsia="Helvetica Neue" w:cs="Helvetica Neue"/>
          </w:rPr>
          <w:t xml:space="preserve">5 Tese do piloto de distribuição química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6">
        <w:r>
          <w:rPr>
            <w:rFonts w:ascii="Helvetica Neue" w:hAnsi="Helvetica Neue" w:eastAsia="Helvetica Neue" w:cs="Helvetica Neue"/>
          </w:rPr>
          <w:t xml:space="preserve">6 Base de dados e qualidade da informação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7">
        <w:r>
          <w:rPr>
            <w:rFonts w:ascii="Helvetica Neue" w:hAnsi="Helvetica Neue" w:eastAsia="Helvetica Neue" w:cs="Helvetica Neue"/>
          </w:rPr>
          <w:t xml:space="preserve">7 Ranking configurável e explicável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8">
        <w:r>
          <w:rPr>
            <w:rFonts w:ascii="Helvetica Neue" w:hAnsi="Helvetica Neue" w:eastAsia="Helvetica Neue" w:cs="Helvetica Neue"/>
          </w:rPr>
          <w:t xml:space="preserve">8 Conexões da rede GHT4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9">
        <w:r>
          <w:rPr>
            <w:rFonts w:ascii="Helvetica Neue" w:hAnsi="Helvetica Neue" w:eastAsia="Helvetica Neue" w:cs="Helvetica Neue"/>
          </w:rPr>
          <w:t xml:space="preserve">9 Valuation reports e notícias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0">
        <w:r>
          <w:rPr>
            <w:rFonts w:ascii="Helvetica Neue" w:hAnsi="Helvetica Neue" w:eastAsia="Helvetica Neue" w:cs="Helvetica Neue"/>
          </w:rPr>
          <w:t xml:space="preserve">10 Listas de compradores e alvos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1">
        <w:r>
          <w:rPr>
            <w:rFonts w:ascii="Helvetica Neue" w:hAnsi="Helvetica Neue" w:eastAsia="Helvetica Neue" w:cs="Helvetica Neue"/>
          </w:rPr>
          <w:t xml:space="preserve">11 CRM e gestão da atividade comercial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2">
        <w:r>
          <w:rPr>
            <w:rFonts w:ascii="Helvetica Neue" w:hAnsi="Helvetica Neue" w:eastAsia="Helvetica Neue" w:cs="Helvetica Neue"/>
          </w:rPr>
          <w:t xml:space="preserve">12 Outputs e experiência da ferramenta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3">
        <w:r>
          <w:rPr>
            <w:rFonts w:ascii="Helvetica Neue" w:hAnsi="Helvetica Neue" w:eastAsia="Helvetica Neue" w:cs="Helvetica Neue"/>
          </w:rPr>
          <w:t xml:space="preserve">13 Arquitetura e requisitos transversais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4">
        <w:r>
          <w:rPr>
            <w:rFonts w:ascii="Helvetica Neue" w:hAnsi="Helvetica Neue" w:eastAsia="Helvetica Neue" w:cs="Helvetica Neue"/>
          </w:rPr>
          <w:t xml:space="preserve">14 Implantação em 16 semanas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5">
        <w:r>
          <w:rPr>
            <w:rFonts w:ascii="Helvetica Neue" w:hAnsi="Helvetica Neue" w:eastAsia="Helvetica Neue" w:cs="Helvetica Neue"/>
          </w:rPr>
          <w:t xml:space="preserve">15 Critérios de sucesso e economia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6">
        <w:r>
          <w:rPr>
            <w:rFonts w:ascii="Helvetica Neue" w:hAnsi="Helvetica Neue" w:eastAsia="Helvetica Neue" w:cs="Helvetica Neue"/>
          </w:rPr>
          <w:t xml:space="preserve">16 Riscos e decisões ainda necessárias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7">
        <w:r>
          <w:rPr>
            <w:rFonts w:ascii="Helvetica Neue" w:hAnsi="Helvetica Neue" w:eastAsia="Helvetica Neue" w:cs="Helvetica Neue"/>
          </w:rPr>
          <w:t xml:space="preserve">17 Matriz de rastreabilidade dos requisitos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hyperlink w:anchor="ghtsection18">
        <w:r>
          <w:rPr>
            <w:rFonts w:ascii="Helvetica Neue" w:hAnsi="Helvetica Neue" w:eastAsia="Helvetica Neue" w:cs="Helvetica Neue"/>
          </w:rPr>
          <w:t xml:space="preserve">18 Fontes e referências</w:t>
        </w:r>
      </w:hyperlink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Leitura sugerida: as seções 1 a 5 definem a estratégia e a operação; 6 a 13 especificam a ferramenta; 14 a 17 orientam implementação, aceite e gestão.</w:t>
      </w:r>
    </w:p>
    <w:p>
      <w:pPr>
        <w:pStyle w:val="Heading1"/>
        <w:keepNext/>
        <w:keepLines/>
        <w:pageBreakBefore/>
      </w:pPr>
      <w:bookmarkStart w:id="101" w:name="ghtsection1"/>
      <w:r>
        <w:rPr>
          <w:rFonts w:ascii="Helvetica Neue" w:hAnsi="Helvetica Neue" w:eastAsia="Helvetica Neue" w:cs="Helvetica Neue"/>
        </w:rPr>
        <w:t xml:space="preserve">1 Recomendação executiva</w:t>
      </w:r>
      <w:bookmarkEnd w:id="101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GHT4 deve organizar a prospecção como um processo contínuo de inteligência setorial, relacionamento e conversão comercial. A ferramenta de IA deve sustentar esse processo desde a definição da tese até a assinatura do mandato, reaproveitando os mesmos dados na execução. O resultado central é uma agenda de oportunidades qualificadas, com justificativa, responsável, caminho de acesso e próxima 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piloto será Distribuição e Trading Químico, com esforço equilibrado entre conquistar mandatos de compra e de venda. A base de empresas deve permanecer ampla e reutilizável para outros setores. Cada busca produzirá um recorte versionado; alterar uma tese ou um filtro não apagará empresas nem fatos da base mestre.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Este planejamento consolida e amplia os sete módulos do documento de requisitos, preservando a configurabilidade, a revisão humana e os formatos de entrega exigidos. A expansão concentra-se em critérios observáveis de ranking, qualidade de dados, operação comercial, responsabilidades e critérios de aceite. As referências ao documento original usam seus números de seção; o report de mercado está na seção 6.2, embora a seção 9 o identifique como “Módulo 6.2”.</w:t>
      </w:r>
      <w:r>
        <w:rPr>
          <w:vertAlign w:val="superscript"/>
        </w:rPr>
        <w:footnoteReference w:id="1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Recomenda-se uma implantação em 16 semanas, condicionada à disponibilidade da equipe e dos dados, seguida de avaliação comercial até 180 dias. As primeiras quatro semanas devem produzir uma coorte utilizável e uma rotina comercial assistida. As semanas seguintes completarão regras por linguagem natural, conexões, análises, CRM e integração. O prazo é uma estimativa de planejamento, não um compromisso de entrega já contratado.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As cinco prioridades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Construir fichas confiáveis e deduplicadas, com atividade econômica real, controle, porte observado ou estimado e fonte por afirmação.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Separar os rankings de potenciais clientes vendedores, potenciais clientes compradores e contrapartes de mandatos. Usar critérios e explicações específicos para cada papel.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Converter a rede do grupo em caminhos de apresentação confirmados, com o titular do relacionamento no controle da divulgação.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Ligar cada oportunidade a uma agenda, histórico de interação, motivo de avanço ou recusa e proposta comercial.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Medir qualidade da seleção e tempo poupado desde o início; medir mandatos e resultado econômico por coorte, sem tratar estimativas de conversão como resultados reais.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Decisões de operação propostas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Tema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Padrão proposto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Como validar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Piloto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Distribuição e Trading Químico no Brasil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Foco confirmado; validar recortes e exclusões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Equilíbrio comercial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Metade da capacidade de prospecção para cada lado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Revisão quinzenal por horas e oportunidades qualificadas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Porte inicial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R$ 40 a 600 milhões de receita anual como hipótese do material existente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Sócios ratificam; receita desconhecida vai para enriquecimento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pagos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Importações autorizadas de EMIS e Capital IQ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Validar exportações e usos contratados na primeira semana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Materiais internos autorizados e confirmação do titular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Teste com pequeno grupo de membros da GHT4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Situações especiais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Fila separada de distressed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Definir se a boutique pretende atender esse perfil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faixa de porte não deve excluir compradores globais, fundos ou plataformas que possam contratar a GHT4. Ela é uma hipótese para alvos e potenciais vendedores do piloto. O equilíbrio de compra e venda também não exige quantidades idênticas de empresas: uma conta compradora pode justificar mais trabalho e originar vários mandatos ou buscas.</w:t>
      </w:r>
    </w:p>
    <w:p>
      <w:pPr>
        <w:pStyle w:val="Heading1"/>
        <w:keepNext/>
        <w:keepLines/>
      </w:pPr>
      <w:bookmarkStart w:id="102" w:name="ghtsection2"/>
      <w:r>
        <w:rPr>
          <w:rFonts w:ascii="Helvetica Neue" w:hAnsi="Helvetica Neue" w:eastAsia="Helvetica Neue" w:cs="Helvetica Neue"/>
        </w:rPr>
        <w:t xml:space="preserve">2 O que a pesquisa sustenta</w:t>
      </w:r>
      <w:bookmarkEnd w:id="102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Originação começa antes de uma empresa declarar que está à venda. Pesquisa da McKinsey sobre adquirentes programáticos destaca a identificação e o cultivo antecipado de alvos, articulados a uma tese de criação de valor e a múltiplos canais de acesso. Para a GHT4, a aplicação é manter relacionamento com empresas aderentes à tese e oferecer conversas úteis sobre alternativas estratégicas. Não se deve transformar essa evidência, produzida sobre adquirentes, em uma taxa de conversão presumida para boutiques brasileiras.</w:t>
      </w:r>
      <w:r>
        <w:rPr>
          <w:vertAlign w:val="superscript"/>
        </w:rPr>
        <w:footnoteReference w:id="2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Em IA, os casos mais relevantes para o projeto são identificação de alvos, síntese de informações e apoio à análise. A McKinsey recomenda formalizar estratégia, critérios, fontes e práticas de M&amp;A para aproveitar essas ferramentas. A consequência prática é escrever primeiro a metodologia de seleção e, então, automatizar sua aplicação; a pesquisa não demonstra que um modelo genérico possa prever intenção de venda ou qualidade de um mandato.</w:t>
      </w:r>
      <w:r>
        <w:rPr>
          <w:vertAlign w:val="superscript"/>
        </w:rPr>
        <w:footnoteReference w:id="3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Deloitte reportou que 86% das organizações respondentes haviam integrado IA generativa aos fluxos de M&amp;A. A pesquisa ouviu 1.000 líderes corporativos e de private equity dos Estados Unidos no primeiro semestre de 2025. Esse resultado indica adoção na amostra, mas não é benchmark de produtividade, retorno ou maturidade da GHT4.</w:t>
      </w:r>
      <w:r>
        <w:rPr>
          <w:vertAlign w:val="superscript"/>
        </w:rPr>
        <w:footnoteReference w:id="4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pesquisa divulgada por Datasite e FT Longitude em julho de 2026, com 1.000 profissionais seniores, enfatiza o uso de IA em sourcing e screening e a importância de confiança, relacionamento e julgamento. Por ser uma publicação de fornecedor, deve informar o desenho do processo, sem servir como prova de superioridade de um produto ou promessa de retorno.</w:t>
      </w:r>
      <w:r>
        <w:rPr>
          <w:vertAlign w:val="superscript"/>
        </w:rPr>
        <w:footnoteReference w:id="5"/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Consequências para o modelo de prospecção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Achado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Aplicação na GHT4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Evidência operacional esperada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Relacionamento se desenvolve antes da transação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Nutrição com informação setorial e gatilhos de retomada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Contatos com histórico, contexto e próxima 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Tese direciona a busca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Critérios separados para comprador, vendedor e mandato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Listas com racional coerente e regras reproduzíveis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privados são incompletos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Enriquecimento em etapas e cobertura explícita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Lacunas visíveis; ausência de números inventados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IA acelera síntese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Dossiê com fontes e revisão do analista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Menor tempo de preparação com qualidade mantida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 depende de confiança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Titular confirma a conexão e a apresentação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Relações confirmadas e introduções aceitas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Atividade comercial exige continuidade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CRM e disciplina de acompanhamento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Menos oportunidades sem responsável ou esquecidas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documento original trata a rede como um fator de grande relevância. Isso é uma hipótese comercial plausível e uma prioridade explícita da GHT4. O ganho de conversão deve ser medido comparando apresentações confirmadas e contatos diretos em coortes semelhantes, com registro de setor, porte, estágio e experiência do originador. Empresas mais atraentes tendem a receber mais atenção dos sócios; uma comparação bruta pode confundir qualidade da oportunidade com efeito da conexão.</w:t>
      </w:r>
      <w:r>
        <w:rPr>
          <w:vertAlign w:val="superscript"/>
        </w:rPr>
        <w:footnoteReference w:id="6"/>
      </w:r>
    </w:p>
    <w:p>
      <w:pPr>
        <w:pStyle w:val="Heading1"/>
        <w:keepNext/>
        <w:keepLines/>
      </w:pPr>
      <w:bookmarkStart w:id="103" w:name="ghtsection3"/>
      <w:r>
        <w:rPr>
          <w:rFonts w:ascii="Helvetica Neue" w:hAnsi="Helvetica Neue" w:eastAsia="Helvetica Neue" w:cs="Helvetica Neue"/>
        </w:rPr>
        <w:t xml:space="preserve">3 Adaptação ao ambiente da boutique</w:t>
      </w:r>
      <w:bookmarkEnd w:id="103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apresentação pública da GHT4 Advisory inclui M&amp;A, captação e avaliação, com atendimento a empresas brasileiras e multinacionais e experiência em transações internacionais. Isso favorece uma proposta comercial baseada em alternativas estratégicas, leitura de compradores e execução próxima dos sócios. A experiência divulgada deve ser utilizada com o mesmo perímetro e ressalvas do material institucional, sem atribuir à GHT4 operações de experiências profissionais anteriores como se fossem mandatos da firma.</w:t>
      </w:r>
      <w:r>
        <w:rPr>
          <w:vertAlign w:val="superscript"/>
        </w:rPr>
        <w:footnoteReference w:id="7"/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Três objetos comerciais que não podem se confundir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Potencial cliente vendedor.</w:t>
      </w:r>
      <w:r>
        <w:rPr>
          <w:rFonts w:ascii="Helvetica Neue" w:hAnsi="Helvetica Neue" w:eastAsia="Helvetica Neue" w:cs="Helvetica Neue"/>
        </w:rPr>
        <w:t xml:space="preserve"> Empresa e acionistas que podem contratar assessoria para alienação total ou parcial, entrada de sócio ou avaliação de alternativas. O interesse e a disponibilidade dos acionistas precisam ser apurados em conversa. Ser familiar, antiga ou atuar em setor consolidável não comprova intenção de venda.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Potencial cliente comprador.</w:t>
      </w:r>
      <w:r>
        <w:rPr>
          <w:rFonts w:ascii="Helvetica Neue" w:hAnsi="Helvetica Neue" w:eastAsia="Helvetica Neue" w:cs="Helvetica Neue"/>
        </w:rPr>
        <w:t xml:space="preserve"> Grupo estratégico, plataforma de consolidação, investidor ou fundo que pode contratar a GHT4 para originar e executar aquisições. A qualificação precisa apurar tese, orçamento, governança decisória, capacidade de execução e disposição para contratar um assessor. Ter comprado empresas antes não prova necessidade atual de assessoria externa.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Contraparte de mandato.</w:t>
      </w:r>
      <w:r>
        <w:rPr>
          <w:rFonts w:ascii="Helvetica Neue" w:hAnsi="Helvetica Neue" w:eastAsia="Helvetica Neue" w:cs="Helvetica Neue"/>
        </w:rPr>
        <w:t xml:space="preserve"> Comprador de uma empresa que a GHT4 está assessorando, ou alvo para um comprador já mandatado. A empresa integra um processo específico, com regras de confidencialidade, contato e conflito. Estar em uma lista de contrapartes não significa ser cliente da GHT4.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mesma empresa pode ter mais de um papel em momentos distintos. O cadastro será único; oportunidades comerciais e participações em mandatos serão registros separados. O status “empresa compradora” não substitui uma oportunidade buy-side nem autoriza contato em nome de um cliente.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O que aproveitar do trabalho existente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Os arquivos locais descrevem taxonomia química, fontes, regras de pontuação, conexões, listas e uma arquitetura de base mestre. A inspeção do diretório também identifica código de domínio, testes, uma API em server, autenticação, permissões, auditoria e migrações das camadas raw, master e serving. Portanto, a afirmação de materiais antigos de que não existe backend ou nenhum teste não deve ser tomada como diagnóstico atual.</w:t>
      </w:r>
      <w:r>
        <w:rPr>
          <w:vertAlign w:val="superscript"/>
        </w:rPr>
        <w:footnoteReference w:id="8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Ao mesmo tempo, presença de arquivos não comprova implantação em produção, integração completa ou aceite do negócio. A primeira etapa deve verificar o funcionamento ponta a ponta e produzir uma matriz demonstrável de aderência. O planejamento propõe aproveitar o que passar nessa verificação e completar lacunas; não parte da premissa de reconstruir tudo nem de que todos os módulos estejam concluídos.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Escolha de solução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661"/>
        <w:gridCol w:w="2661"/>
        <w:gridCol w:w="2019"/>
      </w:tblGrid>
      <w:tr w14:paraId="76270B64" w14:textId="77777777">
        <w:trPr>
          <w:tblHeader/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Caminho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Benefício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Custo ou limite principal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Recomendação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Processo assistido com importações e CRM existente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Gera aprendizado comercial cedo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Exige disciplina manual e reconciliação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Usar no início do piloto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Evoluir a aplicação da GHT4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Preserva critérios, histórico e diferenciação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Exige manutenção e responsável técnico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Caminho preferencial, após diagnóstico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Contratar CRM especializado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Pode acelerar relações e gestão comercial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Licença, integração e adequação de permissões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Comparar se o CRM se tornar gargalo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Affinity e Intapp DealCloud apresentam recursos de relacionamento e gestão de oportunidades voltados ao mercado financeiro. São referências para a comparação funcional, não uma seleção de fornecedores já feita. A decisão exige demonstração com casos da GHT4, análise de permissões, exportação integral, integrações e custo total. As páginas comerciais não comprovam cobertura ou desempenho no universo brasileiro de distribuição química.</w:t>
      </w:r>
      <w:r>
        <w:rPr>
          <w:vertAlign w:val="superscript"/>
        </w:rPr>
        <w:footnoteReference w:id="9"/>
      </w:r>
      <w:r>
        <w:rPr>
          <w:rFonts w:ascii="Helvetica Neue" w:hAnsi="Helvetica Neue" w:eastAsia="Helvetica Neue" w:cs="Helvetica Neue"/>
          <w:vertAlign w:val="superscript"/>
        </w:rPr>
        <w:t xml:space="preserve">, </w:t>
      </w:r>
      <w:r>
        <w:rPr>
          <w:vertAlign w:val="superscript"/>
        </w:rPr>
        <w:footnoteReference w:id="10"/>
      </w:r>
    </w:p>
    <w:p>
      <w:pPr>
        <w:pStyle w:val="Heading1"/>
        <w:keepNext/>
        <w:keepLines/>
      </w:pPr>
      <w:bookmarkStart w:id="104" w:name="ghtsection4"/>
      <w:r>
        <w:rPr>
          <w:rFonts w:ascii="Helvetica Neue" w:hAnsi="Helvetica Neue" w:eastAsia="Helvetica Neue" w:cs="Helvetica Neue"/>
        </w:rPr>
        <w:t xml:space="preserve">4 Processo comercial de ponta a ponta</w:t>
      </w:r>
      <w:bookmarkEnd w:id="104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Da tese à assinatura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661"/>
        <w:gridCol w:w="2661"/>
        <w:gridCol w:w="2019"/>
      </w:tblGrid>
      <w:tr w14:paraId="76270B64" w14:textId="77777777">
        <w:trPr>
          <w:tblHeader/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Etapa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Trabalho principal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Saída exigida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Responsável proposto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 Tese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Definir problema do cliente, setor, papel e exclusões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Brief de uma página e critérios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 responsável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 Universo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Cruzar fontes e resolver identidade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Empresas únicas e cobertura documentada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3 Qualificação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Confirmar atividade, porte e controle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Fichas e lacunas prioritárias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4 Priorização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Aplicar regra e revisar resultados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Lista curta explicável por papel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 e sócio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5 Acesso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Confirmar decisor, conexão e abordagem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Responsável e plano por conta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Originador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6 Contato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Executar abordagem aprovada e registrar resposta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Interação, resposta e próxima ação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Originador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7 Diagnóstico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Entender objetivos e viabilidade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Nota de reunião e qualificação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 ou executivo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8 Proposta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Definir escopo, processo e remuneração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Proposta aprovada e enviada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9 Negociação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Resolver escopo e condições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Termos acordados ou razão de perda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 Mandato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Assinatura e abertura do projeto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Mandato formal e passagem à execução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 e execução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11 Retomada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Nutrir recusas temporárias e contas futuras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Agenda vinculada a data ou evento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Dono da conta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Regra de responsabilidade.</w:t>
      </w:r>
      <w:r>
        <w:rPr>
          <w:rFonts w:ascii="Helvetica Neue" w:hAnsi="Helvetica Neue" w:eastAsia="Helvetica Neue" w:cs="Helvetica Neue"/>
        </w:rPr>
        <w:t xml:space="preserve"> Toda conta ativa terá um dono e um substituto. A pessoa que originou a relação continuará registrada, mesmo que outro membro execute as próximas etapas. Atribuição de crédito comercial deve seguir regra interna definida pelos sócios, sem perder a origem da oportunidade.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Prospecção de mandatos de venda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primeira conversa deve testar se existe uma decisão acionária ou estratégica que a GHT4 pode ajudar a resolver. Perguntar sobre planos de crescimento, alternativas de capital, objetivos dos acionistas, horizonte e limitações de execução. Sucessão entra como tema apenas quando houver sinal legítimo ou abertura do interlocutor, sem inferência sobre idade, saúde ou vida familiar.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qualificação avança quando há interlocutor com influência real, problema reconhecido, escopo potencial, acesso inicial à informação e disposição para avaliar uma proposta de assessoria. Registrar quais acionistas precisam participar e se existe alinhamento entre eles. Antes de mobilizar execução, o sócio avalia a possibilidade de transação, as expectativas de valor, a qualidade mínima dos dados e a atratividade econômica do mandato.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argumento comercial pode combinar leitura de consolidação do subsegmento, alternativas de parceiros, preparação necessária e capacidade da boutique de conduzir um processo. Não declarar que há comprador interessado sem manifestação efetiva; não usar múltiplos preliminares como promessa de preço.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Prospecção de mandatos de compra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Começar pela estratégia do comprador: aplicações e mercados finais desejados, competências ausentes, geografia, tamanho, controle pretendido, financiamento e capacidade de integrar. Perguntar como sua equipe encontra alvos hoje, onde perde oportunidades e quais atividades terceirizaria. O produto comercial é uma busca orientada por tese e acompanhada de execução, com entregas e limites claros.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 comprador se qualifica como cliente quando há patrocinador interno, critério de investimento, processo decisório conhecido, capacidade plausível de financiar e executar, e interesse em discutir contratação. Para fundos, registrar veículo, período de investimento, estratégia de plataforma ou aquisições complementares e autonomia da investida. Capital captado ou patrimônio divulgado não equivale a orçamento disponível para uma operação específica.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proposta buy-side deve definir universo, exclusões, atualização da lista, regras sobre alvos já conhecidos, contato com terceiros, critérios de qualificação e remuneração. O cadastro de compradores deve incluir empresas estrangeiras com tese brasileira; a faixa de receita dos vendedores do piloto não é filtro para esses compradores.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Canais e cadência inicial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Priorizar apresentações da rede, relações anteriores, indicações de assessores e associações, eventos setoriais e abordagem direta contextualizada. Advogados, contadores, executivos e parceiros comerciais podem ser fontes de indicações, respeitadas as regras da GHT4 sobre confidencialidade, conflito e eventual remuneração. Conteúdo setorial e eventos pequenos alimentam relacionamento e entradas espontâneas.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Como hipótese de operação, preparar 20 primeiras abordagens por ciclo de quatro semanas, distribuindo a capacidade entre compra e venda. Se a revisão ou as reuniões excederem a capacidade do time, reduzir o volume. Não perseguir volume de disparos como medida de sucesso.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Momento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Ação proposta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Condição para continuar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Antes do primeiro contato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Validar destinatário, contexto e conflito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Dono da conta assume a abordagem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Dia 0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Apresentação por conexão ou mensagem direta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Conteúdo específico e motivo legítimo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Dias 5 a 7 úteis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Retomada breve com uma informação útil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Ausência de recusa ou pedido de interrupção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Dias 12 a 15 úteis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Última tentativa do ciclo ou convite a retomar depois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Canal e frequência apropriados à relação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Após o ciclo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Pausar ou nutrir por data ou evento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Registrar motivo e evitar contatos repetitivos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Esses intervalos são parâmetros iniciais, não benchmarks. Resposta explícita prevalece sobre qualquer automação. Uma recusa definitiva ou solicitação de não contato interrompe a cadência; uma recusa por timing pode gerar retorno em prazo combinado.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Modelos de abordagem para revisão humana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Pedido interno de apresentação.</w:t>
      </w:r>
      <w:r>
        <w:rPr>
          <w:rFonts w:ascii="Helvetica Neue" w:hAnsi="Helvetica Neue" w:eastAsia="Helvetica Neue" w:cs="Helvetica Neue"/>
        </w:rPr>
        <w:t xml:space="preserve"> “Estamos estudando a distribuição de insumos para [aplicação]. Sua experiência em [contexto profissional documentado] sugere uma possível proximidade com [empresa]. Você conhece a pessoa responsável por decisões estratégicas e se sentiria confortável em avaliar uma apresentação? Posso enviar um resumo do motivo da conversa.”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Primeiro contato com potencial vendedor.</w:t>
      </w:r>
      <w:r>
        <w:rPr>
          <w:rFonts w:ascii="Helvetica Neue" w:hAnsi="Helvetica Neue" w:eastAsia="Helvetica Neue" w:cs="Helvetica Neue"/>
        </w:rPr>
        <w:t xml:space="preserve"> “Sou [nome], da GHT4 Advisory. Estamos acompanhando movimentos de consolidação em [subsegmento] e identificamos a atuação da [empresa] em [atividade confirmada]. Gostaríamos de entender os planos do negócio e compartilhar uma leitura sobre alternativas de crescimento e parceria. Há espaço para uma conversa breve?”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Primeiro contato com potencial comprador.</w:t>
      </w:r>
      <w:r>
        <w:rPr>
          <w:rFonts w:ascii="Helvetica Neue" w:hAnsi="Helvetica Neue" w:eastAsia="Helvetica Neue" w:cs="Helvetica Neue"/>
        </w:rPr>
        <w:t xml:space="preserve"> “Sou [nome], da GHT4 Advisory. Estamos aprofundando o mapa brasileiro de [subsegmento], incluindo empresas com [competência]. Gostaríamos de entender se aquisições nessa frente fazem parte da estratégia de vocês e onde apoio local de originação e execução poderia ser útil.”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Os trechos entre colchetes são campos de personalização destes modelos. Antes do envio, validar cada afirmação, o nome do destinatário e o responsável. A ferramenta prepara rascunhos; a execução de contatos depende da rotina comercial autorizada da GHT4.</w:t>
      </w:r>
    </w:p>
    <w:p>
      <w:pPr>
        <w:pStyle w:val="Heading1"/>
        <w:keepNext/>
        <w:keepLines/>
      </w:pPr>
      <w:bookmarkStart w:id="105" w:name="ghtsection5"/>
      <w:r>
        <w:rPr>
          <w:rFonts w:ascii="Helvetica Neue" w:hAnsi="Helvetica Neue" w:eastAsia="Helvetica Neue" w:cs="Helvetica Neue"/>
        </w:rPr>
        <w:t xml:space="preserve">5 Tese do piloto de distribuição química</w:t>
      </w:r>
      <w:bookmarkEnd w:id="105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Taxonomia econômica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mapa deve cruzar mercados finais com modelo de atuação. Uma empresa pode operar em vários mercados, mas seu cadastro jurídico será único. Classificação por CNAE é um ponto de partida: site, portfólio, representadas, catálogos e informação validada devem determinar a aderência econômica.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Recorte de aplicação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Diferenciais a investigar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Questões que mudam a tese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Alimentos e nutrição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Laboratório, formulação, representadas e acesso a clientes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Exclusividades e dependência de poucos fornecedores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Farmacêutico e cuidados pessoais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Apoio técnico, qualidade e capacidade regulatória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Portfólio autorizado e transferibilidade de contratos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Tintas adesivos e construção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Formulação, cobertura de aplicações e equipe técnica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Concentração de clientes e ciclo industrial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Plásticos borracha e materiais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Especialidades, suporte de aplicação e portfólio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Exposição a commodities e diferenciação comercial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Limpeza tratamento de água e indústria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Cobertura regional, serviço e logística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Mistura entre distribuição, fabricação e serviços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Químicos básicos e trading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Abastecimento, logística, crédito e escala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Capital de giro, câmbio e volatilidade de margem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Esses recortes são uma proposta de classificação comercial. Devem se conectar à taxonomia química já existente, sem substituir silenciosamente seus códigos. Separar distribuidor técnico, revendedor de químicos básicos, trader ou importador, fabricante com distribuição própria e modelo misto. “Especialidades” não deve ser deduzido apenas do nome da empresa.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Evidências reais para orientar critérios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Em 19 de agosto de 2024, a Brenntag anunciou a aquisição de PIC e PharmaSpecial, destacando a expansão em pharma e personal care, portfólio de fornecedores e capacidade de aplicação. O comunicado informava condições de fechamento e não divulgava o preço. É evidência de racional de aquisição; o anúncio isolado não comprova fechamento nem fornece múltiplo de transação.</w:t>
      </w:r>
      <w:r>
        <w:rPr>
          <w:vertAlign w:val="superscript"/>
        </w:rPr>
        <w:footnoteReference w:id="11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Azelis anunciou em abril de 2023 a compra de participação majoritária na Vogler, distribuidora brasileira de ingredientes, ressaltando relacionamentos com fornecedores, mercados atendidos e laboratórios. Seu comunicado de resultados de 2023 informa a conclusão da transação em junho. Esse histórico sustenta investigar complementaridade de portfólio e capacidades técnicas, sem concluir que a empresa esteja hoje procurando o mesmo perfil.</w:t>
      </w:r>
      <w:r>
        <w:rPr>
          <w:vertAlign w:val="superscript"/>
        </w:rPr>
        <w:footnoteReference w:id="12"/>
      </w:r>
      <w:r>
        <w:rPr>
          <w:rFonts w:ascii="Helvetica Neue" w:hAnsi="Helvetica Neue" w:eastAsia="Helvetica Neue" w:cs="Helvetica Neue"/>
          <w:vertAlign w:val="superscript"/>
        </w:rPr>
        <w:t xml:space="preserve">, </w:t>
      </w:r>
      <w:r>
        <w:rPr>
          <w:vertAlign w:val="superscript"/>
        </w:rPr>
        <w:footnoteReference w:id="13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Univar anunciou em dezembro de 2021 a aquisição da Sweetmix no Brasil, associada à expansão em ingredientes e especialidades. Trata-se de uma referência histórica, anterior à janela de três anos proposta para atividade recente do piloto. Pode orientar o perfil estratégico, mas não deve receber o mesmo peso temporal de um evento recente.</w:t>
      </w:r>
      <w:r>
        <w:rPr>
          <w:vertAlign w:val="superscript"/>
        </w:rPr>
        <w:footnoteReference w:id="14"/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Organização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Papel inicial no mapa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Uso permitido da evidência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Brenntag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Estratégico a qualificar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Investigar complementaridade e confirmar tese atual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Azelis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Estratégico a qualificar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Avaliar aplicações, fornecedores e expansão brasileira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Univar Solutions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Estratégico a qualificar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Mapear portfólio e capacidade local atual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PIC PharmaSpecial e Vogler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Referências históricas de alvos adquiridos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Aprender critérios; não tratá-las como vendedores independentes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Esta é uma amostra de referências de mercado, não uma lista de empresas disponíveis para venda ou compradores interessados em um ativo da GHT4. A equipe deverá verificar controle atual, aquisições posteriores, conflitos e apetite antes de inserir uma conta na agenda.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Informações que justificam enriquecimento profundo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uma distribuidora, apurar receita e sua base bruta ou líquida, lucro bruto, margem, EBITDA quando disponível, necessidade de capital de giro, estoque, inadimplência, exposição cambial, concentração de fornecedores e clientes, contratos de representação e cláusulas de mudança de controle. Distinguir serviços técnicos próprios de serviços terceirizados e armazéns próprios de instalações contratadas.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Nas primeiras etapas, muitos desses campos serão desconhecidos. A ferramenta deve transformá-los em perguntas de qualificação, priorizadas por impacto na tese. Um novo laboratório, expansão de aplicação, mudança relevante de portfólio ou aquisição anunciada é um gatilho para pesquisa. Mudança cadastral de sócio ou administrador é um evento a investigar, sem classificá-la automaticamente como sucessão ou intenção de transação.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Dimensionamento sem misturar mercados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Perfil do Setor da ASSOCIQUIM é produzido a partir de dados coletados de associados. Seu universo e metodologia devem ser conferidos antes de extrapolar resultados para todo o Brasil. Listas associativas tampouco representam necessariamente a totalidade de empresas do setor.</w:t>
      </w:r>
      <w:r>
        <w:rPr>
          <w:vertAlign w:val="superscript"/>
        </w:rPr>
        <w:footnoteReference w:id="15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Separar dois exercícios: mercado de distribuição química e mercado endereçável de mandatos da GHT4. No primeiro, manter ano, geografia, tipos de produto, receita bruta ou líquida e perímetro da distribuição. No segundo, partir de empresas aderentes, eventos estratégicos plausíveis, capacidade de atendimento e economia dos mandatos. Não multiplicar uma receita industrial agregada por uma comissão para chamar o resultado de mercado de assessoria.</w:t>
      </w:r>
    </w:p>
    <w:p>
      <w:pPr>
        <w:pStyle w:val="Heading1"/>
        <w:keepNext/>
        <w:keepLines/>
      </w:pPr>
      <w:bookmarkStart w:id="106" w:name="ghtsection6"/>
      <w:r>
        <w:rPr>
          <w:rFonts w:ascii="Helvetica Neue" w:hAnsi="Helvetica Neue" w:eastAsia="Helvetica Neue" w:cs="Helvetica Neue"/>
        </w:rPr>
        <w:t xml:space="preserve">6 Base de dados e qualidade da informação</w:t>
      </w:r>
      <w:bookmarkEnd w:id="106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Universo e cobertura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“Mapa completo” deve significar universo conhecido dentro de um escopo e de uma data de corte, acompanhado de cobertura e lacunas. Não existe evidência suficiente para prometer todas as empresas de qualquer setor. Para cada recorte, registrar fontes consultadas, quantidade bruta, entidades únicas, empresas qualificadas, exclusões justificadas e fila pendente.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Medir cobertura contra conjuntos de referência: quantas empresas de uma lista associativa entram no mapa, quantas de um export da EMIS foram resolvidas e quais empresas conhecidas dos sócios ficaram ausentes. Chamar essa medida de cobertura do conjunto de referência; ela não demonstra cobertura de um universo desconhecido.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Função de cada fonte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Fonte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Uso principal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Limite e controle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RFB e CNPJ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Identidade, estabelecimentos, CNAE, situação e quadro cadastral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Não fornece receita ou EBITDA; distinguir matriz e filiais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Sites e catálogos oficiais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Produtos, aplicações, unidades e equipes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Autodeclaração; guardar página e data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Associações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Descoberta e estudos de setor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Associados não são o universo total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EMIS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Empresas privadas, estudos e transações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Cobertura por campo e direitos dependem da contratação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Capital IQ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Comps, transações, finanças e identificação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Confirmar produto, campos, períodos e licenças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CVM e relações com investidores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Fatos e dados de companhias que divulgam informações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Amostra não representa automaticamente empresas fechadas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IBAMA e órgãos setoriais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Atividade declarada e contexto regulatório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Cadastro ou declaração não é validação integral da empresa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 e CRM da GHT4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Relacionamento, conversas e interesse confirmado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Acesso por finalidade e escopo de confidencialidade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Imprensa e notícias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Eventos e gatilhos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Corroborar afirmações materiais e separar rumor de fato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dicionário de dados abertos do CNPJ lista capital social e categoria de porte, além de dados cadastrais. Capital social não é faturamento, e a categoria “demais” não informa a receita de uma companhia. A classificação de porte comercial precisa de outra evidência.</w:t>
      </w:r>
      <w:r>
        <w:rPr>
          <w:vertAlign w:val="superscript"/>
        </w:rPr>
        <w:footnoteReference w:id="16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Receita Federal anunciou o primeiro CNPJ alfanumérico em 31 de julho de 2026. O projeto deve armazenar identificadores como texto, preservar zeros e letras e usar validação compatível com o novo formato. Conversões que removem tudo que não é dígito podem corromper novos registros e devem entrar nos testes de importação.</w:t>
      </w:r>
      <w:r>
        <w:rPr>
          <w:vertAlign w:val="superscript"/>
        </w:rPr>
        <w:footnoteReference w:id="17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RAPP do IBAMA tem finalidade de informação para controle e fiscalização e utiliza declarações de atividades. Sua presença pode apoiar o enquadramento, mas não comprova, isoladamente, ausência de passivos, licenciamento de todas as unidades ou capacidade operacional atual.</w:t>
      </w:r>
      <w:r>
        <w:rPr>
          <w:vertAlign w:val="superscript"/>
        </w:rPr>
        <w:footnoteReference w:id="18"/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Estrutura dos registros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Cada fato deve armazenar empresa ou pessoa relacionada, campo, valor, unidade, moeda, período de referência, data de coleta, fonte, localização exata no documento, método de obtenção, classificação de confidencialidade e status de revisão. Separar “observado”, “estimado”, “inferido”, “conflitante”, “desatualizado” e “não encontrado”. Estimativas terão faixa, método e premissas; confiança não será uma porcentagem inventada pelo modelo.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Registrar entidade jurídica, estabelecimento e grupo econômico em níveis próprios. Compartilhar raiz do CNPJ pode ajudar a unir matriz e filiais; vincular empresas de raízes diferentes a um grupo exige evidência. Nomes semelhantes, mesmo endereço ou sobrenome de sócio não bastam para deduzir controle ou parentesco.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Preservar observações divergentes. Uma receita de grupo não substitui receita da empresa operacional; um dado de 2023 não é contradição automática de um dado de 2024. A resolução deve comparar período, moeda, unidade, perímetro e definição contábil antes de escolher um valor para análise.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Enriquecimento em três passagens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Primeiro, realizar uma passagem ampla e barata de cadastro, deduplicação e atividade. Segundo, enriquecer a coorte aderente com porte, controle e eventos. Terceiro, produzir dossiês e verificar conexões apenas para as prioridades de ação. Preservar o universo e o histórico em todas as passagens; enriquecer seletivamente reduz custo sem transformar a primeira lista em um limite permanente do produto.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Os arquivos originais e seus hashes ficam na camada raw; entidades e fatos reconciliados, na master; coortes, rankings e relatórios reproduzíveis, na serving. Essa separação é coerente com o adendo de base mestre já existente na GHT4. Importações devem ser repetíveis sem duplicação, reconciliar contagens e registrar rejeições.</w:t>
      </w:r>
      <w:r>
        <w:rPr>
          <w:vertAlign w:val="superscript"/>
        </w:rPr>
        <w:footnoteReference w:id="19"/>
      </w:r>
    </w:p>
    <w:p>
      <w:pPr>
        <w:pStyle w:val="Heading1"/>
        <w:keepNext/>
        <w:keepLines/>
      </w:pPr>
      <w:bookmarkStart w:id="107" w:name="ghtsection7"/>
      <w:r>
        <w:rPr>
          <w:rFonts w:ascii="Helvetica Neue" w:hAnsi="Helvetica Neue" w:eastAsia="Helvetica Neue" w:cs="Helvetica Neue"/>
        </w:rPr>
        <w:t xml:space="preserve">7 Ranking configurável e explicável</w:t>
      </w:r>
      <w:bookmarkEnd w:id="107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Ranking de subsegmentos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score de subsegmento prioriza onde dedicar esforço. Sugere-se começar com interesse de compradores 30%, atividade recente de transações 25%, tendências e condições de crescimento 20%, ambiente de valuation 15% e fragmentação com ativos endereçáveis 10%. Os quatro primeiros critérios vêm do documento; o quinto é uma ampliação proposta. Pesos são hipóteses iniciais e devem ser salvos como versão de template.</w:t>
      </w:r>
      <w:r>
        <w:rPr>
          <w:vertAlign w:val="superscript"/>
        </w:rPr>
        <w:footnoteReference w:id="20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Interesse exige manifestação, estratégia publicada, histórico ou outra evidência identificada, com datas diferentes para cada nível. Atividade deve contar transações únicas, distinguir anúncio e fechamento e manter janelas de 12, 36 e 60 meses. Uma operação divulgada em dez notícias conta uma vez. Quando o universo comparável for conhecido, mostrar também transações por quantidade de empresas; sem denominador confiável, exibir apenas contagem observada.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ambiente de valuation precisa de leitura por lado. Múltiplos elevados podem favorecer a narrativa de venda e dificultar a criação de valor para um comprador. Não impor monotonicidade positiva para ambos. Um template buy-side pode preferir preços mais disciplinados; um sell-side pode priorizar demanda e possibilidade de execução. Exibir os componentes para evitar que um mesmo score esconda decisões distintas.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Ranking de potenciais clientes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661"/>
        <w:gridCol w:w="2661"/>
        <w:gridCol w:w="2019"/>
      </w:tblGrid>
      <w:tr w14:paraId="76270B64" w14:textId="77777777">
        <w:trPr>
          <w:tblHeader/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Dimensão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Vendedor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Comprador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Evidência esperada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Aderência à tese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25%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25%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Atividade e escopo confirmados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Atratividade ou capacidade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20%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20%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Qualidade do ativo ou capacidade de adquirir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Timing e necessidade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15%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20%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Gatilho ou agenda estratégica identificada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Acesso e relacionamento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25%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20%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Caminho confirmado ao decisor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Viabilidade do mandato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15%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15%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Problema, processo e economia plausíveis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Total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100%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100%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Template e versão identificados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Aplicar primeiro critérios obrigatórios, como aderência mínima de atividade, ausência de bloqueio de contato e escopo permitido. Campos obrigatórios desconhecidos geram fila de investigação. Uma conexão forte não compensa incompatibilidade com a tese nem resolve conflito de interesse.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Dentro de cada dimensão, critérios terão definição, tipo de dado, unidade, sentido de preferência, escalas e regra de ausência. Exemplo de diversificação: percentual da receita fora da principal aplicação, quando disponível; alternativamente, número documentado de aplicações atendidas, rotulado como proxy. Uma empresa pode divulgar dez linhas de produto e depender de uma só em receita.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Cálculo com dados ausentes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cada critério, definir peso w e nota x entre 0 e 1. A cobertura ponderada C é a soma dos pesos dos critérios observados dividida pela soma de todos os pesos. A nota condicional S é 100 vezes a soma de w × x observados dividida pela soma dos pesos observados. Se nenhum critério estiver observado, S é nulo.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Mostrar também um intervalo: limite inferior = 100 × soma de w × x observados / peso total; limite superior = limite inferior + 100 × peso dos critérios ausentes / peso total. Esses limites representam extremos matemáticos do que falta apurar, não um intervalo estatístico de confiança.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Exemplo hipotético: os pesos conhecidos somam 60 de 100 e geram 48 pontos. S é 80, C é 60%, e o intervalo vai de 48 a 88. A ferramenta mostrará “dados insuficientes para priorização final”, com os campos faltantes. O número 80 sozinho seria enganoso. Uma empresa com S igual a 74 e cobertura de 90% pode ser mais acionável, mas a escolha depende de revisar as lacunas e a tese.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Como regra inicial, exigir cobertura de ao menos 70% e todos os critérios obrigatórios resolvidos para uma prioridade acionável. Na lista final de abordagem, revisar manualmente todas as empresas. A cobertura mínima não é benchmark; será calibrada com exemplos positivos e negativos dos sócios. Usar desempate por maior cobertura e evidência mais recente, mantendo uma pequena amostra exploratória fora do topo para procurar oportunidades omitidas.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Critérios por linguagem natural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 pedido como “quero empresas mais diversificadas e com conexão da GHT4” deve ser convertido em uma regra visível: universo, papel, filtros obrigatórios, critérios de preferência, pesos, medidas e política para desconhecidos. A ferramenta apresenta essa interpretação antes da aplicação e mostra a diferença em relação ao template anterior.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Se a medida estiver indefinida, solicitar apenas o esclarecimento necessário. “Mais diversificada” pode significar clientes, fornecedores, aplicações ou geografia. Se não há campo para medi-la, a consulta deve indicar necessidade de enriquecimento ou permitir uma proxy explicitamente escolhida. O modelo não deve criar uma coluna fictícia preenchida com avaliações sem fonte.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Cada execução grava prompt, regra interpretada, autor, template, versão da taxonomia, snapshot de dados, contribuições por critério e revisão. Correções devem indicar escopo: corrigir um fato, ajustar uma análise ou publicar uma nova regra. Uma correção pontual não muda silenciosamente todos os templates ou resultados aprovados.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Calibração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Montar uma amostra de referência de 60 empresas ou contas, sendo 30 avaliadas como potenciais vendedores e 30 como compradores; o conjunto pode conter sobreposição de entidades, mas a avaliação é por papel. Incluir casos aderentes, não aderentes, ambíguos e com dados faltantes. Dois avaliadores classificam independentemente, registram justificativas e resolvem divergências relevantes.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Reservar 20 casos, dez por papel, para verificação após calibrar os demais. Evitar usar resultados futuros para avaliar retrospectivamente uma lista histórica: só considerar informação disponível na data de corte. Testar mudanças de peso e investigar movimentações grandes de posição. Com poucos casos, os resultados são diagnósticos, não estimativas robustas de probabilidade de mandato.</w:t>
      </w:r>
    </w:p>
    <w:p>
      <w:pPr>
        <w:pStyle w:val="Heading1"/>
        <w:keepNext/>
        <w:keepLines/>
      </w:pPr>
      <w:bookmarkStart w:id="108" w:name="ghtsection8"/>
      <w:r>
        <w:rPr>
          <w:rFonts w:ascii="Helvetica Neue" w:hAnsi="Helvetica Neue" w:eastAsia="Helvetica Neue" w:cs="Helvetica Neue"/>
        </w:rPr>
        <w:t xml:space="preserve">8 Conexões da rede GHT4</w:t>
      </w:r>
      <w:bookmarkEnd w:id="108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módulo deve cobrir os membros autorizados de todo o grupo, conforme o documento, preservando acesso por finalidade. A primeira implantação usará currículos, listas e históricos internos autorizados. Notícias e biografias públicas podem sugerir vínculos profissionais a validar; não demonstram amizade, proximidade ou disponibilidade para uma apresentação.</w:t>
      </w:r>
      <w:r>
        <w:rPr>
          <w:vertAlign w:val="superscript"/>
        </w:rPr>
        <w:footnoteReference w:id="21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Uma relação será composta por pessoa de origem, pessoa ou empresa de destino, natureza, instituição, período, fonte, última confirmação, titular do relacionamento, escopo de visibilidade e possibilidade de introdução. A identidade das pessoas precisa ser resolvida com cuidado para evitar homônimos.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Escala operacional de conexão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Nível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Interpretação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Efeito no processo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Não apurado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 ainda não consultada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Solicitar verificação; não confundir com ausência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Vínculo possível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Coincidência profissional com evidência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Revisão do titular antes de contar como acesso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Relação confirmada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Titular confirma conhecer o contato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Elegível para pontuação de acesso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Introdução viável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Titular concorda em avaliar apresentação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Criar tarefa interna com prazo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Introdução realizada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Apresentação efetivamente feita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Registrar interação e encaminhamento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Tempo na mesma empresa, participação em conselho ou passagem por uma instituição pode gerar um caminho possível. A ferramenta deve verificar sobreposição temporal e não chamar esse vínculo de relação forte sem confirmação. A pontuação pode considerar senioridade do contato, atualidade e disponibilidade, mas a confirmação do titular tem precedência sobre a inferência automática.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pessoas sem permissão de ver detalhes, a interface pode exibir “há uma conexão interna; solicitar ao responsável”, sem revelar nomes, conversas ou a identidade de um cliente confidencial. O membro da rede deve conseguir corrigir, ocultar ou retirar uma relação e indicar assuntos em que não quer intermediar.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plano não depende de varredura automatizada do LinkedIn. Seus termos proíbem scraping e métodos automatizados não autorizados em hipóteses expressas. Qualquer ampliação para integrações externas deve usar caminho contratualmente permitido e preservar as regras de dados pessoais.</w:t>
      </w:r>
      <w:r>
        <w:rPr>
          <w:vertAlign w:val="superscript"/>
        </w:rPr>
        <w:footnoteReference w:id="22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Aceite do módulo.</w:t>
      </w:r>
      <w:r>
        <w:rPr>
          <w:rFonts w:ascii="Helvetica Neue" w:hAnsi="Helvetica Neue" w:eastAsia="Helvetica Neue" w:cs="Helvetica Neue"/>
        </w:rPr>
        <w:t xml:space="preserve"> Testar homônimos, períodos sem sobreposição, relação expirada, pessoa desligada, caminho com dois intermediários e acesso negado. Nenhum vínculo inferido poderá aparecer como apresentação confirmada. Todas as conexões usadas no ranking final precisam indicar sua natureza e data de confirmação.</w:t>
      </w:r>
    </w:p>
    <w:p>
      <w:pPr>
        <w:pStyle w:val="Heading1"/>
        <w:keepNext/>
        <w:keepLines/>
      </w:pPr>
      <w:bookmarkStart w:id="109" w:name="ghtsection9"/>
      <w:r>
        <w:rPr>
          <w:rFonts w:ascii="Helvetica Neue" w:hAnsi="Helvetica Neue" w:eastAsia="Helvetica Neue" w:cs="Helvetica Neue"/>
        </w:rPr>
        <w:t xml:space="preserve">9 Valuation reports e notícias</w:t>
      </w:r>
      <w:bookmarkEnd w:id="109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Valuation com Capital IQ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documento exige acesso aos dados corretos de comparáveis listadas e transações precedentes, além de revisão e ajustes pelo usuário. Os materiais anteriores da GHT4 indicam acesso web, sem API contratada. A primeira solução será importar exportações autorizadas; acesso à plataforma não implica permissão irrestrita de redistribuição, uso em IA ou automação.</w:t>
      </w:r>
      <w:r>
        <w:rPr>
          <w:vertAlign w:val="superscript"/>
        </w:rPr>
        <w:footnoteReference w:id="23"/>
      </w:r>
      <w:r>
        <w:rPr>
          <w:rFonts w:ascii="Helvetica Neue" w:hAnsi="Helvetica Neue" w:eastAsia="Helvetica Neue" w:cs="Helvetica Neue"/>
          <w:vertAlign w:val="superscript"/>
        </w:rPr>
        <w:t xml:space="preserve">, </w:t>
      </w:r>
      <w:r>
        <w:rPr>
          <w:vertAlign w:val="superscript"/>
        </w:rPr>
        <w:footnoteReference w:id="24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S&amp;P apresenta o Capital IQ Pro como plataforma de informações financeiras, transações e screening; a EMIS oferece dados de negócios e exportações em Excel de sua base DealWatch. A disponibilidade desses recursos no produto e contrato específicos da GHT4 deve ser conferida. O passo a passo de Capital IQ mencionado no anexo será transformado em um procedimento validado, com amostra de arquivos e resultado esperado.</w:t>
      </w:r>
      <w:r>
        <w:rPr>
          <w:vertAlign w:val="superscript"/>
        </w:rPr>
        <w:footnoteReference w:id="25"/>
      </w:r>
      <w:r>
        <w:rPr>
          <w:rFonts w:ascii="Helvetica Neue" w:hAnsi="Helvetica Neue" w:eastAsia="Helvetica Neue" w:cs="Helvetica Neue"/>
          <w:vertAlign w:val="superscript"/>
        </w:rPr>
        <w:t xml:space="preserve">, </w:t>
      </w:r>
      <w:r>
        <w:rPr>
          <w:vertAlign w:val="superscript"/>
        </w:rPr>
        <w:footnoteReference w:id="26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Comparáveis listadas.</w:t>
      </w:r>
      <w:r>
        <w:rPr>
          <w:rFonts w:ascii="Helvetica Neue" w:hAnsi="Helvetica Neue" w:eastAsia="Helvetica Neue" w:cs="Helvetica Neue"/>
        </w:rPr>
        <w:t xml:space="preserve"> Definir universo econômico antes dos múltiplos. Identificar empresa, código do fornecedor, bolsa, moeda, data da cotação, capitalização, dívida, caixa, participações relevantes e tratamento de arrendamentos. Registrar receita, EBITDA ou EBITA, período fiscal, LTM ou projeção futura, ajustes e origem. Não misturar distribuidor de especialidades e produtor químico sem justificar a comparação.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Transações precedentes.</w:t>
      </w:r>
      <w:r>
        <w:rPr>
          <w:rFonts w:ascii="Helvetica Neue" w:hAnsi="Helvetica Neue" w:eastAsia="Helvetica Neue" w:cs="Helvetica Neue"/>
        </w:rPr>
        <w:t xml:space="preserve"> Registrar comprador, vendedor, alvo, participação adquirida, anúncio, fechamento, situação do negócio, moeda, preço divulgado, definição de equity value ou enterprise value e dados financeiros correspondentes ao perímetro adquirido. Valores não divulgados permanecem vazios; a existência de notícia de aquisição não autoriza calcular um múltiplo.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Cálculos e revisão.</w:t>
      </w:r>
      <w:r>
        <w:rPr>
          <w:rFonts w:ascii="Helvetica Neue" w:hAnsi="Helvetica Neue" w:eastAsia="Helvetica Neue" w:cs="Helvetica Neue"/>
        </w:rPr>
        <w:t xml:space="preserve"> O mecanismo de cálculo deve ser determinístico. Como ponte inicial, EV corresponde ao valor do patrimônio acrescido de dívida e outros direitos financeiros pertinentes, menos caixa e ativos não operacionais considerados; cada ajuste precisa de definição consistente. O valor atribuível aos acionistas depende dessa reconciliação e dos termos da transação. Não dividir o preço de uma participação por seu percentual para inferir automaticamente EV de 100%.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EV/EBITDA, EV/EBITA e EV/Receita são métricas distintas. Denominadores negativos ou próximos de zero devem gerar tratamento específico ou “não significativo”, sem contaminar a mediana. Diferenças de arrendamentos podem alterar tanto o valor da firma quanto medidas de resultado; a comparabilidade exige tratamento consistente, como discutido por Damodaran.</w:t>
      </w:r>
      <w:r>
        <w:rPr>
          <w:vertAlign w:val="superscript"/>
        </w:rPr>
        <w:footnoteReference w:id="27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Apresentar mediana, quartis, número de observações válidas, exclusões e justificativas, separando companhias listadas de negócios de controle. Manter moeda e escala explícitas, datas de corte comuns quando apropriado e política para outliers. Em distribuição, verificar receita bruta versus líquida e receita de intermediação, pois modelos contábeis diferentes podem distorcer EV/Receita.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analista revisa a extração e a seleção; o revisor valida a metodologia. Ajustes geram nova versão, conservando o valor original e a justificativa. O uso de valuation no ranking de segmentos só recebe dados de uma versão identificada e revisada. A ferramenta não deve converter automaticamente múltiplos públicos em preço recomendado para uma empresa fechada.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Aceite do valuation.</w:t>
      </w:r>
      <w:r>
        <w:rPr>
          <w:rFonts w:ascii="Helvetica Neue" w:hAnsi="Helvetica Neue" w:eastAsia="Helvetica Neue" w:cs="Helvetica Neue"/>
        </w:rPr>
        <w:t xml:space="preserve"> Usar um arquivo real autorizado e conferir 100% dos campos críticos de ao menos dez comparáveis e dez precedentes, quando disponíveis. Se houver menos casos, conferir todos e declarar a amostra. Valores e unidades devem reconciliar; diferenças por arredondamento terão tolerância definida antes do teste. Incluir casos de moeda divergente, participação parcial, dado ausente, EBITDA negativo e empresa fora do perímetro.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Report de mercado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report deve começar com a pergunta de negócio, o perímetro e a conclusão, conectando cada análise à originação ou ao mandato. Trends, TAM, SAM, SOM, players, consolidadores, Porter, SWOT e PESTLE continuam obrigatórios, mas cada seção precisa de evidências e implicações específicas. Uma seção sem lastro suficiente deve explicar a lacuna e sua consequência, em vez de preencher o espaço com texto genérico.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TAM.</w:t>
      </w:r>
      <w:r>
        <w:rPr>
          <w:rFonts w:ascii="Helvetica Neue" w:hAnsi="Helvetica Neue" w:eastAsia="Helvetica Neue" w:cs="Helvetica Neue"/>
        </w:rPr>
        <w:t xml:space="preserve"> Mercado total definido por atividade, geografia, período e métrica. Para distribuição química, explicitar se inclui químicos básicos, especialidades, ingredientes, trading e vendas diretas de fabricantes. Uma estimativa por demanda deve mostrar volumes, preços, canais e exclusões; uma estimativa por empresas deve reconciliar grupos e duplicidades.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SAM.</w:t>
      </w:r>
      <w:r>
        <w:rPr>
          <w:rFonts w:ascii="Helvetica Neue" w:hAnsi="Helvetica Neue" w:eastAsia="Helvetica Neue" w:cs="Helvetica Neue"/>
        </w:rPr>
        <w:t xml:space="preserve"> Parcela do TAM acessível ao negócio analisado, considerando produtos, aplicações, regiões, canais e restrições relevantes. </w:t>
      </w:r>
      <w:r>
        <w:rPr>
          <w:rFonts w:ascii="Helvetica Neue" w:hAnsi="Helvetica Neue" w:eastAsia="Helvetica Neue" w:cs="Helvetica Neue"/>
          <w:b/>
        </w:rPr>
        <w:t xml:space="preserve">SOM.</w:t>
      </w:r>
      <w:r>
        <w:rPr>
          <w:rFonts w:ascii="Helvetica Neue" w:hAnsi="Helvetica Neue" w:eastAsia="Helvetica Neue" w:cs="Helvetica Neue"/>
        </w:rPr>
        <w:t xml:space="preserve"> Parcela que essa empresa pode capturar em um horizonte definido, dadas suas capacidades, recursos e concorrência. SOM não será um percentual arbitrário do TAM nem se confundirá com a parcela de mandatos que a GHT4 espera ganhar.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a boutique, criar um bloco separado de oportunidade comercial: quantidade de contas elegíveis, potencial de eventos, capacidade de abordagem e cenários de contratação. A receita de assessoria resulta de escopo e remuneração de mandatos, e não da participação da GHT4 na distribuição de produtos químicos.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Porter.</w:t>
      </w:r>
      <w:r>
        <w:rPr>
          <w:rFonts w:ascii="Helvetica Neue" w:hAnsi="Helvetica Neue" w:eastAsia="Helvetica Neue" w:cs="Helvetica Neue"/>
        </w:rPr>
        <w:t xml:space="preserve"> Avaliar poder de fornecedores e clientes, rivalidade, entrantes e substitutos, com exemplos por aplicação. </w:t>
      </w:r>
      <w:r>
        <w:rPr>
          <w:rFonts w:ascii="Helvetica Neue" w:hAnsi="Helvetica Neue" w:eastAsia="Helvetica Neue" w:cs="Helvetica Neue"/>
          <w:b/>
        </w:rPr>
        <w:t xml:space="preserve">SWOT.</w:t>
      </w:r>
      <w:r>
        <w:rPr>
          <w:rFonts w:ascii="Helvetica Neue" w:hAnsi="Helvetica Neue" w:eastAsia="Helvetica Neue" w:cs="Helvetica Neue"/>
        </w:rPr>
        <w:t xml:space="preserve"> Definir a unidade analisada — empresa, tese ou GHT4 — antes de classificar fatores internos e externos. </w:t>
      </w:r>
      <w:r>
        <w:rPr>
          <w:rFonts w:ascii="Helvetica Neue" w:hAnsi="Helvetica Neue" w:eastAsia="Helvetica Neue" w:cs="Helvetica Neue"/>
          <w:b/>
        </w:rPr>
        <w:t xml:space="preserve">PESTLE.</w:t>
      </w:r>
      <w:r>
        <w:rPr>
          <w:rFonts w:ascii="Helvetica Neue" w:hAnsi="Helvetica Neue" w:eastAsia="Helvetica Neue" w:cs="Helvetica Neue"/>
        </w:rPr>
        <w:t xml:space="preserve"> Relacionar fatores políticos, econômicos, sociais, tecnológicos, legais e ambientais a efeitos concretos, responsáveis e datas. Todas as conclusões serão identificadas como fato, interpretação ou hipótese.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report será exibido no chat e exportado como PDF reproduzível, com sumário, gráficos quando houver dados adequados, fontes próximas às afirmações, data de corte e limitações. O texto do chat e o PDF devem derivar do mesmo artefato de análise, evitando versões com números divergentes.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News run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Permitir busca por empresa, aliases, grupo, setor, aplicação e período configurável. Registrar título, veículo, link, data de publicação, data do evento, coleta, entidades envolvidas, resumo, categoria e status de verificação. Uma republicação recente de um negócio antigo não é um novo evento.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Deduplicar por evento e manter os diferentes documentos como evidências. Distinguir rumor, intenção, anúncio, aprovação regulatória, fechamento, cancelamento e desinvestimento. Notícias sobre litígios ou problemas operacionais devem conter contexto, fonte e situação, sem converter alegação em fato confirmado.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saída útil para prospecção combina “o que aconteceu”, “por que importa para esta tese” e “qual ação considerar”. Exemplo: aquisição anunciada por um grupo → revisar possíveis lacunas do portfólio e confirmar se a integração reduz sua capacidade de novas compras. O sistema não deve produzir alerta de urgência só porque encontrou uma palavra associada a M&amp;A.</w:t>
      </w:r>
    </w:p>
    <w:p>
      <w:pPr>
        <w:pStyle w:val="Heading1"/>
        <w:keepNext/>
        <w:keepLines/>
      </w:pPr>
      <w:bookmarkStart w:id="110" w:name="ghtsection10"/>
      <w:r>
        <w:rPr>
          <w:rFonts w:ascii="Helvetica Neue" w:hAnsi="Helvetica Neue" w:eastAsia="Helvetica Neue" w:cs="Helvetica Neue"/>
        </w:rPr>
        <w:t xml:space="preserve">10 Listas de compradores e alvos</w:t>
      </w:r>
      <w:bookmarkEnd w:id="110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matchmaking parte de um mandato ou hipótese explicitamente definida. Para venda, o perfil do ativo alimenta uma lista de compradores estratégicos e financeiros. Para compra, a tese do cliente alimenta uma lista de alvos. Reaproveitar fatos e pesquisas não dispensa critérios novos nem autoriza compartilhar informações do mandato fora do seu perímetro.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Perfil mínimo do mandato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Registrar lado da assessoria, empresa cliente, objetivo, aplicações, geografia, porte, participação pretendida, restrições, exclusividade, alvos ou compradores já conhecidos e regras de contato. Quando houver informação confidencial, preparar versões interna completa e externa autorizada. Uma prévia anônima pode reduzir exposição, mas combinações de características ainda podem identificar a empresa e devem ser revistas.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Critérios da contraparte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14:paraId="76270B64" w14:textId="77777777">
        <w:trPr>
          <w:tblHeader/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Comprador para um mandato de venda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Alvo para um mandato de compra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Compatibilidade estratégica e aplicações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Aderência aos requisitos do cliente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Portfólio e geografia complementares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Capacidades e ativos desejados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Capacidade financeira e de integração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Porte, controle e viabilidade de aquisição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Evidência recente de apetite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Disponibilidade a confirmar em contato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Conflitos entre representadas e clientes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Dependências que afetam a integração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Caminho de acesso e processo decisório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Caminho de acesso aos acionistas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ranking de compradores deve permitir incluir organizações fora da base setorial inicial: conglomerados, fundos, plataformas investidas, compradores internacionais e adjacências. Já o ranking de alvos não pode tratar ausência de sinal público de venda como impossibilidade de transação.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Cada linha terá entidade, racional, evidências, restrições, pontuação por dimensão, cobertura, caminho de contato e recomendação de próxima ação. Exibir lista longa, lista curta e excluídos com motivo. O analista propõe; o responsável pelo mandato aprova a lista a utilizar no processo e a sequência de contatos.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Aceite.</w:t>
      </w:r>
      <w:r>
        <w:rPr>
          <w:rFonts w:ascii="Helvetica Neue" w:hAnsi="Helvetica Neue" w:eastAsia="Helvetica Neue" w:cs="Helvetica Neue"/>
        </w:rPr>
        <w:t xml:space="preserve"> Aplicar duas teses distintas à mesma base e demonstrar que filtros, lista e justificativas mudam de forma coerente. Testar comprador estrangeiro, grupo com várias subsidiárias, investidor com plataforma existente, ativo já adquirido e contato em conflito. A lista deve ser reconstruível com o snapshot e a regra originais.</w:t>
      </w:r>
    </w:p>
    <w:p>
      <w:pPr>
        <w:pStyle w:val="Heading1"/>
        <w:keepNext/>
        <w:keepLines/>
      </w:pPr>
      <w:bookmarkStart w:id="111" w:name="ghtsection11"/>
      <w:r>
        <w:rPr>
          <w:rFonts w:ascii="Helvetica Neue" w:hAnsi="Helvetica Neue" w:eastAsia="Helvetica Neue" w:cs="Helvetica Neue"/>
        </w:rPr>
        <w:t xml:space="preserve">11 CRM e gestão da atividade comercial</w:t>
      </w:r>
      <w:bookmarkEnd w:id="111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Modelo de pipeline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CRM deve administrar oportunidades de contratação. A etapa de execução do negócio fica em pipeline próprio após a assinatura do mandato. Separar empresas, pessoas, relações, oportunidades, atividades, propostas e mandatos permite manter várias oportunidades na mesma conta sem duplicar o cadastro ou confundir taxa de conversão.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Etapa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Evidência de entrada ou avanço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Campos indispensáveis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Identificada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Conta aderente à pesquisa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Empresa, papel, origem e responsável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Qualificada para abordagem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Revisão do dossiê e do plano de acesso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Tese, lacunas, contato e próxima 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Contatada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Contato realmente efetuado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Data, canal, mensagem e destinatário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Conversa realizada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Interação substantiva concluída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Participantes, nota, objetivos e próximos passos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Oportunidade de mandato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Necessidade e contratação em discussão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Patrocinador, escopo, timing e viabilidade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Proposta enviada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Documento aprovado e entregue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Versão, valor, escopo e prazo de retorno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Negociação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Ajustes comerciais ou contratuais em curso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Pendências, decisores e data de acompanhamento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Mandato assinado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Contrato formalizado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Documento, termos, equipe e passagem à execução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Nutrição ou pausa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Interesse futuro ou timing inadequado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Motivo e data ou gatilho de retorno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Perdida ou não contatar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Recusa definitiva, conflito ou impedimento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Motivo estruturado e observação específica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Uma reunião marcada não conta como conversa realizada; uma proposta produzida não conta como enviada; aceite verbal não conta como mandato assinado. A IA pode sugerir atualizações a partir de notas, mas o sistema deve confirmar o evento com a evidência correspondente e guardar autor e horário.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Agenda e histórico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Cada colaborador terá tarefas por data, prioridade, empresa e oportunidade, com visão de atrasos e substituições. O gestor verá carga por responsável, oportunidades sem próxima ação e concentração por lado, aplicação e estágio. Uma conta em andamento não será abordada por outro membro sem coordenação com seu responsável.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Após cada call, registrar objetivos dos acionistas ou comprador, motivações declaradas, restrições, horizonte, decisão sobre próxima etapa e dúvidas. Resumos automáticos devem ser revistos pelo participante. Gravação e transcrição, se utilizadas, precisam de política própria; notas manuais devem permanecer uma alternativa.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Os motivos de recusa incluirão sem interesse, timing, porte, falta de aderência, assessor já contratado, expectativa de valor, escopo ou honorários, ausência de consenso, restrição do comprador, conflito, contato incorreto e não contatar. Preservar também o comentário específico da conversa. “Sem resposta” será uma categoria separada, sem atribuir ao empresário uma recusa que ele não fez.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Rotina de gestão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Proposta inicial: revisão individual de agenda em dias úteis; reunião semanal de 45 minutos para oportunidades e bloqueios; calibração quinzenal entre pesquisa e originadores; revisão mensal de desempenho e teses pelos sócios. A reunião semanal deve terminar com decisões, donos e datas. A mensal pode reduzir ou ampliar subsegmentos conforme evidência, sem reescrever o histórico.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equilíbrio entre compra e venda será acompanhado por horas, contas qualificadas, conversas e propostas, e não apenas por número de leads. Se o time observar demanda maior de um lado, poderá alterar a alocação com justificativa e prazo de revisão. Manter o pedido de equilíbrio como ponto de partida, com transparência sobre desvios.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Passagem para execução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Ao assinar, gerar um pacote com contrato, escopo, stakeholders, pesquisa validada, premissas de valuation, perfil de compradores ou alvos, contatos já feitos, restrições e pendências. Confirmar o que pode ser reutilizado e quem tem acesso. O pipeline comercial encerra a oportunidade ganha, e o pipeline de mandato inicia a execução; um negócio concluído é outro evento, potencialmente muito posterior.</w:t>
      </w:r>
    </w:p>
    <w:p>
      <w:pPr>
        <w:pStyle w:val="Heading1"/>
        <w:keepNext/>
        <w:keepLines/>
      </w:pPr>
      <w:bookmarkStart w:id="112" w:name="ghtsection12"/>
      <w:r>
        <w:rPr>
          <w:rFonts w:ascii="Helvetica Neue" w:hAnsi="Helvetica Neue" w:eastAsia="Helvetica Neue" w:cs="Helvetica Neue"/>
        </w:rPr>
        <w:t xml:space="preserve">12 Outputs e experiência da ferramenta</w:t>
      </w:r>
      <w:bookmarkEnd w:id="112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Chat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Toda entrega deve apresentar objetivo entendido, recorte, data de corte, principais resultados, critérios, cobertura, ressalvas que alteram decisões e ações sugeridas. Os números citados devem apontar para fatos ou cálculos rastreáveis. Oferecer comandos para ajustar pesos, comparar versões, aprofundar uma empresa, revisar um dado e exportar a análise.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usuário poderá interromper uma pesquisa, ver progresso e consultar o que foi concluído, sem confundir resultado parcial com final. Uma falha de fonte deve aparecer como falha de coleta, não como evidência de que o fato ou a empresa não existe.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Excel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Preservar a matriz pedida: cada subsegmento como coluna e empresas nas linhas correspondentes. A posição vertical em colunas diferentes não implica equivalência entre empresas. Adicionar identificador e um índice remissivo para localizar cada companhia nas abas detalhadas; uma empresa multissegmento pode aparecer em várias colunas e uma única vez no cadastro normalizado.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14:paraId="76270B64" w14:textId="77777777">
        <w:trPr>
          <w:tblHeader/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Aba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Conteúdo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Leia 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Objetivo, regras, snapshot, data, definições e responsáveis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Mapa por subsegmento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Visão matricial exigida no documento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Empresas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Uma linha por entidade, com dados e estados de qualidade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Ranking de segmentos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Critérios, pesos, valores, cobertura e posição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Ranking de empresas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Papel, contribuições, cobertura, decisão e justificativa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Compradores ou alvos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Racional, restrições, acesso e status da lista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Valuation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Quadros separados de comps e precedentes, conforme requisito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Fontes e evidências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Referências, datas, localização e IDs de fatos</w:t>
            </w:r>
          </w:p>
        </w:tc>
      </w:tr>
      <w:tr w14:paraId="0CB6626E" w14:textId="77777777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Revisões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Mudanças, autores, versões e decisões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Quando necessário, complementar Valuation com abas detalhadas Comps e Precedentes, mantendo a aba de síntese exigida. Fórmulas devem ser legíveis, referências consistentes e células sem dado permanecerem vazias ou explicitamente classificadas; nunca substituir ausência por zero. Textos importados devem ser tratados como texto, evitando execução acidental de fórmulas de planilha.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PDF e plataforma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PDF de mercado terá a mesma versão e corte do chat, fontes junto aos números, paginação e apêndice metodológico. O CRM permanecerá na plataforma, com controle de acesso e auditoria. Exportações respeitarão as permissões de campos e mandatos, inclusive quando um usuário puder ver o ranking mas não a identidade do dono de uma conexão.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Aceite dos outputs.</w:t>
      </w:r>
      <w:r>
        <w:rPr>
          <w:rFonts w:ascii="Helvetica Neue" w:hAnsi="Helvetica Neue" w:eastAsia="Helvetica Neue" w:cs="Helvetica Neue"/>
        </w:rPr>
        <w:t xml:space="preserve"> Abrir o Excel em leitor compatível, comparar quantidades e valores com o resultado da consulta e conferir fórmulas. Renderizar e revisar o PDF completo. Testar empresas multissegmento, textos longos, fontes sem acesso público, dados ausentes e exportação por um usuário com acesso limitado.</w:t>
      </w:r>
    </w:p>
    <w:p>
      <w:pPr>
        <w:pStyle w:val="Heading1"/>
        <w:keepNext/>
        <w:keepLines/>
      </w:pPr>
      <w:bookmarkStart w:id="113" w:name="ghtsection13"/>
      <w:r>
        <w:rPr>
          <w:rFonts w:ascii="Helvetica Neue" w:hAnsi="Helvetica Neue" w:eastAsia="Helvetica Neue" w:cs="Helvetica Neue"/>
        </w:rPr>
        <w:t xml:space="preserve">13 Arquitetura e requisitos transversais</w:t>
      </w:r>
      <w:bookmarkEnd w:id="113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Arquitetura funcional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 interface reúne chat, mapas, fichas, rankings, rede, análises, listas e CRM. Uma API controla acesso, consultas, revisões e exportações. Serviços de dados mantêm arquivos originais, fatos canônicos e resultados versionados. Processos de atualização rodam no servidor e registram falhas, custos e tempos. A interface não deve carregar todo o universo empresarial para filtrar no navegador.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modelo de linguagem interpreta pedidos, propõe classificações e redige análises com fontes. Filtros, cálculos, score, validações e gravações são executados por componentes tipados e verificáveis. Antes de qualquer alteração relevante, a aplicação valida usuário, escopo e regra. Textos de sites, documentos e planilhas são conteúdo para análise, nunca instruções que possam conceder permissões ou ordenar ações.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Começar com um fluxo de IA controlado e ferramentas delimitadas. Dividir o processamento em agentes especializados só se uma avaliação mostrar ganho real de qualidade ou tempo. Não introduzir complexidade de coordenação como condição para entregar o piloto.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Continuidade e segurança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Definir perfis de administrador, sócio ou revisor, analista e colaborador da rede, além da participação em cada mandato. Restringir também por campo quando houver relação pessoal ou informação do cliente. A autorização precisa alcançar busca semântica, histórico, exportações, cache e contexto entregue ao modelo; esconder uma informação na tela não é suficiente.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Prever criptografia em trânsito e em armazenamento, gestão de credenciais no servidor, registro de acessos relevantes, backup e teste de restauração. Separar desenvolvimento e produção. Dados reais sensíveis não devem circular em demonstrações ou logs de diagnóstico. O contrato do fornecedor de IA deve definir retenção, uso de conteúdo, subprocessadores e região de processamento, sem presumir garantias universais entre produtos.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dados pessoais de sócios, executivos e membros da rede, documentar finalidade, necessidade, base legal e salvaguardas. O guia da ANPD sobre legítimo interesse propõe análise de finalidade, necessidade e balanceamento; dados publicados na internet não dispensam essa avaliação. Prever canal de correção, oposição quando aplicável, bloqueio de contato e prazo de retenção por classe de dado.</w:t>
      </w:r>
      <w:r>
        <w:rPr>
          <w:vertAlign w:val="superscript"/>
        </w:rPr>
        <w:footnoteReference w:id="28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Transferências internacionais exigem avaliação do mecanismo aplicável e dos instrumentos contratuais. A Resolução CD/ANPD 19/2024 estabelece o regulamento e cláusulas-padrão. A implantação deve ser conferida pelo responsável jurídico ou de privacidade à luz do contrato e da norma vigente; esta especificação define tarefas de produto e governança, sem escolher antecipadamente uma base legal para todo tratamento.</w:t>
      </w:r>
      <w:r>
        <w:rPr>
          <w:vertAlign w:val="superscript"/>
        </w:rPr>
        <w:footnoteReference w:id="29"/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histórico técnico será preservado conforme a política de retenção; “append-only” não significa conservar dados pessoais indefinidamente. Exclusão, anonimização ou restrição legalmente necessária deve alcançar índices e cópias derivadas, com procedimento de backup e trilha mínima compatíveis com a política aprovada.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Atualização proposta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Informação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Cadência inicial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Regra para usar em decisão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Cadastro empresarial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Cada publicação da fonte, com rotina mensal como referência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Mostrar data do snapshot e reconciliar diferenças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Atividade e portfólio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Trimestral na coorte; sob demanda no restante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Rever antes de uma abordagem relevante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Notícias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Dias úteis para contas ativas; semanal para setor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Registrar evento e publicação separadamente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financeiros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 cada nova divulgação ou exportação autorizada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Preservar exercício, período e perímetro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No início da análise e antes de circular versão final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Data de mercado explícita e revisão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Precedentes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Atualização mensal e antes de concluir pesquisa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Distinguir anúncio, fechamento e cancelamento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Conexões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Confirmação semestral como hipótese e antes de introdução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 vontade do titular prevalece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CRM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Após interação, preferencialmente em até um dia útil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Evento comprovado e próxima ação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Essas frequências são propostas de serviço, sujeitas à disponibilidade das fontes e ao custo. Se a atualização falhar, o sistema mantém o dado anterior com seu corte e sinaliza a defasagem. Não exibir a data de uma nova consulta como se fosse a data do dado financeiro.</w:t>
      </w:r>
    </w:p>
    <w:p>
      <w:pPr>
        <w:pStyle w:val="Heading1"/>
        <w:keepNext/>
        <w:keepLines/>
      </w:pPr>
      <w:bookmarkStart w:id="114" w:name="ghtsection14"/>
      <w:r>
        <w:rPr>
          <w:rFonts w:ascii="Helvetica Neue" w:hAnsi="Helvetica Neue" w:eastAsia="Helvetica Neue" w:cs="Helvetica Neue"/>
        </w:rPr>
        <w:t xml:space="preserve">14 Implantação em 16 semanas</w:t>
      </w:r>
      <w:bookmarkEnd w:id="114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Premissas de capacidade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plano pressupõe um sócio patrocinador com cerca de duas horas semanais para decisões, um responsável de produto ou operação por quatro a seis horas semanais, um analista dedicado ao piloto, dois originadores com blocos regulares de agenda e capacidade técnica combinando aplicação, dados e IA. Como referência de esforço, considerar dois profissionais técnicos equivalentes em tempo integral durante a construção, com participação pontual de segurança e privacidade. Esses papéis não representam contratações ou disponibilidade já confirmadas.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Com uma única pessoa técnica ou um analista dividido entre muitos mandatos, reduzir o escopo simultâneo e reestimar o prazo. A sequência de dependências é mais importante que o calendário: dados e definições precisam estar prontos antes de afirmar que o ranking ou valuation foi entregue.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Fases e pontos de decisão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9"/>
        <w:gridCol w:w="2661"/>
        <w:gridCol w:w="2661"/>
        <w:gridCol w:w="2019"/>
      </w:tblGrid>
      <w:tr w14:paraId="76270B64" w14:textId="77777777">
        <w:trPr>
          <w:tblHeader/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Fase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Janela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Entrega central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Condição para avançar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0 Diagnóstico e critérios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 1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Aderência real, tese, amostras, responsáveis e acessos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Escopo e critérios do piloto registrados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 Universo e fichas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Semanas 2 a 4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Base reconciliada e coorte enriquecida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críticos verificáveis e lacunas classificadas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 Ranking e linguagem natural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Semanas 5 a 6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Templates por papel e regras editáveis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Testes de ranking e interpretação aprovados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3 Rede e rotina comercial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Semanas 7 a 8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Conexões confirmadas e CRM operacional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Agenda ativa, permissões e histórico confiáveis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4 Análises e matchmaking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Semanas 9 a 12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Valuation, report, notícias e listas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Reconciliação de dados e revisão do negócio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5 Integração e adoção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Semanas 13 a 16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Fluxo completo, treinamento e monitoramento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Critérios de qualidade e continuidade atendidos</w:t>
            </w:r>
          </w:p>
        </w:tc>
      </w:tr>
      <w:tr w14:paraId="0CB6626E" w14:textId="77777777">
        <w:trPr>
          <w:cantSplit/>
        </w:trPr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6 Validação econômica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Até 180 dias</w:t>
            </w:r>
          </w:p>
        </w:tc>
        <w:tc>
          <w:tcPr>
            <w:tcW w:w="26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Revisão de conversões e custos por coorte</w:t>
            </w:r>
          </w:p>
        </w:tc>
        <w:tc>
          <w:tcPr>
            <w:tcW w:w="20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Decisão de escala, ajuste ou suspensão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Uma rotina comercial manual assistida pode começar na fase 1 assim que houver fichas revisadas e um registro de atividades disponível. Não é preciso esperar todo o produto ficar pronto para aprender com conversas; cada contato precisa, entretanto, cumprir o controle de acesso, a revisão e a responsabilidade comercial.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Primeiros dez dias úteis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 1: designar patrocinador e dono do produto; confirmar piloto, lados comerciais e equipe disponível.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Dias 2 e 3: percorrer o fluxo atual com um analista e um originador; registrar tempos, retrabalhos, CRM em uso e fontes contratadas.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Dias 3 e 4: conferir os módulos existentes com cenários reais; separar disponível, parcial, não integrado e não demonstrado.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Dias 4 e 5: selecionar amostras de exportação, modelos de report e material autorizado da rede; definir o catálogo de fontes e permissões.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Dias 5 a 7: ratificar a taxonomia e construir o conjunto de referência para classificação e ranking.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Dias 7 a 9: resolver identidade e produzir as primeiras fichas revisadas, com fila de dados faltantes.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Dia 10: revisar o primeiro lote, ajustar critérios e definir contas, responsáveis e datas do primeiro ciclo de abordagem.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Backlog com entregas verificáveis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P0 significa condição para operar o piloto com dados confiáveis; P1 completa o escopo do documento; P2 amplia eficiência e escala. As estimativas de fase pressupõem reaproveitamento do que for validado na aplicação atual.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3"/>
        <w:gridCol w:w="952"/>
        <w:gridCol w:w="3807"/>
        <w:gridCol w:w="1666"/>
        <w:gridCol w:w="2142"/>
      </w:tblGrid>
      <w:tr w14:paraId="76270B64" w14:textId="77777777">
        <w:trPr>
          <w:tblHeader/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ID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Prio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Entrega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Dono funcional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Dependência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B01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Diagnóstico demonstrado por requisito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Acesso ao ambiente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B02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Tese e taxonomia ratificadas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 e 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B01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B03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Catálogo de fontes e direitos de uso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 e privacidade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Amostras e contratos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B04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Importação com reconciliação e histórico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B03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B05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Identidade empresa filial e grupo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e 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B04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B06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Classificação econômica e evidências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B02 e B05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B07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Enriquecimento de porte e controle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B06 e fontes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B08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Ficha e estados de qualidade por campo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B05 a B07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B09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Amostra de referência por papel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B08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B10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Ranking cobertura e explicações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 e 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B09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B11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Prompt para regra com prévia e validação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 e 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B10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B12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Templates e comparação de versões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B10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B13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 autorizada e confirmação de vínculos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Donos das relações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B03 e B05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B14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CRM agenda responsáveis e motivos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Operação comercial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Modelo de funil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B15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Plano de abordagem e revisão de contas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Originadores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B08 e B14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B16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Importação validada de comps e precedentes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 e revisor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Arquivos Capital IQ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B17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Ranking de subsegmentos com dados reais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B06 e B16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B18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News run por evento e período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 e dados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B03 e B05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B19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Report com metodologia e fontes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Analista e revisor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B16 a B18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B20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Matchmaking com critérios de mandato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Sócio e analista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B10 e perfil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B21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Chat Excel e PDF consistentes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B10 e B16 a B20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B22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Permissões ponta a ponta e auditoria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Tecnologia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Matriz de acesso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B23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Backup recuperação e suporte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Tecnologia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Ambiente operacional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B24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Painel de qualidade custo e conversão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 e gestão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B14 e eventos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B25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Homologação completa e treinamento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 e usuários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B01 a B24</w:t>
            </w:r>
          </w:p>
        </w:tc>
      </w:tr>
      <w:tr w14:paraId="0CB6626E" w14:textId="77777777">
        <w:trPr>
          <w:cantSplit/>
        </w:trPr>
        <w:tc>
          <w:tcPr>
            <w:tcW w:w="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B26</w:t>
            </w:r>
          </w:p>
        </w:tc>
        <w:tc>
          <w:tcPr>
            <w:tcW w:w="9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P2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Sincronizações e escala adicionais</w:t>
            </w:r>
          </w:p>
        </w:tc>
        <w:tc>
          <w:tcPr>
            <w:tcW w:w="1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Produto</w:t>
            </w:r>
          </w:p>
        </w:tc>
        <w:tc>
          <w:tcPr>
            <w:tcW w:w="21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Evidência do piloto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B22 e B23 devem acompanhar todas as fases, com profundidade proporcional à implantação; não ficam para depois do uso de dados confidenciais. B16 pode exigir trabalho de preparação já na primeira semana, mesmo que o módulo seja entregue mais adiante.</w:t>
      </w:r>
    </w:p>
    <w:p>
      <w:pPr>
        <w:pStyle w:val="Heading1"/>
        <w:keepNext/>
        <w:keepLines/>
      </w:pPr>
      <w:bookmarkStart w:id="115" w:name="ghtsection15"/>
      <w:r>
        <w:rPr>
          <w:rFonts w:ascii="Helvetica Neue" w:hAnsi="Helvetica Neue" w:eastAsia="Helvetica Neue" w:cs="Helvetica Neue"/>
        </w:rPr>
        <w:t xml:space="preserve">15 Critérios de sucesso e economia</w:t>
      </w:r>
      <w:bookmarkEnd w:id="115"/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Medidas de qualidade e adoção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Os valores abaixo são metas iniciais propostas. A medição da primeira semana fornece o baseline real, hoje não estabelecido neste plano. Os sócios devem aprovar ou ajustar limites antes de utilizá-los como critério contratual de aceite.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Medida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Definição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Meta inicial proposta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Identidade correta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Entidades corretamente resolvidas / entidades auditadas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Ao menos 95%; nenhum erro crítico na lista de abordagem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Precisão da seleção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Contas consideradas aderentes / contas do top 20 por papel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Ao menos 80%, com julgamento registrado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Rastreabilidade crítica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Afirmações críticas com evidência / afirmações críticas usadas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100% nos outputs aprovados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Cobertura para 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Peso conhecido / peso total da regra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Ao menos 70% e critérios obrigatórios resolvidos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Interpretação de prompts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Regras semanticamente corretas / conjunto de testes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Ao menos 90%; nenhuma violação de filtro obrigatório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Valuation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Reconciliação dos campos críticos auditados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100%, respeitado arredondamento previamente definido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Registro comercial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Oportunidades ativas com dono e próxima ação / ativas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center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100%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Tempo de dossiê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Mediana do tempo até ficha revisada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Redução de 30% ante baseline, sem perda de qualidade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Uso pelo time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Usuários previstos com atividade útil semanal / previstos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Ao menos 80% durante quatro semanas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Permissões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Vazamentos em cenários de acesso indevido testados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Zero nos testes de liberação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Testes devem incluir número e descrição dos casos. Zero falhas numa amostra não prova ausência de vulnerabilidades. Priorizar cenários de impacto: vazamento entre mandatos, conexão revelada sem permissão, múltiplo incorreto, empresa errada e contato após bloqueio.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Indicadores comerciais por lado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Medir contas únicas abordadas, apresentações solicitadas e realizadas, respostas substantivas, conversas realizadas, oportunidades qualificadas, propostas enviadas, mandatos assinados, tempo por etapa, motivos de perda e horas investidas. Usar oportunidades, não mensagens, como unidade do funil; separar empresas e pessoas para evitar dupla contagem.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Conversão de abordagem para conversa = contas com conversa realizada / contas abordadas da mesma coorte. Conversão de conversa para proposta = oportunidades com proposta enviada / oportunidades com conversa realizada. Conversão de proposta para mandato = mandatos assinados / propostas enviadas. Comparar apenas coortes com tempo suficiente de observação, e mostrar oportunidades ainda abertas.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painel distingue canal de origem, influência posterior de uma conexão e responsável atual. Comparar compra e venda separadamente. Mandatos recorrentes de compradores não devem distorcer a análise de quantas contas novas foram conquistadas.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Capacidade e orçamento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orçamento deve separar implantação, esforço interno e operação recorrente. A proposta de capacidade técnica corresponde, ilustrativamente, a 2 profissionais × 16 semanas × 40 horas = 1.280 horas. Aplicar a taxa efetivamente cotada; somar analista, produto, revisores, treinamento e serviços pontuais. Essa conta dimensiona esforço, não estima preço de mercado.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Custo recorrente = infraestrutura + consumo de IA + armazenamento + manutenção + licenças incrementais + horas de operação. Registrar também os custos totais das assinaturas quando forem avaliadas alternativas de solução. Contratos já existentes podem não aumentar o caixa do piloto, mas continuam relevantes para o custo total de propriedade.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Uma avaliação econômica conservadora usa duas linhas separadas. Benefício de produtividade = horas efetivamente poupadas × custo ou valor da capacidade reaproveitada. Benefício comercial = margem de contribuição incremental de mandatos atribuível ao processo. Não contar a mesma hora poupada simultaneamente como redução de folha e capacidade comercial adicional sem demonstrar o efeito.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Para estimar receita de um mandato, separar remuneração fixa efetivamente contratada, honorários de sucesso condicionados à conclusão e despesas reembolsáveis. O valor de uma transação potencial não é receita da boutique, e pipeline ponderado não é caixa. Probabilidades de fechamento devem ser calibradas por histórico e etapa, com cenários quando não houver histórico suficiente.</w:t>
      </w: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Decisões de continuidade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Na semana 4, avançar se o piloto produz fichas confiáveis e o time consegue utilizá-las para selecionar contas; caso contrário, corrigir fonte, taxonomia ou esforço de enriquecimento. Na semana 8, revisar qualidade da lista e execução da agenda. Na semana 16, decidir sobre operação regular com evidência de qualidade, adoção, custo e segurança. Até 180 dias, revisar conversões, mandatos e viabilidade econômica sem exigir que todas as transações já tenham sido concluídas.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Ampliar para outro subsegmento só quando o processo atual puder ser reproduzido por mais de um analista, os outputs forem auditáveis e o custo de atualização for conhecido. Suspender expansão se falta de dados, baixa aderência das listas ou ausência de execução comercial impedir avaliação do resultado.</w:t>
      </w:r>
    </w:p>
    <w:p>
      <w:pPr>
        <w:pStyle w:val="Heading1"/>
        <w:keepNext/>
        <w:keepLines/>
      </w:pPr>
      <w:bookmarkStart w:id="116" w:name="ghtsection16"/>
      <w:r>
        <w:rPr>
          <w:rFonts w:ascii="Helvetica Neue" w:hAnsi="Helvetica Neue" w:eastAsia="Helvetica Neue" w:cs="Helvetica Neue"/>
        </w:rPr>
        <w:t xml:space="preserve">16 Riscos e decisões ainda necessárias</w:t>
      </w:r>
      <w:bookmarkEnd w:id="116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Risco concreto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Sinal de alerta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Resposta prevista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privados insuficientes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Porte e controle faltam na maioria da coorte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Testar cobertura dos fornecedores e enriquecer seletivamente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Ranking reflete preferências frágeis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Mudanças pequenas alteram todo o topo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Calibrar, mostrar contribuições e testar sensibilidade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Viés de empresas conhecidas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Rede domina e oportunidades novas somem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Reservar amostra exploratória e medir por canal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Falta de uso comercial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Boas listas não viram tarefas ou conversas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Responsável, agenda e revisão semanal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Compartilhamento indevido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Dados aparecem fora do mandato ou finalidade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Permissões no servidor, testes e trilha de exportação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Licença incompatível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Exportação ou uso em IA não permitido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Adequar método e contrato; usar fontes autorizadas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Dependência de uma pessoa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Conhecimento e CRM ficam locais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Procedimentos, dados compartilhados e substituição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Escopo excessivo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Relatórios sofisticados atrasam aprendizado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Proteger a sequência do piloto e critérios de fase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Conflito de interesses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Comprador e vendedor disputam uso da informação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Revisão pelos sócios antes do contato ou mandato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Perguntas para a reunião de abertura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O foco setorial e o equilíbrio entre compra e venda já estão definidos. Restam decisões que refinam a execução: faixa de receita e valor de transação desejados; regiões e aplicações prioritárias; aceitação de situações especiais; equipe disponível; CRM e agenda usados hoje; acessos e direitos efetivos de EMIS e Capital IQ; material da rede autorizado; responsabilidade por privacidade e manutenção; teto de investimento e economia mínima de um mandato.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Também será necessário definir como os sócios avaliarão uma boa oportunidade: urgência, alinhamento acionário, capacidade de contratar, tamanho, margem potencial do mandato ou valor estratégico da relação. Essas escolhas serão registradas em templates e critérios de aceite. Não impedem o planejamento, mas influenciam a calibragem e a contratação da implementação.</w:t>
      </w:r>
    </w:p>
    <w:p>
      <w:pPr>
        <w:pStyle w:val="Heading1"/>
        <w:keepNext/>
        <w:keepLines/>
      </w:pPr>
      <w:bookmarkStart w:id="117" w:name="ghtsection17"/>
      <w:r>
        <w:rPr>
          <w:rFonts w:ascii="Helvetica Neue" w:hAnsi="Helvetica Neue" w:eastAsia="Helvetica Neue" w:cs="Helvetica Neue"/>
        </w:rPr>
        <w:t xml:space="preserve">17 Matriz de rastreabilidade dos requisitos</w:t>
      </w:r>
      <w:bookmarkEnd w:id="117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Esta matriz permite verificar cobertura sem usar a existência de uma tela como evidência de entrega. Cada requisito deve ser demonstrado com dados autorizados, resultado reproduzível e avaliação de um usuário do negócio.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3483"/>
        <w:gridCol w:w="3483"/>
      </w:tblGrid>
      <w:tr w14:paraId="76270B64" w14:textId="77777777">
        <w:trPr>
          <w:tblHeader/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Documento original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Adaptação neste planejamento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1207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b/>
                <w:sz w:val="20"/>
                <w:szCs w:val="20"/>
                <w:rFonts w:ascii="Helvetica Neue" w:hAnsi="Helvetica Neue"/>
                <w:color w:val="FFFFFF"/>
              </w:rPr>
              <w:t xml:space="preserve">Evidência de aceite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 Contexto e objetivo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1 a 4 e 15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Funis por lado e objetivo mensurável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2 Mapeamento de mercado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5 e 6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Taxonomia, empresas únicas, cobertura e lacunas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3 Ranking de subsegmentos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7 e 9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Critérios do documento, pesos e fontes por indicador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4.1 Critérios base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5 a 7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Atividade, porte, estrutura e conexão verificáveis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4.2 Critérios ad hoc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7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Prompt convertido em regra visível e testada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4.3 Templates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7 e 14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Salvar, reutilizar e comparar versões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5 Rede do grupo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8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Caminhos confirmados e acesso por finalidade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6.1 Valuation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9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Export real reconciliado e ajustes auditáveis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6.2 Report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5 e 9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Trends, TAM SAM SOM, players, Porter, SWOT e PESTLE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6.3 News run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9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Período configurável, deduplicação e eventos datados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7 Compradores e vendedores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10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Listas por mandato, regras próprias e revisão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8 CRM e pipeline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4 e 11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Agenda, calls, recusas, propostas e assinatura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9 Formatos de saída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12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Chat, matriz Excel, valuation e PDF conferidos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10 Fontes de dados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6 e 13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Catálogo, direito de uso, fonte e data por fato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11 Atualização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13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Cadências, histórico e falhas visíveis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12 Configurabilidade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Seção 7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Filtros e pesos sem reprogramação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12 Revisão humana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7 a 11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Correção com escopo, autor e versão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12 Integração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6 e 10 a 13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2F5FA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Mesma empresa e evidência ao longo do fluxo</w:t>
            </w:r>
          </w:p>
        </w:tc>
      </w:tr>
      <w:tr w14:paraId="0CB6626E" w14:textId="77777777">
        <w:trPr>
          <w:cantSplit/>
        </w:trPr>
        <w:tc>
          <w:tcPr>
            <w:tcW w:w="23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12 Confidencialidade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Seções 8 e 13</w:t>
            </w:r>
          </w:p>
        </w:tc>
        <w:tc>
          <w:tcPr>
            <w:tcW w:w="34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shd w:val="clear" w:fill="FFFFFF"/>
          </w:tcPr>
          <w:p>
            <w:pPr>
              <w:spacing w:after="35" w:before="35" w:line="240" w:lineRule="auto"/>
              <w:jc w:val="left"/>
            </w:pPr>
            <w:r>
              <w:rPr>
                <w:rFonts w:ascii="Helvetica Neue" w:hAnsi="Helvetica Neue" w:eastAsia="Helvetica Neue" w:cs="Helvetica Neue"/>
                <w:sz w:val="20"/>
                <w:szCs w:val="20"/>
                <w:rFonts w:ascii="Helvetica Neue" w:hAnsi="Helvetica Neue"/>
                <w:color w:val="000000"/>
              </w:rPr>
              <w:t xml:space="preserve">Testes de acesso em tela, busca, IA e exportação</w:t>
            </w:r>
          </w:p>
        </w:tc>
      </w:tr>
    </w:tbl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  <w:spacing w:after="35" w:line="60" w:lineRule="exact"/>
      </w:pPr>
    </w:p>
    <w:p>
      <w:pPr>
        <w:pStyle w:val="Heading2"/>
        <w:keepNext/>
        <w:keepLines/>
      </w:pPr>
      <w:r>
        <w:rPr>
          <w:rFonts w:ascii="Helvetica Neue" w:hAnsi="Helvetica Neue" w:eastAsia="Helvetica Neue" w:cs="Helvetica Neue"/>
        </w:rPr>
        <w:t xml:space="preserve">Cenário completo de homologação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Um analista seleciona distribuição de ingredientes, importa dados autorizados, resolve duplicidades e delimita o subsegmento. Pede um ranking de potenciais vendedores com foco em diversificação e acesso pela rede, revisa a interpretação e obtém lista com cobertura e evidências. O titular confirma uma conexão; o originador conduz o contato e registra a conversa e seus próximos passos.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Em paralelo, outro originador qualifica uma conta compradora com interesse em ampliar aplicações no Brasil, registra tese e processo decisório e prepara uma proposta buy-side. A mesma base permite gerar uma lista de alvos sob critérios desse comprador, sem expor os dados da oportunidade sell-side nem misturar responsabilidades comerciais.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Após um mandato ser formalizado, o time reutiliza as informações permitidas, gera comps e precedentes revisados, um report de mercado e uma lista de contrapartes. O Excel e o PDF correspondem ao resultado do chat. Um revisor consegue voltar de uma conclusão à fonte e reconstruir a análise. Um usuário de outro mandato não consegue acessar os documentos ou conexões restritos.</w:t>
      </w:r>
    </w:p>
    <w:p>
      <w:pPr>
        <w:pStyle w:val="Heading1"/>
        <w:keepNext/>
        <w:keepLines/>
      </w:pPr>
      <w:bookmarkStart w:id="118" w:name="ghtsection18"/>
      <w:r>
        <w:rPr>
          <w:rFonts w:ascii="Helvetica Neue" w:hAnsi="Helvetica Neue" w:eastAsia="Helvetica Neue" w:cs="Helvetica Neue"/>
        </w:rPr>
        <w:t xml:space="preserve">18 Fontes e referências</w:t>
      </w:r>
      <w:bookmarkEnd w:id="118"/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</w:rPr>
        <w:t xml:space="preserve">As datas de acesso das fontes públicas correspondem a 10 de setembro de 2026. Datas de publicação e período das informações são mantidos separadamente. Anúncios históricos foram usados para identificar critérios de mercado; nenhuma referência, isoladamente, comprova interesse atual de um comprador ou disponibilidade de um vendedor. Pesos, metas, cadências, volumes e prazos identificados como propostas são recomendações deste planejamento.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1. GHT4 Advisory. </w:t>
      </w:r>
      <w:r>
        <w:rPr>
          <w:rFonts w:ascii="Helvetica Neue" w:hAnsi="Helvetica Neue" w:eastAsia="Helvetica Neue" w:cs="Helvetica Neue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</w:rPr>
        <w:t xml:space="preserve">. Documento de Requisitos v1.0, sem data explícita. Arquivo interno Requisitos - Ferramenta de IA GHT4 (1).docx, seções 1 a 12, fornecido para este planejamento.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2. GHT4. </w:t>
      </w:r>
      <w:hyperlink r:id="rIdGHTLink13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GHT4 Advisory</w:t>
        </w:r>
      </w:hyperlink>
      <w:r>
        <w:rPr>
          <w:rFonts w:ascii="Helvetica Neue" w:hAnsi="Helvetica Neue" w:eastAsia="Helvetica Neue" w:cs="Helvetica Neue"/>
        </w:rPr>
        <w:t xml:space="preserve">. Sem data de publicação. Posicionamento institucional, serviços e experiência divulgada.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3. McKinsey &amp; Company. </w:t>
      </w:r>
      <w:hyperlink r:id="rIdGHTLink14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Five steps to strengthen M&amp;A capabilities, no matter the starting point</w:t>
        </w:r>
      </w:hyperlink>
      <w:r>
        <w:rPr>
          <w:rFonts w:ascii="Helvetica Neue" w:hAnsi="Helvetica Neue" w:eastAsia="Helvetica Neue" w:cs="Helvetica Neue"/>
        </w:rPr>
        <w:t xml:space="preserve">. 13 fevereiro 2026. Originação antecipada, tese e cultivo de relações; pesquisa com adquirentes programáticos.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4. McKinsey &amp; Company. </w:t>
      </w:r>
      <w:hyperlink r:id="rIdGHTLink15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Gen AI in M&amp;A From theory to practice to high performance</w:t>
        </w:r>
      </w:hyperlink>
      <w:r>
        <w:rPr>
          <w:rFonts w:ascii="Helvetica Neue" w:hAnsi="Helvetica Neue" w:eastAsia="Helvetica Neue" w:cs="Helvetica Neue"/>
        </w:rPr>
        <w:t xml:space="preserve">. 14 janeiro 2026. Identificação de alvos, formalização de critérios e adoção de IA.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5. Deloitte. </w:t>
      </w:r>
      <w:hyperlink r:id="rIdGHTLink16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New Deloitte Survey 86% of Corporate and Private Equity Leaders Now Use Generative AI</w:t>
        </w:r>
      </w:hyperlink>
      <w:r>
        <w:rPr>
          <w:rFonts w:ascii="Helvetica Neue" w:hAnsi="Helvetica Neue" w:eastAsia="Helvetica Neue" w:cs="Helvetica Neue"/>
        </w:rPr>
        <w:t xml:space="preserve">. 9 outubro 2025. Pesquisa com 1.000 líderes nos Estados Unidos, realizada no primeiro semestre de 2025; não é benchmark para a GHT4.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6. Datasite. </w:t>
      </w:r>
      <w:hyperlink r:id="rIdGHTLink17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How AI is making M&amp;A more human</w:t>
        </w:r>
      </w:hyperlink>
      <w:r>
        <w:rPr>
          <w:rFonts w:ascii="Helvetica Neue" w:hAnsi="Helvetica Neue" w:eastAsia="Helvetica Neue" w:cs="Helvetica Neue"/>
        </w:rPr>
        <w:t xml:space="preserve">. 29 julho 2026. Divulgação de pesquisa Datasite e FT Longitude; publicação de fornecedor, com limitações de generalização.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7. Brenntag. </w:t>
      </w:r>
      <w:hyperlink r:id="rIdGHTLink18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Brenntag adquire PIC e PharmaSpecial no Brasil</w:t>
        </w:r>
      </w:hyperlink>
      <w:r>
        <w:rPr>
          <w:rFonts w:ascii="Helvetica Neue" w:hAnsi="Helvetica Neue" w:eastAsia="Helvetica Neue" w:cs="Helvetica Neue"/>
        </w:rPr>
        <w:t xml:space="preserve">. 19 agosto 2024. Comunicado de anúncio, racional setorial e condições de fechamento; preço não divulgado.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8. Azelis. </w:t>
      </w:r>
      <w:hyperlink r:id="rIdGHTLink19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Azelis expands its Latin American presence with the acquisition of Vogler in Brazil</w:t>
        </w:r>
      </w:hyperlink>
      <w:r>
        <w:rPr>
          <w:rFonts w:ascii="Helvetica Neue" w:hAnsi="Helvetica Neue" w:eastAsia="Helvetica Neue" w:cs="Helvetica Neue"/>
        </w:rPr>
        <w:t xml:space="preserve">. 12 abril 2023. Anúncio de aquisição majoritária e descrição de portfólio e competências.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9. Azelis. </w:t>
      </w:r>
      <w:hyperlink r:id="rIdGHTLink20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FY2023 results Azelis delivers record free cash flow</w:t>
        </w:r>
      </w:hyperlink>
      <w:r>
        <w:rPr>
          <w:rFonts w:ascii="Helvetica Neue" w:hAnsi="Helvetica Neue" w:eastAsia="Helvetica Neue" w:cs="Helvetica Neue"/>
        </w:rPr>
        <w:t xml:space="preserve">. Resultados de 2023, divulgados em 2024. Registra fechamento da aquisição de Vogler em junho de 2023.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10. Univar Solutions. </w:t>
      </w:r>
      <w:hyperlink r:id="rIdGHTLink21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Univar Solutions Acquires Leading Distributor Sweetmix to Expand Food Ingredients and CASE Portfolio in Brazil</w:t>
        </w:r>
      </w:hyperlink>
      <w:r>
        <w:rPr>
          <w:rFonts w:ascii="Helvetica Neue" w:hAnsi="Helvetica Neue" w:eastAsia="Helvetica Neue" w:cs="Helvetica Neue"/>
        </w:rPr>
        <w:t xml:space="preserve">. 1 dezembro 2021. Referência histórica de aquisição, fora da janela recente de três anos.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11. ASSOCIQUIM e SINCOQUIM. </w:t>
      </w:r>
      <w:hyperlink r:id="rIdGHTLink22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Perfil do Setor</w:t>
        </w:r>
      </w:hyperlink>
      <w:r>
        <w:rPr>
          <w:rFonts w:ascii="Helvetica Neue" w:hAnsi="Helvetica Neue" w:eastAsia="Helvetica Neue" w:cs="Helvetica Neue"/>
        </w:rPr>
        <w:t xml:space="preserve">. Sem data de publicação; página remete ao Perfil 2024. Informação sobre a origem dos dados em associados; não foi usado valor de mercado de relatório restrito.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12. Receita Federal. </w:t>
      </w:r>
      <w:hyperlink r:id="rIdGHTLink23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Novo Layout para os Dados Abertos do CNPJ</w:t>
        </w:r>
      </w:hyperlink>
      <w:r>
        <w:rPr>
          <w:rFonts w:ascii="Helvetica Neue" w:hAnsi="Helvetica Neue" w:eastAsia="Helvetica Neue" w:cs="Helvetica Neue"/>
        </w:rPr>
        <w:t xml:space="preserve">. Documento de metadados sem data explícita, páginas 1 a 6. Campos cadastrais, capital social e categorias de porte; verificar layout atual na implementação.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13. Receita Federal. </w:t>
      </w:r>
      <w:hyperlink r:id="rIdGHTLink24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Receita Federal gera o primeiro CNPJ em formato alfanumérico</w:t>
        </w:r>
      </w:hyperlink>
      <w:r>
        <w:rPr>
          <w:rFonts w:ascii="Helvetica Neue" w:hAnsi="Helvetica Neue" w:eastAsia="Helvetica Neue" w:cs="Helvetica Neue"/>
        </w:rPr>
        <w:t xml:space="preserve">. 31 julho 2026. Necessidade de compatibilidade dos identificadores e validadores com letras e números.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14. IBAMA. </w:t>
      </w:r>
      <w:hyperlink r:id="rIdGHTLink25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Relatório de Atividades Potencialmente Poluidoras e Utilizadoras de Recursos Ambientais RAPP</w:t>
        </w:r>
      </w:hyperlink>
      <w:r>
        <w:rPr>
          <w:rFonts w:ascii="Helvetica Neue" w:hAnsi="Helvetica Neue" w:eastAsia="Helvetica Neue" w:cs="Helvetica Neue"/>
        </w:rPr>
        <w:t xml:space="preserve">. Página de serviço, sem data relevante explicitada. Finalidade de informação para controle e fiscalização e origem declaratória do cadastro de atividades.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15. S&amp;P Global Market Intelligence. </w:t>
      </w:r>
      <w:hyperlink r:id="rIdGHTLink26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S&amp;P Capital IQ Pro</w:t>
        </w:r>
      </w:hyperlink>
      <w:r>
        <w:rPr>
          <w:rFonts w:ascii="Helvetica Neue" w:hAnsi="Helvetica Neue" w:eastAsia="Helvetica Neue" w:cs="Helvetica Neue"/>
        </w:rPr>
        <w:t xml:space="preserve">. Página de produto, sem data de publicação. Capacidades declaradas de dados e screening; funcionalidades e direitos da conta da GHT4 dependem do contrato.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16. EMIS. </w:t>
      </w:r>
      <w:hyperlink r:id="rIdGHTLink27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M&amp;A Deals</w:t>
        </w:r>
      </w:hyperlink>
      <w:r>
        <w:rPr>
          <w:rFonts w:ascii="Helvetica Neue" w:hAnsi="Helvetica Neue" w:eastAsia="Helvetica Neue" w:cs="Helvetica Neue"/>
        </w:rPr>
        <w:t xml:space="preserve">. Página de produto, sem data de publicação. Dados de DealWatch e entrega em Excel; não se presume contratação ou licença específica.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17. Aswath Damodaran, NYU Stern. </w:t>
      </w:r>
      <w:hyperlink r:id="rIdGHTLink28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Operating leases and valuation</w:t>
        </w:r>
      </w:hyperlink>
      <w:r>
        <w:rPr>
          <w:rFonts w:ascii="Helvetica Neue" w:hAnsi="Helvetica Neue" w:eastAsia="Helvetica Neue" w:cs="Helvetica Neue"/>
        </w:rPr>
        <w:t xml:space="preserve">. Material metodológico sem data explícita na página. Consistência no tratamento de arrendamentos e efeitos sobre múltiplos de firma.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18. LinkedIn. </w:t>
      </w:r>
      <w:hyperlink r:id="rIdGHTLink29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User Agreement</w:t>
        </w:r>
      </w:hyperlink>
      <w:r>
        <w:rPr>
          <w:rFonts w:ascii="Helvetica Neue" w:hAnsi="Helvetica Neue" w:eastAsia="Helvetica Neue" w:cs="Helvetica Neue"/>
        </w:rPr>
        <w:t xml:space="preserve">. Termos consultados em 10 setembro 2026. Seção 8.2 sobre scraping e métodos automatizados não autorizados; rever versão vigente antes de integração.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19. Affinity. </w:t>
      </w:r>
      <w:hyperlink r:id="rIdGHTLink30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Investment Banking CRM and Deal Management Software</w:t>
        </w:r>
      </w:hyperlink>
      <w:r>
        <w:rPr>
          <w:rFonts w:ascii="Helvetica Neue" w:hAnsi="Helvetica Neue" w:eastAsia="Helvetica Neue" w:cs="Helvetica Neue"/>
        </w:rPr>
        <w:t xml:space="preserve">. Página de produto, sem data de publicação. Referência funcional de CRM e relacionamento; material comercial, sem validação independente de desempenho.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20. Intapp. </w:t>
      </w:r>
      <w:hyperlink r:id="rIdGHTLink31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Deal and relationship management for investment banking</w:t>
        </w:r>
      </w:hyperlink>
      <w:r>
        <w:rPr>
          <w:rFonts w:ascii="Helvetica Neue" w:hAnsi="Helvetica Neue" w:eastAsia="Helvetica Neue" w:cs="Helvetica Neue"/>
        </w:rPr>
        <w:t xml:space="preserve">. Página de produto, sem data de publicação. Referência funcional de DealCloud; contratação, preço e aderência dependem de avaliação própria.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21. GHT4, materiais do projeto. </w:t>
      </w:r>
      <w:r>
        <w:rPr>
          <w:rFonts w:ascii="Helvetica Neue" w:hAnsi="Helvetica Neue" w:eastAsia="Helvetica Neue" w:cs="Helvetica Neue"/>
        </w:rPr>
        <w:t xml:space="preserve">Planos e código locais de prospecção</w:t>
      </w:r>
      <w:r>
        <w:rPr>
          <w:rFonts w:ascii="Helvetica Neue" w:hAnsi="Helvetica Neue" w:eastAsia="Helvetica Neue" w:cs="Helvetica Neue"/>
        </w:rPr>
        <w:t xml:space="preserve">. Planos de agosto de 2026; diretório inspecionado em 10 setembro 2026. Pasta C:/Users/Leonardo/GHT4/GHT4: PLANO-CLAUDE-CODE-AGENTE-PROSPECCAO.md; ADENDO-CLAUDE-CODE-BASE-MESTRE-DADOS.md; docs/architecture/current-state.md; packages/domain; server/src e tests. Inspeção documental e de arquivos, sem homologação funcional de produção.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22. ANPD. </w:t>
      </w:r>
      <w:hyperlink r:id="rIdGHTLink32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ANPD lança Guia Orientativo sobre Legítimo Interesse</w:t>
        </w:r>
      </w:hyperlink>
      <w:r>
        <w:rPr>
          <w:rFonts w:ascii="Helvetica Neue" w:hAnsi="Helvetica Neue" w:eastAsia="Helvetica Neue" w:cs="Helvetica Neue"/>
        </w:rPr>
        <w:t xml:space="preserve">. 2 fevereiro 2024. Finalidade, necessidade, balanceamento e salvaguardas; base para tarefas de governança, não parecer jurídico individual.</w:t>
      </w:r>
    </w:p>
    <w:p>
      <w:pPr>
        <w:spacing w:after="120" w:line="276" w:lineRule="auto"/>
        <w:jc w:val="both"/>
        <w:rPr>
          <w:rFonts w:ascii="Helvetica Neue" w:eastAsia="Helvetica Neue" w:hAnsi="Helvetica Neue" w:cs="Helvetica Neue"/>
        </w:rPr>
      </w:pPr>
      <w:r>
        <w:rPr>
          <w:rFonts w:ascii="Helvetica Neue" w:hAnsi="Helvetica Neue" w:eastAsia="Helvetica Neue" w:cs="Helvetica Neue"/>
          <w:b/>
        </w:rPr>
        <w:t xml:space="preserve">23. ANPD. </w:t>
      </w:r>
      <w:hyperlink r:id="rIdGHTLink33">
        <w:r>
          <w:rPr>
            <w:rFonts w:ascii="Helvetica Neue" w:hAnsi="Helvetica Neue" w:eastAsia="Helvetica Neue" w:cs="Helvetica Neue"/>
            <w:sz w:val="22"/>
            <w:szCs w:val="22"/>
            <w:color w:val="112075"/>
            <w:u w:val="single"/>
          </w:rPr>
          <w:t xml:space="preserve">Resolução CD/ANPD 19 de 23 de agosto de 2024</w:t>
        </w:r>
      </w:hyperlink>
      <w:r>
        <w:rPr>
          <w:rFonts w:ascii="Helvetica Neue" w:hAnsi="Helvetica Neue" w:eastAsia="Helvetica Neue" w:cs="Helvetica Neue"/>
        </w:rPr>
        <w:t xml:space="preserve">. 23 agosto 2024; página consolidada consultada em 10 setembro 2026. Regulamento de transferência internacional e cláusulas-padrão; página informa retificação de 18 agosto 2025.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5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178A6B" w14:textId="77777777">
    <w:pPr>
      <w:pBdr>
        <w:top w:val="nil"/>
      </w:pBdr>
      <w:tabs>
        <w:tab w:val="right" w:pos="9360"/>
      </w:tabs>
      <w:rPr>
        <w:color w:val="112075"/>
      </w:rPr>
    </w:pPr>
    <w:r>
      <w:rPr>
        <w:color w:val="112075"/>
        <w:sz w:val="16"/>
        <w:szCs w:val="16"/>
      </w:rPr>
      <w:t xml:space="preserve">Confidencial  |  Uso interno  | 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PAGE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1</w:t>
    </w:r>
    <w:r>
      <w:rPr>
        <w:color w:val="112075"/>
        <w:sz w:val="16"/>
        <w:szCs w:val="16"/>
      </w:rPr>
      <w:fldChar w:fldCharType="end"/>
    </w:r>
    <w:r>
      <w:rPr>
        <w:color w:val="112075"/>
        <w:sz w:val="16"/>
        <w:szCs w:val="16"/>
      </w:rPr>
      <w:t xml:space="preserve"> de </w:t>
    </w:r>
    <w:r>
      <w:rPr>
        <w:color w:val="112075"/>
        <w:sz w:val="16"/>
        <w:szCs w:val="16"/>
      </w:rPr>
      <w:fldChar w:fldCharType="begin"/>
    </w:r>
    <w:r>
      <w:rPr>
        <w:color w:val="112075"/>
        <w:sz w:val="16"/>
        <w:szCs w:val="16"/>
      </w:rPr>
      <w:instrText>NUMPAGES</w:instrText>
    </w:r>
    <w:r>
      <w:rPr>
        <w:color w:val="112075"/>
        <w:sz w:val="16"/>
        <w:szCs w:val="16"/>
      </w:rPr>
      <w:fldChar w:fldCharType="separate"/>
    </w:r>
    <w:r>
      <w:rPr>
        <w:noProof/>
        <w:color w:val="112075"/>
        <w:sz w:val="16"/>
        <w:szCs w:val="16"/>
      </w:rPr>
      <w:t>2</w:t>
    </w:r>
    <w:r>
      <w:rPr>
        <w:color w:val="1120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  <w:footnote w:id="1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 Advisory.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Documento de Requisitos v1.0, sem data explícita.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Fonte interna; seções 1 a 12.</w:t>
      </w:r>
    </w:p>
  </w:footnote>
  <w:footnote w:id="2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McKinsey &amp; Company. </w:t>
      </w:r>
      <w:hyperlink r:id="rIdGHTLink1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Five steps to strengthen M&amp;A capabilities, no matter the starting point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13 fevereiro 2026.</w:t>
      </w:r>
    </w:p>
  </w:footnote>
  <w:footnote w:id="3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McKinsey &amp; Company. </w:t>
      </w:r>
      <w:hyperlink r:id="rIdGHTLink2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Gen AI in M&amp;A From theory to practice to high performance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14 janeiro 2026.</w:t>
      </w:r>
    </w:p>
  </w:footnote>
  <w:footnote w:id="4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Deloitte. </w:t>
      </w:r>
      <w:hyperlink r:id="rIdGHTLink3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New Deloitte Survey 86% of Corporate and Private Equity Leaders Now Use Generative AI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9 outubro 2025.</w:t>
      </w:r>
    </w:p>
  </w:footnote>
  <w:footnote w:id="5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Datasite. </w:t>
      </w:r>
      <w:hyperlink r:id="rIdGHTLink4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How AI is making M&amp;A more human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29 julho 2026.</w:t>
      </w:r>
    </w:p>
  </w:footnote>
  <w:footnote w:id="6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 Advisory.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Documento de Requisitos v1.0, sem data explícita.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Fonte interna; seções 1 a 12.</w:t>
      </w:r>
    </w:p>
  </w:footnote>
  <w:footnote w:id="7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GHT4. </w:t>
      </w:r>
      <w:hyperlink r:id="rIdGHTLink5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GHT4 Advisory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Sem data de publicação.</w:t>
      </w:r>
    </w:p>
  </w:footnote>
  <w:footnote w:id="8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GHT4, materiais do projeto.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Planos e código locais de prospecção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Planos de agosto de 2026; diretório inspecionado em 10 setembro 2026.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Planos e diretórios do projeto GHT4; detalhes na referência 21.</w:t>
      </w:r>
    </w:p>
  </w:footnote>
  <w:footnote w:id="9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Affinity. </w:t>
      </w:r>
      <w:hyperlink r:id="rIdGHTLink6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Investment Banking CRM and Deal Management Software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Página de produto, sem data de publicação.</w:t>
      </w:r>
    </w:p>
  </w:footnote>
  <w:footnote w:id="10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Intapp. </w:t>
      </w:r>
      <w:hyperlink r:id="rIdGHTLink7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Deal and relationship management for investment banking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Página de produto, sem data de publicação.</w:t>
      </w:r>
    </w:p>
  </w:footnote>
  <w:footnote w:id="11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Brenntag. </w:t>
      </w:r>
      <w:hyperlink r:id="rIdGHTLink8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Brenntag adquire PIC e PharmaSpecial no Brasil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19 agosto 2024.</w:t>
      </w:r>
    </w:p>
  </w:footnote>
  <w:footnote w:id="12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Azelis. </w:t>
      </w:r>
      <w:hyperlink r:id="rIdGHTLink9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Azelis expands its Latin American presence with the acquisition of Vogler in Brazil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12 abril 2023.</w:t>
      </w:r>
    </w:p>
  </w:footnote>
  <w:footnote w:id="13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Azelis. </w:t>
      </w:r>
      <w:hyperlink r:id="rIdGHTLink10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FY2023 results Azelis delivers record free cash flow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Resultados de 2023, divulgados em 2024.</w:t>
      </w:r>
    </w:p>
  </w:footnote>
  <w:footnote w:id="14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Univar Solutions. </w:t>
      </w:r>
      <w:hyperlink r:id="rIdGHTLink11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Univar Solutions Acquires Leading Distributor Sweetmix to Expand Food Ingredients and CASE Portfolio in Brazil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1 dezembro 2021.</w:t>
      </w:r>
    </w:p>
  </w:footnote>
  <w:footnote w:id="15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ASSOCIQUIM e SINCOQUIM. </w:t>
      </w:r>
      <w:hyperlink r:id="rIdGHTLink12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Perfil do Setor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Sem data de publicação; página remete ao Perfil 2024.</w:t>
      </w:r>
    </w:p>
  </w:footnote>
  <w:footnote w:id="16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Receita Federal. </w:t>
      </w:r>
      <w:hyperlink r:id="rIdGHTLink13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Novo Layout para os Dados Abertos do CNPJ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Documento de metadados sem data explícita, páginas 1 a 6.</w:t>
      </w:r>
    </w:p>
  </w:footnote>
  <w:footnote w:id="17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Receita Federal. </w:t>
      </w:r>
      <w:hyperlink r:id="rIdGHTLink14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Receita Federal gera o primeiro CNPJ em formato alfanumérico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31 julho 2026.</w:t>
      </w:r>
    </w:p>
  </w:footnote>
  <w:footnote w:id="18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IBAMA. </w:t>
      </w:r>
      <w:hyperlink r:id="rIdGHTLink15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Relatório de Atividades Potencialmente Poluidoras e Utilizadoras de Recursos Ambientais RAPP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Página de serviço, sem data relevante explicitada.</w:t>
      </w:r>
    </w:p>
  </w:footnote>
  <w:footnote w:id="19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GHT4, materiais do projeto.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Planos e código locais de prospecção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Planos de agosto de 2026; diretório inspecionado em 10 setembro 2026.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Planos e diretórios do projeto GHT4; detalhes na referência 21.</w:t>
      </w:r>
    </w:p>
  </w:footnote>
  <w:footnote w:id="20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 Advisory.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Documento de Requisitos v1.0, sem data explícita.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Fonte interna; seções 1 a 12.</w:t>
      </w:r>
    </w:p>
  </w:footnote>
  <w:footnote w:id="21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 Advisory.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Documento de Requisitos v1.0, sem data explícita.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Fonte interna; seções 1 a 12.</w:t>
      </w:r>
    </w:p>
  </w:footnote>
  <w:footnote w:id="22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LinkedIn. </w:t>
      </w:r>
      <w:hyperlink r:id="rIdGHTLink16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User Agreement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Termos consultados em 10 setembro 2026.</w:t>
      </w:r>
    </w:p>
  </w:footnote>
  <w:footnote w:id="23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 Advisory.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Ferramenta de IA para Prospecção e Execução de Mandatos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Documento de Requisitos v1.0, sem data explícita.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Fonte interna; seções 1 a 12.</w:t>
      </w:r>
    </w:p>
  </w:footnote>
  <w:footnote w:id="24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GHT4, materiais do projeto. 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Planos e código locais de prospecção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. Planos de agosto de 2026; diretório inspecionado em 10 setembro 2026.</w:t>
      </w:r>
      <w:r>
        <w:rPr>
          <w:rFonts w:ascii="Helvetica Neue" w:hAnsi="Helvetica Neue" w:eastAsia="Helvetica Neue" w:cs="Helvetica Neue"/>
          <w:sz w:val="18"/>
          <w:szCs w:val="18"/>
        </w:rPr>
        <w:t xml:space="preserve"> Planos e diretórios do projeto GHT4; detalhes na referência 21.</w:t>
      </w:r>
    </w:p>
  </w:footnote>
  <w:footnote w:id="25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S&amp;P Global Market Intelligence. </w:t>
      </w:r>
      <w:hyperlink r:id="rIdGHTLink17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S&amp;P Capital IQ Pro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Página de produto, sem data de publicação.</w:t>
      </w:r>
    </w:p>
  </w:footnote>
  <w:footnote w:id="26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EMIS. </w:t>
      </w:r>
      <w:hyperlink r:id="rIdGHTLink18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M&amp;A Deals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Página de produto, sem data de publicação.</w:t>
      </w:r>
    </w:p>
  </w:footnote>
  <w:footnote w:id="27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Aswath Damodaran, NYU Stern. </w:t>
      </w:r>
      <w:hyperlink r:id="rIdGHTLink19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Operating leases and valuation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Material metodológico sem data explícita na página.</w:t>
      </w:r>
    </w:p>
  </w:footnote>
  <w:footnote w:id="28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ANPD. </w:t>
      </w:r>
      <w:hyperlink r:id="rIdGHTLink20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ANPD lança Guia Orientativo sobre Legítimo Interesse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2 fevereiro 2024.</w:t>
      </w:r>
    </w:p>
  </w:footnote>
  <w:footnote w:id="29">
    <w:p>
      <w:pPr>
        <w:spacing w:after="45" w:line="220" w:lineRule="auto"/>
      </w:pPr>
      <w:r>
        <w:rPr>
          <w:vertAlign w:val="superscript"/>
        </w:rPr>
        <w:footnoteRef/>
      </w:r>
      <w:r>
        <w:rPr>
          <w:rFonts w:ascii="Helvetica Neue" w:hAnsi="Helvetica Neue" w:eastAsia="Helvetica Neue" w:cs="Helvetica Neue"/>
          <w:sz w:val="18"/>
          <w:szCs w:val="18"/>
        </w:rPr>
        <w:t xml:space="preserve"> ANPD. </w:t>
      </w:r>
      <w:hyperlink r:id="rIdGHTLink21">
        <w:r>
          <w:rPr>
            <w:rFonts w:ascii="Helvetica Neue" w:hAnsi="Helvetica Neue" w:eastAsia="Helvetica Neue" w:cs="Helvetica Neue"/>
            <w:sz w:val="18"/>
            <w:szCs w:val="18"/>
            <w:color w:val="112075"/>
            <w:u w:val="single"/>
          </w:rPr>
          <w:t xml:space="preserve">Resolução CD/ANPD 19 de 23 de agosto de 2024</w:t>
        </w:r>
      </w:hyperlink>
      <w:r>
        <w:rPr>
          <w:rFonts w:ascii="Helvetica Neue" w:hAnsi="Helvetica Neue" w:eastAsia="Helvetica Neue" w:cs="Helvetica Neue"/>
          <w:sz w:val="18"/>
          <w:szCs w:val="18"/>
        </w:rPr>
        <w:t xml:space="preserve">. 23 agosto 2024; página consolidada consultada em 10 setembro 2026.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4F3B78" w14:textId="77777777">
    <w:pPr>
      <w:tabs>
        <w:tab w:val="right" w:pos="9360"/>
      </w:tabs>
      <w:rPr>
        <w:color w:val="1A1BAA"/>
        <w:sz w:val="16"/>
        <w:szCs w:val="16"/>
      </w:rPr>
    </w:pPr>
  </w:p>
  <w:tbl>
    <w:tblPr>
      <w:tblStyle w:val="a4"/>
      <w:tblW w:w="936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9360"/>
    </w:tblGrid>
    <w:tr w14:paraId="2CCD06D5" w14:textId="77777777">
      <w:tc>
        <w:tcPr>
          <w:tcW w:w="9360" w:type="dxa"/>
          <w:tcBorders>
            <w:top w:val="single" w:sz="48" w:space="0" w:color="112075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4A9451B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1A1BAA"/>
              <w:sz w:val="16"/>
              <w:szCs w:val="16"/>
            </w:rPr>
          </w:pPr>
        </w:p>
      </w:tc>
    </w:tr>
  </w:tbl>
  <w:p w14:paraId="508BF40B" w14:textId="77777777">
    <w:pPr>
      <w:tabs>
        <w:tab w:val="right" w:pos="9360"/>
      </w:tabs>
      <w:rPr>
        <w:b/>
        <w:bCs/>
        <w:color w:val="112075"/>
        <w:sz w:val="16"/>
        <w:szCs w:val="16"/>
      </w:rPr>
    </w:pPr>
    <w:r>
      <w:rPr>
        <w:color w:val="112075"/>
        <w:sz w:val="16"/>
        <w:szCs w:val="16"/>
      </w:rPr>
      <w:t>GHT4 Advisory</w:t>
    </w:r>
  </w:p>
  <w:p w14:paraId="241E1B98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  <w:p w14:paraId="321568A4" w14:textId="77777777">
    <w:pPr>
      <w:tabs>
        <w:tab w:val="right" w:pos="9360"/>
      </w:tabs>
      <w:rPr>
        <w:b/>
        <w:bCs/>
        <w:color w:val="2224C5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160"/>
      <w:outlineLvl w:val="0"/>
    </w:pPr>
    <w:rPr>
      <w:rFonts w:ascii="Helvetica Neue" w:eastAsia="Helvetica Neue" w:hAnsi="Helvetica Neue" w:cs="Helvetica Neue"/>
      <w:b/>
      <w:bCs/>
      <w:color w:val="112075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rFonts w:ascii="Helvetica Neue" w:eastAsia="Helvetica Neue" w:hAnsi="Helvetica Neue" w:cs="Helvetica Neue"/>
      <w:b/>
      <w:bCs/>
      <w:color w:val="112075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80" w:after="160"/>
      <w:jc w:val="center"/>
    </w:pPr>
    <w:rPr>
      <w:rFonts w:ascii="Helvetica Neue" w:eastAsia="Helvetica Neue" w:hAnsi="Helvetica Neue" w:cs="Helvetica Neue"/>
      <w:b/>
      <w:bCs/>
      <w:color w:val="112075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GHTLink13" Type="http://schemas.openxmlformats.org/officeDocument/2006/relationships/hyperlink" Target="https://ght4.com/ght4-advisory/" TargetMode="External"/><Relationship Id="rIdGHTLink14" Type="http://schemas.openxmlformats.org/officeDocument/2006/relationships/hyperlink" Target="https://www.mckinsey.com/capabilities/m-and-a/our-insights/five-steps-to-strengthen-m-and-a-capabilities-no-matter-the-starting-point" TargetMode="External"/><Relationship Id="rIdGHTLink15" Type="http://schemas.openxmlformats.org/officeDocument/2006/relationships/hyperlink" Target="https://www.mckinsey.com/capabilities/m-and-a/our-insights/gen-ai-in-m-and-a-from-theory-to-practice-to-high-performance" TargetMode="External"/><Relationship Id="rIdGHTLink16" Type="http://schemas.openxmlformats.org/officeDocument/2006/relationships/hyperlink" Target="https://www.deloitte.com/us/en/about/press-room/deloitte-survey-genai-in-mna.html" TargetMode="External"/><Relationship Id="rIdGHTLink17" Type="http://schemas.openxmlformats.org/officeDocument/2006/relationships/hyperlink" Target="https://www.datasite.com/en/resources/insights/how-ai-is-making-m-and-a-more-human" TargetMode="External"/><Relationship Id="rIdGHTLink18" Type="http://schemas.openxmlformats.org/officeDocument/2006/relationships/hyperlink" Target="https://www.brenntag.com/pt-br/imprensa/news/brenntag-adquire-as-distribuidoras-de-especialidades-quimicas-pic-e-pharmaspecial-expandindo-sua-presenca-no-mercado-de-pharma-e-personal-care-no-brasil.html" TargetMode="External"/><Relationship Id="rIdGHTLink19" Type="http://schemas.openxmlformats.org/officeDocument/2006/relationships/hyperlink" Target="https://www.azelis.com/en/news/azelis-expands-its-latin-american-presence-acquisition-of-vogler-brazil" TargetMode="External"/><Relationship Id="rIdGHTLink20" Type="http://schemas.openxmlformats.org/officeDocument/2006/relationships/hyperlink" Target="https://www.azelis.com/en/news/fy2023-results-azelis-delivers-record-free-cash-flow" TargetMode="External"/><Relationship Id="rIdGHTLink21" Type="http://schemas.openxmlformats.org/officeDocument/2006/relationships/hyperlink" Target="https://news.univarsolutions.com/2021-12-01-Univar-Solutions-Acquires-Leading-Distributor-Sweetmix-to-Expand-Food-Ingredients-and-CASE-Portfolio-in-Brazil" TargetMode="External"/><Relationship Id="rIdGHTLink22" Type="http://schemas.openxmlformats.org/officeDocument/2006/relationships/hyperlink" Target="https://www.associquim.org.br/perfil-do-setor/" TargetMode="External"/><Relationship Id="rIdGHTLink23" Type="http://schemas.openxmlformats.org/officeDocument/2006/relationships/hyperlink" Target="https://www.gov.br/receitafederal/dados/cnpj-metadados.pdf" TargetMode="External"/><Relationship Id="rIdGHTLink24" Type="http://schemas.openxmlformats.org/officeDocument/2006/relationships/hyperlink" Target="https://www.gov.br/receitafederal/pt-br/assuntos/noticias/2026/julho/receita-federal-gera-o-primeiro-cnpj-em-formato-alfanumerico" TargetMode="External"/><Relationship Id="rIdGHTLink25" Type="http://schemas.openxmlformats.org/officeDocument/2006/relationships/hyperlink" Target="https://www.gov.br/ibama/pt-br/servicos/relatorios/atividades-poluidoras" TargetMode="External"/><Relationship Id="rIdGHTLink26" Type="http://schemas.openxmlformats.org/officeDocument/2006/relationships/hyperlink" Target="https://www.spglobal.com/market-intelligence/en/solutions/products/sp-capital-iq-pro" TargetMode="External"/><Relationship Id="rIdGHTLink27" Type="http://schemas.openxmlformats.org/officeDocument/2006/relationships/hyperlink" Target="https://www.emis.com/php/store/madeals/ALL/page1.html" TargetMode="External"/><Relationship Id="rIdGHTLink28" Type="http://schemas.openxmlformats.org/officeDocument/2006/relationships/hyperlink" Target="https://pages.stern.nyu.edu/~adamodar/New_Home_Page/valquestions/oplease.htm" TargetMode="External"/><Relationship Id="rIdGHTLink29" Type="http://schemas.openxmlformats.org/officeDocument/2006/relationships/hyperlink" Target="https://www.linkedin.com/legal/user-agreement" TargetMode="External"/><Relationship Id="rIdGHTLink30" Type="http://schemas.openxmlformats.org/officeDocument/2006/relationships/hyperlink" Target="https://www.affinity.co/industries/investment-banking" TargetMode="External"/><Relationship Id="rIdGHTLink31" Type="http://schemas.openxmlformats.org/officeDocument/2006/relationships/hyperlink" Target="https://www.intapp.com/investment-banking/relationship-management/" TargetMode="External"/><Relationship Id="rIdGHTLink32" Type="http://schemas.openxmlformats.org/officeDocument/2006/relationships/hyperlink" Target="https://www.gov.br/anpd/pt-br/assuntos/noticias/anpd-lanca-guia-orientativo-sobre-legitimo-interesse" TargetMode="External"/><Relationship Id="rIdGHTLink33" Type="http://schemas.openxmlformats.org/officeDocument/2006/relationships/hyperlink" Target="https://www.gov.br/anpd/pt-br/acesso-a-informacao/institucional/atos-normativos/regulamentacoes_anpd/resolucao-cd-anpd-no-19-de-23-de-agosto-de-2024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notes.xml.rels><?xml version='1.0' encoding='UTF-8' standalone='yes'?>
<Relationships xmlns="http://schemas.openxmlformats.org/package/2006/relationships"><Relationship Id="rIdGHTLink1" Type="http://schemas.openxmlformats.org/officeDocument/2006/relationships/hyperlink" Target="https://www.mckinsey.com/capabilities/m-and-a/our-insights/five-steps-to-strengthen-m-and-a-capabilities-no-matter-the-starting-point" TargetMode="External"/><Relationship Id="rIdGHTLink2" Type="http://schemas.openxmlformats.org/officeDocument/2006/relationships/hyperlink" Target="https://www.mckinsey.com/capabilities/m-and-a/our-insights/gen-ai-in-m-and-a-from-theory-to-practice-to-high-performance" TargetMode="External"/><Relationship Id="rIdGHTLink3" Type="http://schemas.openxmlformats.org/officeDocument/2006/relationships/hyperlink" Target="https://www.deloitte.com/us/en/about/press-room/deloitte-survey-genai-in-mna.html" TargetMode="External"/><Relationship Id="rIdGHTLink4" Type="http://schemas.openxmlformats.org/officeDocument/2006/relationships/hyperlink" Target="https://www.datasite.com/en/resources/insights/how-ai-is-making-m-and-a-more-human" TargetMode="External"/><Relationship Id="rIdGHTLink5" Type="http://schemas.openxmlformats.org/officeDocument/2006/relationships/hyperlink" Target="https://ght4.com/ght4-advisory/" TargetMode="External"/><Relationship Id="rIdGHTLink6" Type="http://schemas.openxmlformats.org/officeDocument/2006/relationships/hyperlink" Target="https://www.affinity.co/industries/investment-banking" TargetMode="External"/><Relationship Id="rIdGHTLink7" Type="http://schemas.openxmlformats.org/officeDocument/2006/relationships/hyperlink" Target="https://www.intapp.com/investment-banking/relationship-management/" TargetMode="External"/><Relationship Id="rIdGHTLink8" Type="http://schemas.openxmlformats.org/officeDocument/2006/relationships/hyperlink" Target="https://www.brenntag.com/pt-br/imprensa/news/brenntag-adquire-as-distribuidoras-de-especialidades-quimicas-pic-e-pharmaspecial-expandindo-sua-presenca-no-mercado-de-pharma-e-personal-care-no-brasil.html" TargetMode="External"/><Relationship Id="rIdGHTLink9" Type="http://schemas.openxmlformats.org/officeDocument/2006/relationships/hyperlink" Target="https://www.azelis.com/en/news/azelis-expands-its-latin-american-presence-acquisition-of-vogler-brazil" TargetMode="External"/><Relationship Id="rIdGHTLink10" Type="http://schemas.openxmlformats.org/officeDocument/2006/relationships/hyperlink" Target="https://www.azelis.com/en/news/fy2023-results-azelis-delivers-record-free-cash-flow" TargetMode="External"/><Relationship Id="rIdGHTLink11" Type="http://schemas.openxmlformats.org/officeDocument/2006/relationships/hyperlink" Target="https://news.univarsolutions.com/2021-12-01-Univar-Solutions-Acquires-Leading-Distributor-Sweetmix-to-Expand-Food-Ingredients-and-CASE-Portfolio-in-Brazil" TargetMode="External"/><Relationship Id="rIdGHTLink12" Type="http://schemas.openxmlformats.org/officeDocument/2006/relationships/hyperlink" Target="https://www.associquim.org.br/perfil-do-setor/" TargetMode="External"/><Relationship Id="rIdGHTLink13" Type="http://schemas.openxmlformats.org/officeDocument/2006/relationships/hyperlink" Target="https://www.gov.br/receitafederal/dados/cnpj-metadados.pdf" TargetMode="External"/><Relationship Id="rIdGHTLink14" Type="http://schemas.openxmlformats.org/officeDocument/2006/relationships/hyperlink" Target="https://www.gov.br/receitafederal/pt-br/assuntos/noticias/2026/julho/receita-federal-gera-o-primeiro-cnpj-em-formato-alfanumerico" TargetMode="External"/><Relationship Id="rIdGHTLink15" Type="http://schemas.openxmlformats.org/officeDocument/2006/relationships/hyperlink" Target="https://www.gov.br/ibama/pt-br/servicos/relatorios/atividades-poluidoras" TargetMode="External"/><Relationship Id="rIdGHTLink16" Type="http://schemas.openxmlformats.org/officeDocument/2006/relationships/hyperlink" Target="https://www.linkedin.com/legal/user-agreement" TargetMode="External"/><Relationship Id="rIdGHTLink17" Type="http://schemas.openxmlformats.org/officeDocument/2006/relationships/hyperlink" Target="https://www.spglobal.com/market-intelligence/en/solutions/products/sp-capital-iq-pro" TargetMode="External"/><Relationship Id="rIdGHTLink18" Type="http://schemas.openxmlformats.org/officeDocument/2006/relationships/hyperlink" Target="https://www.emis.com/php/store/madeals/ALL/page1.html" TargetMode="External"/><Relationship Id="rIdGHTLink19" Type="http://schemas.openxmlformats.org/officeDocument/2006/relationships/hyperlink" Target="https://pages.stern.nyu.edu/~adamodar/New_Home_Page/valquestions/oplease.htm" TargetMode="External"/><Relationship Id="rIdGHTLink20" Type="http://schemas.openxmlformats.org/officeDocument/2006/relationships/hyperlink" Target="https://www.gov.br/anpd/pt-br/assuntos/noticias/anpd-lanca-guia-orientativo-sobre-legitimo-interesse" TargetMode="External"/><Relationship Id="rIdGHTLink21" Type="http://schemas.openxmlformats.org/officeDocument/2006/relationships/hyperlink" Target="https://www.gov.br/anpd/pt-br/acesso-a-informacao/institucional/atos-normativos/regulamentacoes_anpd/resolucao-cd-anpd-no-19-de-23-de-agosto-de-2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