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spacing w:before="1080" w:after="360"/>
      </w:pPr>
      <w:r>
        <w:rPr>
          <w:rFonts w:ascii="Helvetica Neue" w:hAnsi="Helvetica Neue" w:eastAsia="Helvetica Neue" w:cs="Helvetica Neue"/>
        </w:rPr>
        <w:t xml:space="preserve">Pesquisa ampliada de prospecção GHT4</w:t>
      </w:r>
    </w:p>
    <w:p>
      <w:pPr>
        <w:spacing w:after="120" w:line="276" w:lineRule="auto"/>
        <w:jc w:val="both"/>
        <w:rPr>
          <w:rFonts w:ascii="Helvetica Neue" w:eastAsia="Helvetica Neue" w:hAnsi="Helvetica Neue" w:cs="Helvetica Neue"/>
        </w:rPr>
        <w:jc w:val="center"/>
      </w:pPr>
      <w:r>
        <w:rPr>
          <w:rFonts w:ascii="Helvetica Neue" w:hAnsi="Helvetica Neue" w:eastAsia="Helvetica Neue" w:cs="Helvetica Neue"/>
        </w:rPr>
        <w:t xml:space="preserve">Evidências e refinamentos para originação de mandatos e ferramenta de IA</w:t>
      </w:r>
    </w:p>
    <w:p>
      <w:pPr>
        <w:spacing w:after="120" w:line="276" w:lineRule="auto"/>
        <w:jc w:val="both"/>
        <w:rPr>
          <w:rFonts w:ascii="Helvetica Neue" w:eastAsia="Helvetica Neue" w:hAnsi="Helvetica Neue" w:cs="Helvetica Neue"/>
        </w:rPr>
        <w:spacing w:before="1400" w:after="0"/>
      </w:pPr>
    </w:p>
    <w:tbl>
      <w:tblPr>
        <w:tblStyle w:val="a"/>
        <w:tblW w:w="936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2250"/>
        <w:gridCol w:w="7110"/>
      </w:tblGrid>
      <w:tr w14:paraId="12FAFF88" w14:textId="77777777">
        <w:trPr>
          <w:trHeight w:val="431"/>
        </w:trPr>
        <w:tc>
          <w:tcPr>
            <w:tcW w:w="225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4AC528A1" w14:textId="77777777">
            <w:pPr>
              <w:rPr>
                <w:rFonts w:ascii="Helvetica Neue" w:eastAsia="Helvetica Neue" w:hAnsi="Helvetica Neue" w:cs="Helvetica Neue"/>
                <w:b/>
                <w:bCs/>
                <w:color w:val="112075"/>
                <w:sz w:val="20"/>
                <w:szCs w:val="20"/>
              </w:rPr>
            </w:pPr>
            <w:r>
              <w:rPr>
                <w:rFonts w:ascii="Helvetica Neue" w:eastAsia="Helvetica Neue" w:hAnsi="Helvetica Neue" w:cs="Helvetica Neue"/>
                <w:b/>
                <w:bCs/>
                <w:color w:val="112075"/>
                <w:sz w:val="20"/>
                <w:szCs w:val="20"/>
              </w:rPr>
              <w:rPr>
                <w:rFonts w:ascii="Helvetica Neue" w:hAnsi="Helvetica Neue" w:eastAsia="Helvetica Neue" w:cs="Helvetica Neue"/>
              </w:rPr>
              <w:t xml:space="preserve">Tema</w:t>
            </w:r>
          </w:p>
        </w:tc>
        <w:tc>
          <w:tcPr>
            <w:tcW w:w="711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08B49669" w14:textId="77777777">
            <w:pPr>
              <w:rPr>
                <w:rFonts w:ascii="Helvetica Neue" w:eastAsia="Helvetica Neue" w:hAnsi="Helvetica Neue" w:cs="Helvetica Neue"/>
                <w:sz w:val="20"/>
                <w:szCs w:val="20"/>
              </w:rPr>
            </w:pPr>
            <w:r>
              <w:rPr>
                <w:rFonts w:ascii="Helvetica Neue" w:eastAsia="Helvetica Neue" w:hAnsi="Helvetica Neue" w:cs="Helvetica Neue"/>
                <w:sz w:val="20"/>
                <w:szCs w:val="20"/>
              </w:rPr>
              <w:rPr>
                <w:rFonts w:ascii="Helvetica Neue" w:hAnsi="Helvetica Neue" w:eastAsia="Helvetica Neue" w:cs="Helvetica Neue"/>
              </w:rPr>
              <w:t xml:space="preserve">Originação e suporte a mandatos de compra e venda</w:t>
            </w:r>
          </w:p>
        </w:tc>
      </w:tr>
      <w:tr w14:paraId="2103F82B" w14:textId="77777777">
        <w:trPr>
          <w:trHeight w:val="431"/>
        </w:trPr>
        <w:tc>
          <w:tcPr>
            <w:tcW w:w="225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4229BF86" w14:textId="77777777">
            <w:pPr>
              <w:rPr>
                <w:rFonts w:ascii="Helvetica Neue" w:eastAsia="Helvetica Neue" w:hAnsi="Helvetica Neue" w:cs="Helvetica Neue"/>
                <w:color w:val="112075"/>
              </w:rPr>
            </w:pPr>
            <w:r>
              <w:rPr>
                <w:rFonts w:ascii="Helvetica Neue" w:eastAsia="Helvetica Neue" w:hAnsi="Helvetica Neue" w:cs="Helvetica Neue"/>
                <w:b/>
                <w:bCs/>
                <w:color w:val="112075"/>
                <w:sz w:val="20"/>
                <w:szCs w:val="20"/>
              </w:rPr>
              <w:rPr>
                <w:rFonts w:ascii="Helvetica Neue" w:hAnsi="Helvetica Neue" w:eastAsia="Helvetica Neue" w:cs="Helvetica Neue"/>
              </w:rPr>
              <w:t xml:space="preserve">Piloto</w:t>
            </w:r>
          </w:p>
        </w:tc>
        <w:tc>
          <w:tcPr>
            <w:tcW w:w="711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56A55D95" w14:textId="77777777">
            <w:pPr>
              <w:rPr>
                <w:rFonts w:ascii="Helvetica Neue" w:eastAsia="Helvetica Neue" w:hAnsi="Helvetica Neue" w:cs="Helvetica Neue"/>
              </w:rPr>
            </w:pPr>
            <w:r>
              <w:rPr>
                <w:rFonts w:ascii="Helvetica Neue" w:eastAsia="Helvetica Neue" w:hAnsi="Helvetica Neue" w:cs="Helvetica Neue"/>
                <w:sz w:val="20"/>
                <w:szCs w:val="20"/>
              </w:rPr>
              <w:rPr>
                <w:rFonts w:ascii="Helvetica Neue" w:hAnsi="Helvetica Neue" w:eastAsia="Helvetica Neue" w:cs="Helvetica Neue"/>
              </w:rPr>
              <w:t xml:space="preserve">Distribuição e Trading Químico</w:t>
            </w:r>
          </w:p>
        </w:tc>
      </w:tr>
      <w:tr w14:paraId="775FD1AF" w14:textId="77777777">
        <w:trPr>
          <w:trHeight w:val="431"/>
        </w:trPr>
        <w:tc>
          <w:tcPr>
            <w:tcW w:w="225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305457B3" w14:textId="77777777">
            <w:pPr>
              <w:rPr>
                <w:rFonts w:ascii="Helvetica Neue" w:eastAsia="Helvetica Neue" w:hAnsi="Helvetica Neue" w:cs="Helvetica Neue"/>
                <w:color w:val="112075"/>
              </w:rPr>
            </w:pPr>
            <w:r>
              <w:rPr>
                <w:rFonts w:ascii="Helvetica Neue" w:eastAsia="Helvetica Neue" w:hAnsi="Helvetica Neue" w:cs="Helvetica Neue"/>
                <w:b/>
                <w:bCs/>
                <w:color w:val="112075"/>
                <w:sz w:val="20"/>
                <w:szCs w:val="20"/>
              </w:rPr>
              <w:rPr>
                <w:rFonts w:ascii="Helvetica Neue" w:hAnsi="Helvetica Neue" w:eastAsia="Helvetica Neue" w:cs="Helvetica Neue"/>
              </w:rPr>
              <w:t xml:space="preserve">Destinatários</w:t>
            </w:r>
          </w:p>
        </w:tc>
        <w:tc>
          <w:tcPr>
            <w:tcW w:w="711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2EB52BD8" w14:textId="77777777">
            <w:pPr>
              <w:rPr>
                <w:rFonts w:ascii="Helvetica Neue" w:eastAsia="Helvetica Neue" w:hAnsi="Helvetica Neue" w:cs="Helvetica Neue"/>
              </w:rPr>
            </w:pPr>
            <w:r>
              <w:rPr>
                <w:rFonts w:ascii="Helvetica Neue" w:eastAsia="Helvetica Neue" w:hAnsi="Helvetica Neue" w:cs="Helvetica Neue"/>
                <w:color w:val="000000"/>
                <w:sz w:val="20"/>
                <w:szCs w:val="20"/>
              </w:rPr>
              <w:rPr>
                <w:rFonts w:ascii="Helvetica Neue" w:hAnsi="Helvetica Neue" w:eastAsia="Helvetica Neue" w:cs="Helvetica Neue"/>
              </w:rPr>
              <w:t xml:space="preserve">Sócios, equipe Advisory e responsável técnico</w:t>
            </w:r>
          </w:p>
        </w:tc>
      </w:tr>
      <w:tr w14:paraId="3E0688CF" w14:textId="77777777">
        <w:trPr>
          <w:trHeight w:val="431"/>
        </w:trPr>
        <w:tc>
          <w:tcPr>
            <w:tcW w:w="225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31FC2D12" w14:textId="77777777">
            <w:pPr>
              <w:rPr>
                <w:rFonts w:ascii="Helvetica Neue" w:eastAsia="Helvetica Neue" w:hAnsi="Helvetica Neue" w:cs="Helvetica Neue"/>
                <w:color w:val="112075"/>
              </w:rPr>
            </w:pPr>
            <w:r>
              <w:rPr>
                <w:rFonts w:ascii="Helvetica Neue" w:eastAsia="Helvetica Neue" w:hAnsi="Helvetica Neue" w:cs="Helvetica Neue"/>
                <w:b/>
                <w:bCs/>
                <w:color w:val="112075"/>
                <w:sz w:val="20"/>
                <w:szCs w:val="20"/>
              </w:rPr>
              <w:rPr>
                <w:rFonts w:ascii="Helvetica Neue" w:hAnsi="Helvetica Neue" w:eastAsia="Helvetica Neue" w:cs="Helvetica Neue"/>
              </w:rPr>
              <w:t xml:space="preserve">Data de corte</w:t>
            </w:r>
          </w:p>
        </w:tc>
        <w:tc>
          <w:tcPr>
            <w:tcW w:w="711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3259E72D" w14:textId="77777777">
            <w:pPr>
              <w:rPr>
                <w:rFonts w:ascii="Helvetica Neue" w:eastAsia="Helvetica Neue" w:hAnsi="Helvetica Neue" w:cs="Helvetica Neue"/>
              </w:rPr>
            </w:pPr>
            <w:r>
              <w:rPr>
                <w:rFonts w:ascii="Helvetica Neue" w:eastAsia="Helvetica Neue" w:hAnsi="Helvetica Neue" w:cs="Helvetica Neue"/>
                <w:sz w:val="20"/>
                <w:szCs w:val="20"/>
              </w:rPr>
              <w:rPr>
                <w:rFonts w:ascii="Helvetica Neue" w:hAnsi="Helvetica Neue" w:eastAsia="Helvetica Neue" w:cs="Helvetica Neue"/>
              </w:rPr>
              <w:t xml:space="preserve">10 de setembro de 2026</w:t>
            </w:r>
          </w:p>
        </w:tc>
      </w:tr>
      <w:tr w14:paraId="7AB6CABE" w14:textId="77777777">
        <w:trPr>
          <w:trHeight w:val="431"/>
        </w:trPr>
        <w:tc>
          <w:tcPr>
            <w:tcW w:w="225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1BBB306A" w14:textId="77777777">
            <w:pPr>
              <w:rPr>
                <w:rFonts w:ascii="Helvetica Neue" w:eastAsia="Helvetica Neue" w:hAnsi="Helvetica Neue" w:cs="Helvetica Neue"/>
                <w:color w:val="112075"/>
              </w:rPr>
            </w:pPr>
            <w:r>
              <w:rPr>
                <w:rFonts w:ascii="Helvetica Neue" w:eastAsia="Helvetica Neue" w:hAnsi="Helvetica Neue" w:cs="Helvetica Neue"/>
                <w:b/>
                <w:bCs/>
                <w:color w:val="112075"/>
                <w:sz w:val="20"/>
                <w:szCs w:val="20"/>
              </w:rPr>
              <w:rPr>
                <w:rFonts w:ascii="Helvetica Neue" w:hAnsi="Helvetica Neue" w:eastAsia="Helvetica Neue" w:cs="Helvetica Neue"/>
              </w:rPr>
              <w:t xml:space="preserve">Versão</w:t>
            </w:r>
          </w:p>
        </w:tc>
        <w:tc>
          <w:tcPr>
            <w:tcW w:w="711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773D035C" w14:textId="77777777">
            <w:pPr>
              <w:rPr>
                <w:rFonts w:ascii="Helvetica Neue" w:eastAsia="Helvetica Neue" w:hAnsi="Helvetica Neue" w:cs="Helvetica Neue"/>
              </w:rPr>
            </w:pPr>
            <w:r>
              <w:rPr>
                <w:rFonts w:ascii="Helvetica Neue" w:eastAsia="Helvetica Neue" w:hAnsi="Helvetica Neue" w:cs="Helvetica Neue"/>
                <w:color w:val="000000"/>
                <w:sz w:val="20"/>
                <w:szCs w:val="20"/>
              </w:rPr>
              <w:rPr>
                <w:rFonts w:ascii="Helvetica Neue" w:hAnsi="Helvetica Neue" w:eastAsia="Helvetica Neue" w:cs="Helvetica Neue"/>
              </w:rPr>
              <w:t xml:space="preserve">Pesquisa ampliada e refinamentos do planejamento</w:t>
            </w:r>
          </w:p>
        </w:tc>
      </w:tr>
    </w:tbl>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Documento destinado à GHT4 para orientar prioridades, operação e implementação. Metas e estimativas propostas dependem de validação pelos responsáveis.</w:t>
      </w:r>
    </w:p>
    <w:p>
      <w:pPr>
        <w:pStyle w:val="Heading1"/>
        <w:keepNext/>
        <w:keepLines/>
        <w:pageBreakBefore/>
      </w:pPr>
      <w:r>
        <w:rPr>
          <w:rFonts w:ascii="Helvetica Neue" w:hAnsi="Helvetica Neue" w:eastAsia="Helvetica Neue" w:cs="Helvetica Neue"/>
        </w:rPr>
        <w:t xml:space="preserve">Conteúdo</w:t>
      </w:r>
    </w:p>
    <w:p>
      <w:pPr>
        <w:spacing w:after="120" w:line="276" w:lineRule="auto"/>
        <w:jc w:val="both"/>
        <w:rPr>
          <w:rFonts w:ascii="Helvetica Neue" w:eastAsia="Helvetica Neue" w:hAnsi="Helvetica Neue" w:cs="Helvetica Neue"/>
        </w:rPr>
      </w:pPr>
      <w:hyperlink w:anchor="ghtsection1">
        <w:r>
          <w:rPr>
            <w:rFonts w:ascii="Helvetica Neue" w:hAnsi="Helvetica Neue" w:eastAsia="Helvetica Neue" w:cs="Helvetica Neue"/>
          </w:rPr>
          <w:t xml:space="preserve">1 Decisões para a GHT4</w:t>
        </w:r>
      </w:hyperlink>
    </w:p>
    <w:p>
      <w:pPr>
        <w:spacing w:after="120" w:line="276" w:lineRule="auto"/>
        <w:jc w:val="both"/>
        <w:rPr>
          <w:rFonts w:ascii="Helvetica Neue" w:eastAsia="Helvetica Neue" w:hAnsi="Helvetica Neue" w:cs="Helvetica Neue"/>
        </w:rPr>
      </w:pPr>
      <w:hyperlink w:anchor="ghtsection2">
        <w:r>
          <w:rPr>
            <w:rFonts w:ascii="Helvetica Neue" w:hAnsi="Helvetica Neue" w:eastAsia="Helvetica Neue" w:cs="Helvetica Neue"/>
          </w:rPr>
          <w:t xml:space="preserve">2 Evidências internacionais e brasileiras</w:t>
        </w:r>
      </w:hyperlink>
    </w:p>
    <w:p>
      <w:pPr>
        <w:spacing w:after="120" w:line="276" w:lineRule="auto"/>
        <w:jc w:val="both"/>
        <w:rPr>
          <w:rFonts w:ascii="Helvetica Neue" w:eastAsia="Helvetica Neue" w:hAnsi="Helvetica Neue" w:cs="Helvetica Neue"/>
        </w:rPr>
      </w:pPr>
      <w:hyperlink w:anchor="ghtsection3">
        <w:r>
          <w:rPr>
            <w:rFonts w:ascii="Helvetica Neue" w:hAnsi="Helvetica Neue" w:eastAsia="Helvetica Neue" w:cs="Helvetica Neue"/>
          </w:rPr>
          <w:t xml:space="preserve">3 Canais de prospecção e relacionamento</w:t>
        </w:r>
      </w:hyperlink>
    </w:p>
    <w:p>
      <w:pPr>
        <w:spacing w:after="120" w:line="276" w:lineRule="auto"/>
        <w:jc w:val="both"/>
        <w:rPr>
          <w:rFonts w:ascii="Helvetica Neue" w:eastAsia="Helvetica Neue" w:hAnsi="Helvetica Neue" w:cs="Helvetica Neue"/>
        </w:rPr>
      </w:pPr>
      <w:hyperlink w:anchor="ghtsection4">
        <w:r>
          <w:rPr>
            <w:rFonts w:ascii="Helvetica Neue" w:hAnsi="Helvetica Neue" w:eastAsia="Helvetica Neue" w:cs="Helvetica Neue"/>
          </w:rPr>
          <w:t xml:space="preserve">4 Conversão em mandatos de venda e de compra</w:t>
        </w:r>
      </w:hyperlink>
    </w:p>
    <w:p>
      <w:pPr>
        <w:spacing w:after="120" w:line="276" w:lineRule="auto"/>
        <w:jc w:val="both"/>
        <w:rPr>
          <w:rFonts w:ascii="Helvetica Neue" w:eastAsia="Helvetica Neue" w:hAnsi="Helvetica Neue" w:cs="Helvetica Neue"/>
        </w:rPr>
      </w:pPr>
      <w:hyperlink w:anchor="ghtsection5">
        <w:r>
          <w:rPr>
            <w:rFonts w:ascii="Helvetica Neue" w:hAnsi="Helvetica Neue" w:eastAsia="Helvetica Neue" w:cs="Helvetica Neue"/>
          </w:rPr>
          <w:t xml:space="preserve">5 Tese de distribuição química</w:t>
        </w:r>
      </w:hyperlink>
    </w:p>
    <w:p>
      <w:pPr>
        <w:spacing w:after="120" w:line="276" w:lineRule="auto"/>
        <w:jc w:val="both"/>
        <w:rPr>
          <w:rFonts w:ascii="Helvetica Neue" w:eastAsia="Helvetica Neue" w:hAnsi="Helvetica Neue" w:cs="Helvetica Neue"/>
        </w:rPr>
      </w:pPr>
      <w:hyperlink w:anchor="ghtsection6">
        <w:r>
          <w:rPr>
            <w:rFonts w:ascii="Helvetica Neue" w:hAnsi="Helvetica Neue" w:eastAsia="Helvetica Neue" w:cs="Helvetica Neue"/>
          </w:rPr>
          <w:t xml:space="preserve">6 Casos reais e contas para monitoramento</w:t>
        </w:r>
      </w:hyperlink>
    </w:p>
    <w:p>
      <w:pPr>
        <w:spacing w:after="120" w:line="276" w:lineRule="auto"/>
        <w:jc w:val="both"/>
        <w:rPr>
          <w:rFonts w:ascii="Helvetica Neue" w:eastAsia="Helvetica Neue" w:hAnsi="Helvetica Neue" w:cs="Helvetica Neue"/>
        </w:rPr>
      </w:pPr>
      <w:hyperlink w:anchor="ghtsection7">
        <w:r>
          <w:rPr>
            <w:rFonts w:ascii="Helvetica Neue" w:hAnsi="Helvetica Neue" w:eastAsia="Helvetica Neue" w:cs="Helvetica Neue"/>
          </w:rPr>
          <w:t xml:space="preserve">7 Universo de empresas e fontes brasileiras</w:t>
        </w:r>
      </w:hyperlink>
    </w:p>
    <w:p>
      <w:pPr>
        <w:spacing w:after="120" w:line="276" w:lineRule="auto"/>
        <w:jc w:val="both"/>
        <w:rPr>
          <w:rFonts w:ascii="Helvetica Neue" w:eastAsia="Helvetica Neue" w:hAnsi="Helvetica Neue" w:cs="Helvetica Neue"/>
        </w:rPr>
      </w:pPr>
      <w:hyperlink w:anchor="ghtsection8">
        <w:r>
          <w:rPr>
            <w:rFonts w:ascii="Helvetica Neue" w:hAnsi="Helvetica Neue" w:eastAsia="Helvetica Neue" w:cs="Helvetica Neue"/>
          </w:rPr>
          <w:t xml:space="preserve">8 Ranking configurável com critérios observáveis</w:t>
        </w:r>
      </w:hyperlink>
    </w:p>
    <w:p>
      <w:pPr>
        <w:spacing w:after="120" w:line="276" w:lineRule="auto"/>
        <w:jc w:val="both"/>
        <w:rPr>
          <w:rFonts w:ascii="Helvetica Neue" w:eastAsia="Helvetica Neue" w:hAnsi="Helvetica Neue" w:cs="Helvetica Neue"/>
        </w:rPr>
      </w:pPr>
      <w:hyperlink w:anchor="ghtsection9">
        <w:r>
          <w:rPr>
            <w:rFonts w:ascii="Helvetica Neue" w:hAnsi="Helvetica Neue" w:eastAsia="Helvetica Neue" w:cs="Helvetica Neue"/>
          </w:rPr>
          <w:t xml:space="preserve">9 Reports de mercado e valuation</w:t>
        </w:r>
      </w:hyperlink>
    </w:p>
    <w:p>
      <w:pPr>
        <w:spacing w:after="120" w:line="276" w:lineRule="auto"/>
        <w:jc w:val="both"/>
        <w:rPr>
          <w:rFonts w:ascii="Helvetica Neue" w:eastAsia="Helvetica Neue" w:hAnsi="Helvetica Neue" w:cs="Helvetica Neue"/>
        </w:rPr>
      </w:pPr>
      <w:hyperlink w:anchor="ghtsection10">
        <w:r>
          <w:rPr>
            <w:rFonts w:ascii="Helvetica Neue" w:hAnsi="Helvetica Neue" w:eastAsia="Helvetica Neue" w:cs="Helvetica Neue"/>
          </w:rPr>
          <w:t xml:space="preserve">10 Plataformas e estratégia de contratação</w:t>
        </w:r>
      </w:hyperlink>
    </w:p>
    <w:p>
      <w:pPr>
        <w:spacing w:after="120" w:line="276" w:lineRule="auto"/>
        <w:jc w:val="both"/>
        <w:rPr>
          <w:rFonts w:ascii="Helvetica Neue" w:eastAsia="Helvetica Neue" w:hAnsi="Helvetica Neue" w:cs="Helvetica Neue"/>
        </w:rPr>
      </w:pPr>
      <w:hyperlink w:anchor="ghtsection11">
        <w:r>
          <w:rPr>
            <w:rFonts w:ascii="Helvetica Neue" w:hAnsi="Helvetica Neue" w:eastAsia="Helvetica Neue" w:cs="Helvetica Neue"/>
          </w:rPr>
          <w:t xml:space="preserve">11 IA e rede com revisão verificável</w:t>
        </w:r>
      </w:hyperlink>
    </w:p>
    <w:p>
      <w:pPr>
        <w:spacing w:after="120" w:line="276" w:lineRule="auto"/>
        <w:jc w:val="both"/>
        <w:rPr>
          <w:rFonts w:ascii="Helvetica Neue" w:eastAsia="Helvetica Neue" w:hAnsi="Helvetica Neue" w:cs="Helvetica Neue"/>
        </w:rPr>
      </w:pPr>
      <w:hyperlink w:anchor="ghtsection12">
        <w:r>
          <w:rPr>
            <w:rFonts w:ascii="Helvetica Neue" w:hAnsi="Helvetica Neue" w:eastAsia="Helvetica Neue" w:cs="Helvetica Neue"/>
          </w:rPr>
          <w:t xml:space="preserve">12 Incorporação ao plano e prioridades</w:t>
        </w:r>
      </w:hyperlink>
    </w:p>
    <w:p>
      <w:pPr>
        <w:spacing w:after="120" w:line="276" w:lineRule="auto"/>
        <w:jc w:val="both"/>
        <w:rPr>
          <w:rFonts w:ascii="Helvetica Neue" w:eastAsia="Helvetica Neue" w:hAnsi="Helvetica Neue" w:cs="Helvetica Neue"/>
        </w:rPr>
      </w:pPr>
      <w:hyperlink w:anchor="ghtsection13">
        <w:r>
          <w:rPr>
            <w:rFonts w:ascii="Helvetica Neue" w:hAnsi="Helvetica Neue" w:eastAsia="Helvetica Neue" w:cs="Helvetica Neue"/>
          </w:rPr>
          <w:t xml:space="preserve">13 Casos de aceite e lacunas remanescentes</w:t>
        </w:r>
      </w:hyperlink>
    </w:p>
    <w:p>
      <w:pPr>
        <w:spacing w:after="120" w:line="276" w:lineRule="auto"/>
        <w:jc w:val="both"/>
        <w:rPr>
          <w:rFonts w:ascii="Helvetica Neue" w:eastAsia="Helvetica Neue" w:hAnsi="Helvetica Neue" w:cs="Helvetica Neue"/>
        </w:rPr>
      </w:pPr>
      <w:hyperlink w:anchor="ghtsection14">
        <w:r>
          <w:rPr>
            <w:rFonts w:ascii="Helvetica Neue" w:hAnsi="Helvetica Neue" w:eastAsia="Helvetica Neue" w:cs="Helvetica Neue"/>
          </w:rPr>
          <w:t xml:space="preserve">14 Fontes e referências</w:t>
        </w:r>
      </w:hyperlink>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Leitura sugerida: a seção 1 apresenta as decisões; 2 a 7 aprofundam evidências e mercado; 8 a 11 refinam a ferramenta; 12 e 13 orientam incorporação e aceite.</w:t>
      </w:r>
    </w:p>
    <w:p>
      <w:pPr>
        <w:pStyle w:val="Heading1"/>
        <w:keepNext/>
        <w:keepLines/>
        <w:pageBreakBefore/>
      </w:pPr>
      <w:bookmarkStart w:id="101" w:name="ghtsection1"/>
      <w:r>
        <w:rPr>
          <w:rFonts w:ascii="Helvetica Neue" w:hAnsi="Helvetica Neue" w:eastAsia="Helvetica Neue" w:cs="Helvetica Neue"/>
        </w:rPr>
        <w:t xml:space="preserve">1 Decisões para a GHT4</w:t>
      </w:r>
      <w:bookmarkEnd w:id="101"/>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A GHT4 deve estruturar a originação em torno de conhecimento setorial, acesso aos decisores e capacidade de converter uma necessidade estratégica em assessoria contratada. O aprofundamento da pesquisa reforça o piloto em Distribuição e Trading Químico, mas exige mais precisão na avaliação de fornecedores representados, aplicações atendidas, qualidade da distribuição e intenção comercial. Uma lista extensa de empresas só será útil quando essas diferenças orientarem a próxima conversa.</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Este memorando complementa o planejamento de 36 páginas e detalha sua aplicação aos sete módulos do documento de requisitos. O primeiro documento continua definindo o processo completo, a arquitetura, os formatos e o backlog B01 a B26. Os refinamentos deste memorando devem ser incorporados à homologação desses itens, especialmente às regras de ranking, ao catálogo de fontes e ao monitoramento de eventos.</w:t>
      </w:r>
      <w:r>
        <w:rPr>
          <w:vertAlign w:val="superscript"/>
        </w:rPr>
        <w:footnoteReference w:id="1"/>
      </w:r>
      <w:r>
        <w:rPr>
          <w:rFonts w:ascii="Helvetica Neue" w:hAnsi="Helvetica Neue" w:eastAsia="Helvetica Neue" w:cs="Helvetica Neue"/>
          <w:vertAlign w:val="superscript"/>
        </w:rPr>
        <w:t xml:space="preserve">⁠, </w:t>
      </w:r>
      <w:r>
        <w:rPr>
          <w:vertAlign w:val="superscript"/>
        </w:rPr>
        <w:footnoteReference w:id="2"/>
      </w: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A recomendação é manter esforço equilibrado entre conquistar mandatos de compra e de venda e iniciar a operação assistida nas primeiras quatro semanas. O desenvolvimento posterior deve melhorar uma rotina comercial já em uso. O prazo de 16 semanas permanece uma hipótese de planejamento condicionada à capacidade disponível; as novas evidências não justificam acrescentar integrações e assinaturas sem avaliar o ganho incremental.</w:t>
      </w:r>
    </w:p>
    <w:p>
      <w:pPr>
        <w:pStyle w:val="Heading2"/>
        <w:keepNext/>
        <w:keepLines/>
      </w:pPr>
      <w:r>
        <w:rPr>
          <w:rFonts w:ascii="Helvetica Neue" w:hAnsi="Helvetica Neue" w:eastAsia="Helvetica Neue" w:cs="Helvetica Neue"/>
        </w:rPr>
        <w:t xml:space="preserve">Refinamentos prioritários</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94"/>
        <w:gridCol w:w="3483"/>
        <w:gridCol w:w="3483"/>
      </w:tblGrid>
      <w:tr w14:paraId="76270B64" w14:textId="77777777">
        <w:trPr>
          <w:tblHeader/>
          <w:cantSplit/>
        </w:trPr>
        <w:tc>
          <w:tcPr>
            <w:tcW w:w="2394"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pPr>
              <w:spacing w:after="35" w:before="35" w:line="240" w:lineRule="auto"/>
              <w:jc w:val="left"/>
            </w:pPr>
            <w:r>
              <w:rPr>
                <w:rFonts w:ascii="Helvetica Neue" w:hAnsi="Helvetica Neue" w:eastAsia="Helvetica Neue" w:cs="Helvetica Neue"/>
                <w:b/>
                <w:sz w:val="20"/>
                <w:szCs w:val="20"/>
                <w:rFonts w:ascii="Helvetica Neue" w:hAnsi="Helvetica Neue"/>
                <w:color w:val="FFFFFF"/>
              </w:rPr>
              <w:t xml:space="preserve">Decisão</w:t>
            </w:r>
          </w:p>
        </w:tc>
        <w:tc>
          <w:tcPr>
            <w:tcW w:w="3483"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pPr>
              <w:spacing w:after="35" w:before="35" w:line="240" w:lineRule="auto"/>
              <w:jc w:val="left"/>
            </w:pPr>
            <w:r>
              <w:rPr>
                <w:rFonts w:ascii="Helvetica Neue" w:hAnsi="Helvetica Neue" w:eastAsia="Helvetica Neue" w:cs="Helvetica Neue"/>
                <w:b/>
                <w:sz w:val="20"/>
                <w:szCs w:val="20"/>
                <w:rFonts w:ascii="Helvetica Neue" w:hAnsi="Helvetica Neue"/>
                <w:color w:val="FFFFFF"/>
              </w:rPr>
              <w:t xml:space="preserve">Mudança proposta</w:t>
            </w:r>
          </w:p>
        </w:tc>
        <w:tc>
          <w:tcPr>
            <w:tcW w:w="3483"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pPr>
              <w:spacing w:after="35" w:before="35" w:line="240" w:lineRule="auto"/>
              <w:jc w:val="left"/>
            </w:pPr>
            <w:r>
              <w:rPr>
                <w:rFonts w:ascii="Helvetica Neue" w:hAnsi="Helvetica Neue" w:eastAsia="Helvetica Neue" w:cs="Helvetica Neue"/>
                <w:b/>
                <w:sz w:val="20"/>
                <w:szCs w:val="20"/>
                <w:rFonts w:ascii="Helvetica Neue" w:hAnsi="Helvetica Neue"/>
                <w:color w:val="FFFFFF"/>
              </w:rPr>
              <w:t xml:space="preserve">Consequência prática</w:t>
            </w:r>
          </w:p>
        </w:tc>
      </w:tr>
      <w:tr w14:paraId="0CB6626E" w14:textId="77777777">
        <w:trPr>
          <w:cantSplit/>
        </w:trPr>
        <w:tc>
          <w:tcPr>
            <w:tcW w:w="239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Objetivo do ranking</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Separar qualidade da empresa, prontidão para transação e oportunidade de contratação</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Uma empresa excelente pode permanecer em relacionamento sem virar proposta</w:t>
            </w:r>
          </w:p>
        </w:tc>
      </w:tr>
      <w:tr w14:paraId="0CB6626E" w14:textId="77777777">
        <w:trPr>
          <w:cantSplit/>
        </w:trPr>
        <w:tc>
          <w:tcPr>
            <w:tcW w:w="239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Especialização química</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Mapear produtos, aplicações, fornecedores representados e serviços técnicos</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Encontrar complementaridade comercial e conflitos de portfólio</w:t>
            </w:r>
          </w:p>
        </w:tc>
      </w:tr>
      <w:tr w14:paraId="0CB6626E" w14:textId="77777777">
        <w:trPr>
          <w:cantSplit/>
        </w:trPr>
        <w:tc>
          <w:tcPr>
            <w:tcW w:w="239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Universo de empresas</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Combinar associações, eventos, cadastros e fontes licenciadas</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Medir cobertura observada e descobrir lacunas</w:t>
            </w:r>
          </w:p>
        </w:tc>
      </w:tr>
      <w:tr w14:paraId="0CB6626E" w14:textId="77777777">
        <w:trPr>
          <w:cantSplit/>
        </w:trPr>
        <w:tc>
          <w:tcPr>
            <w:tcW w:w="239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Datas e controle</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Distinguir evento, anúncio, atualização de página, fechamento e mudança de marca</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Evitar aquisições antigas contadas como novas e grupos duplicados</w:t>
            </w:r>
          </w:p>
        </w:tc>
      </w:tr>
      <w:tr w14:paraId="0CB6626E" w14:textId="77777777">
        <w:trPr>
          <w:cantSplit/>
        </w:trPr>
        <w:tc>
          <w:tcPr>
            <w:tcW w:w="239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Dados de porte</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Identificar receita observada, estimativa do fornecedor e proxy operacional</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Impedir que número presumido seja apresentado como demonstração financeira</w:t>
            </w:r>
          </w:p>
        </w:tc>
      </w:tr>
      <w:tr w14:paraId="0CB6626E" w14:textId="77777777">
        <w:trPr>
          <w:cantSplit/>
        </w:trPr>
        <w:tc>
          <w:tcPr>
            <w:tcW w:w="239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Compra de tecnologia</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Testar dados nas mesmas empresas do piloto</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Contratar por contribuição comprovada, com saída e exportação previstas</w:t>
            </w:r>
          </w:p>
        </w:tc>
      </w:tr>
      <w:tr w14:paraId="0CB6626E" w14:textId="77777777">
        <w:trPr>
          <w:cantSplit/>
        </w:trPr>
        <w:tc>
          <w:tcPr>
            <w:tcW w:w="239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Conversão comercial</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Criar ofertas distintas para vendedores e compradores</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Conectar pesquisa a uma decisão contratável e a um responsável</w:t>
            </w:r>
          </w:p>
        </w:tc>
      </w:tr>
    </w:tbl>
    <w:p>
      <w:pPr>
        <w:spacing w:after="120" w:line="276" w:lineRule="auto"/>
        <w:jc w:val="both"/>
        <w:rPr>
          <w:rFonts w:ascii="Helvetica Neue" w:eastAsia="Helvetica Neue" w:hAnsi="Helvetica Neue" w:cs="Helvetica Neue"/>
        </w:rPr>
        <w:spacing w:after="35" w:line="60" w:lineRule="exact"/>
      </w:pP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As metas, amostras, cadências e critérios propostos neste memorando são escolhas de implementação. As fontes sustentam os problemas e os mecanismos descritos; não demonstram, por si só, que a GHT4 obterá determinada conversão, margem ou retorno.</w:t>
      </w:r>
    </w:p>
    <w:p>
      <w:pPr>
        <w:pStyle w:val="Heading1"/>
        <w:keepNext/>
        <w:keepLines/>
      </w:pPr>
      <w:bookmarkStart w:id="102" w:name="ghtsection2"/>
      <w:r>
        <w:rPr>
          <w:rFonts w:ascii="Helvetica Neue" w:hAnsi="Helvetica Neue" w:eastAsia="Helvetica Neue" w:cs="Helvetica Neue"/>
        </w:rPr>
        <w:t xml:space="preserve">2 Evidências internacionais e brasileiras</w:t>
      </w:r>
      <w:bookmarkEnd w:id="102"/>
    </w:p>
    <w:p>
      <w:pPr>
        <w:pStyle w:val="Heading2"/>
        <w:keepNext/>
        <w:keepLines/>
      </w:pPr>
      <w:r>
        <w:rPr>
          <w:rFonts w:ascii="Helvetica Neue" w:hAnsi="Helvetica Neue" w:eastAsia="Helvetica Neue" w:cs="Helvetica Neue"/>
        </w:rPr>
        <w:t xml:space="preserve">Originação e tecnologia</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A Bain descreve o uso de IA para atualizar continuamente universos de aquisição e investigar alvos antes de processos formais. Para a GHT4, isso sustenta uma lista viva de empresas com gatilhos de revisão e histórico de mudanças. Os exemplos são casos de adquirentes e aplicações específicas; seus ganhos de produtividade não devem ser transferidos diretamente para a boutique.</w:t>
      </w:r>
      <w:r>
        <w:rPr>
          <w:vertAlign w:val="superscript"/>
        </w:rPr>
        <w:footnoteReference w:id="3"/>
      </w: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O estudo de Gompers, Kaplan e Mukharlyamov ouviu 79 investidores de private equity. Na versão de abril de 2015, as respostas indicam aproximadamente 36% dos negócios fechados originados proativamente e 33% gerados por bancos de investimento. Os autores reconhecem não conseguir validar quanto do fluxo descrito como proprietário realmente o era. A evidência favorece múltiplos canais de originação e uma definição rigorosa de origem; é histórica, autorrelatada e não mede contratação de assessoria no Brasil.</w:t>
      </w:r>
      <w:r>
        <w:rPr>
          <w:vertAlign w:val="superscript"/>
        </w:rPr>
        <w:footnoteReference w:id="4"/>
      </w:r>
    </w:p>
    <w:p>
      <w:pPr>
        <w:spacing w:after="120" w:line="276" w:lineRule="auto"/>
        <w:jc w:val="both"/>
        <w:rPr>
          <w:rFonts w:ascii="Helvetica Neue" w:eastAsia="Helvetica Neue" w:hAnsi="Helvetica Neue" w:cs="Helvetica Neue"/>
        </w:rPr>
      </w:pPr>
      <w:r>
        <w:rPr>
          <w:rFonts w:ascii="Helvetica Neue" w:hAnsi="Helvetica Neue" w:eastAsia="Helvetica Neue" w:cs="Helvetica Neue"/>
          <w:b/>
        </w:rPr>
        <w:t xml:space="preserve">Aplicação.</w:t>
      </w:r>
      <w:r>
        <w:rPr>
          <w:rFonts w:ascii="Helvetica Neue" w:hAnsi="Helvetica Neue" w:eastAsia="Helvetica Neue" w:cs="Helvetica Neue"/>
        </w:rPr>
        <w:t xml:space="preserve"> A GHT4 deve registrar separadamente quem descobriu a empresa, quem abriu acesso, quem desenvolveu a oportunidade e quem conduziu a proposta. Um contato encontrado em base pública pode se converter por indicação de um membro do grupo. Atribuir tudo ao primeiro cadastro ou ao último contato esconde como o mandato foi conquistado.</w:t>
      </w:r>
    </w:p>
    <w:p>
      <w:pPr>
        <w:pStyle w:val="Heading2"/>
        <w:keepNext/>
        <w:keepLines/>
      </w:pPr>
      <w:r>
        <w:rPr>
          <w:rFonts w:ascii="Helvetica Neue" w:hAnsi="Helvetica Neue" w:eastAsia="Helvetica Neue" w:cs="Helvetica Neue"/>
        </w:rPr>
        <w:t xml:space="preserve">Mercado amplo não é mercado endereçável</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A KPMG informa 610 transações anunciadas envolvendo empresas brasileiras no primeiro semestre de 2026 e R$ 195 bilhões de valor, com queda de quantidade e aumento de valor ante o período comparado. A publicação também informa mudança metodológica, reagrupamento de setores e possível diferença entre as bases usadas para contar negócios e somar valores divulgados. Esse panorama não dimensiona o mercado de mandatos da GHT4 nem deve ser concatenado automaticamente a séries anteriores.</w:t>
      </w:r>
      <w:r>
        <w:rPr>
          <w:vertAlign w:val="superscript"/>
        </w:rPr>
        <w:footnoteReference w:id="5"/>
      </w: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Na indústria química global, a Kearney descreve concentração do valor em grandes operações e maior seletividade, com foco em ajuste de portfólio e criação operacional de valor. A leitura é útil para formular hipóteses sobre compradores, mas inclui fabricação e ativos industriais de escala muito superior ao piloto. Não autoriza concluir que todo distribuidor brasileiro esteja em consolidação acelerada ou que especialidades sempre obtenham prêmio.</w:t>
      </w:r>
      <w:r>
        <w:rPr>
          <w:vertAlign w:val="superscript"/>
        </w:rPr>
        <w:footnoteReference w:id="6"/>
      </w:r>
    </w:p>
    <w:p>
      <w:pPr>
        <w:spacing w:after="120" w:line="276" w:lineRule="auto"/>
        <w:jc w:val="both"/>
        <w:rPr>
          <w:rFonts w:ascii="Helvetica Neue" w:eastAsia="Helvetica Neue" w:hAnsi="Helvetica Neue" w:cs="Helvetica Neue"/>
        </w:rPr>
      </w:pPr>
      <w:r>
        <w:rPr>
          <w:rFonts w:ascii="Helvetica Neue" w:hAnsi="Helvetica Neue" w:eastAsia="Helvetica Neue" w:cs="Helvetica Neue"/>
          <w:b/>
        </w:rPr>
        <w:t xml:space="preserve">Aplicação.</w:t>
      </w:r>
      <w:r>
        <w:rPr>
          <w:rFonts w:ascii="Helvetica Neue" w:hAnsi="Helvetica Neue" w:eastAsia="Helvetica Neue" w:cs="Helvetica Neue"/>
        </w:rPr>
        <w:t xml:space="preserve"> O painel setorial deve mostrar quantidade de transações, compradores distintos e diversidade de subsegmentos, além de valor divulgado. Uma aquisição muito grande não deve dominar a avaliação de um nicho com poucas empresas compatíveis com a boutique. Desinvestimentos e unidades separáveis merecem uma trilha própria, com avaliação da complexidade antes de entrar na agenda dos sócios.</w:t>
      </w:r>
    </w:p>
    <w:p>
      <w:pPr>
        <w:pStyle w:val="Heading2"/>
        <w:keepNext/>
        <w:keepLines/>
      </w:pPr>
      <w:r>
        <w:rPr>
          <w:rFonts w:ascii="Helvetica Neue" w:hAnsi="Helvetica Neue" w:eastAsia="Helvetica Neue" w:cs="Helvetica Neue"/>
        </w:rPr>
        <w:t xml:space="preserve">O que permanece sem comprovação</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Não foi identificado um benchmark público, representativo e comparável que estabeleça a conversão de apresentação pessoal em mandato de uma boutique brasileira de distribuição química. Também não há comprovação pública suficiente para fixar uma probabilidade de venda de cada empresa ou um múltiplo único para o piloto. Essas lacunas devem aparecer como perguntas comerciais e dados a obter, sem preenchimento por médias genéricas.</w:t>
      </w:r>
    </w:p>
    <w:p>
      <w:pPr>
        <w:pStyle w:val="Heading1"/>
        <w:keepNext/>
        <w:keepLines/>
      </w:pPr>
      <w:bookmarkStart w:id="103" w:name="ghtsection3"/>
      <w:r>
        <w:rPr>
          <w:rFonts w:ascii="Helvetica Neue" w:hAnsi="Helvetica Neue" w:eastAsia="Helvetica Neue" w:cs="Helvetica Neue"/>
        </w:rPr>
        <w:t xml:space="preserve">3 Canais de prospecção e relacionamento</w:t>
      </w:r>
      <w:bookmarkEnd w:id="103"/>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O programa da Axial mostra um mecanismo concreto de encaminhamento de empresários para assessores compatíveis com sua experiência. É uma referência de desenho de canal e de coordenação entre participantes, não uma recomendação automática de contratação ou evidência de cobertura no Brasil. Para a GHT4, o equivalente operacional é uma rede organizada de referências, com critérios de encaixe, responsável e retorno ao originador.</w:t>
      </w:r>
      <w:r>
        <w:rPr>
          <w:vertAlign w:val="superscript"/>
        </w:rPr>
        <w:footnoteReference w:id="7"/>
      </w:r>
    </w:p>
    <w:p>
      <w:pPr>
        <w:pStyle w:val="Heading2"/>
        <w:keepNext/>
        <w:keepLines/>
      </w:pPr>
      <w:r>
        <w:rPr>
          <w:rFonts w:ascii="Helvetica Neue" w:hAnsi="Helvetica Neue" w:eastAsia="Helvetica Neue" w:cs="Helvetica Neue"/>
        </w:rPr>
        <w:t xml:space="preserve">Carteira de canais proposta</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94"/>
        <w:gridCol w:w="3483"/>
        <w:gridCol w:w="3483"/>
      </w:tblGrid>
      <w:tr w14:paraId="76270B64" w14:textId="77777777">
        <w:trPr>
          <w:tblHeader/>
          <w:cantSplit/>
        </w:trPr>
        <w:tc>
          <w:tcPr>
            <w:tcW w:w="2394"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pPr>
              <w:spacing w:after="35" w:before="35" w:line="240" w:lineRule="auto"/>
              <w:jc w:val="left"/>
            </w:pPr>
            <w:r>
              <w:rPr>
                <w:rFonts w:ascii="Helvetica Neue" w:hAnsi="Helvetica Neue" w:eastAsia="Helvetica Neue" w:cs="Helvetica Neue"/>
                <w:b/>
                <w:sz w:val="20"/>
                <w:szCs w:val="20"/>
                <w:rFonts w:ascii="Helvetica Neue" w:hAnsi="Helvetica Neue"/>
                <w:color w:val="FFFFFF"/>
              </w:rPr>
              <w:t xml:space="preserve">Canal</w:t>
            </w:r>
          </w:p>
        </w:tc>
        <w:tc>
          <w:tcPr>
            <w:tcW w:w="3483"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pPr>
              <w:spacing w:after="35" w:before="35" w:line="240" w:lineRule="auto"/>
              <w:jc w:val="left"/>
            </w:pPr>
            <w:r>
              <w:rPr>
                <w:rFonts w:ascii="Helvetica Neue" w:hAnsi="Helvetica Neue" w:eastAsia="Helvetica Neue" w:cs="Helvetica Neue"/>
                <w:b/>
                <w:sz w:val="20"/>
                <w:szCs w:val="20"/>
                <w:rFonts w:ascii="Helvetica Neue" w:hAnsi="Helvetica Neue"/>
                <w:color w:val="FFFFFF"/>
              </w:rPr>
              <w:t xml:space="preserve">Trabalho da GHT4</w:t>
            </w:r>
          </w:p>
        </w:tc>
        <w:tc>
          <w:tcPr>
            <w:tcW w:w="3483"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pPr>
              <w:spacing w:after="35" w:before="35" w:line="240" w:lineRule="auto"/>
              <w:jc w:val="left"/>
            </w:pPr>
            <w:r>
              <w:rPr>
                <w:rFonts w:ascii="Helvetica Neue" w:hAnsi="Helvetica Neue" w:eastAsia="Helvetica Neue" w:cs="Helvetica Neue"/>
                <w:b/>
                <w:sz w:val="20"/>
                <w:szCs w:val="20"/>
                <w:rFonts w:ascii="Helvetica Neue" w:hAnsi="Helvetica Neue"/>
                <w:color w:val="FFFFFF"/>
              </w:rPr>
              <w:t xml:space="preserve">Medida de qualidade</w:t>
            </w:r>
          </w:p>
        </w:tc>
      </w:tr>
      <w:tr w14:paraId="0CB6626E" w14:textId="77777777">
        <w:trPr>
          <w:cantSplit/>
        </w:trPr>
        <w:tc>
          <w:tcPr>
            <w:tcW w:w="239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Rede do grupo</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Relacionar empresas prioritárias a apresentações possíveis e confirmadas</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Introduções realizadas e conversas qualificadas</w:t>
            </w:r>
          </w:p>
        </w:tc>
      </w:tr>
      <w:tr w14:paraId="0CB6626E" w14:textId="77777777">
        <w:trPr>
          <w:cantSplit/>
        </w:trPr>
        <w:tc>
          <w:tcPr>
            <w:tcW w:w="239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Contadores e assessores do empresário</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Trocar teses e critérios de atendimento; receber casos com contexto</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Indicações aderentes e evolução para diagnóstico</w:t>
            </w:r>
          </w:p>
        </w:tc>
      </w:tr>
      <w:tr w14:paraId="0CB6626E" w14:textId="77777777">
        <w:trPr>
          <w:cantSplit/>
        </w:trPr>
        <w:tc>
          <w:tcPr>
            <w:tcW w:w="239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Advogados e consultores setoriais</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Desenvolver relação em situações de expansão, sucessão e reorganização</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Necessidade real identificada, respeitado o sigilo</w:t>
            </w:r>
          </w:p>
        </w:tc>
      </w:tr>
      <w:tr w14:paraId="0CB6626E" w14:textId="77777777">
        <w:trPr>
          <w:cantSplit/>
        </w:trPr>
        <w:tc>
          <w:tcPr>
            <w:tcW w:w="239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Compradores e fundos</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Atualizar tese, faixa de investimento e recursos de execução</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Briefs completos e disposição para contratar</w:t>
            </w:r>
          </w:p>
        </w:tc>
      </w:tr>
      <w:tr w14:paraId="0CB6626E" w14:textId="77777777">
        <w:trPr>
          <w:cantSplit/>
        </w:trPr>
        <w:tc>
          <w:tcPr>
            <w:tcW w:w="239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Prospecção direta por conta</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Abordar com hipótese específica e evidência relevante</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Respostas substantivas e reuniões realizadas</w:t>
            </w:r>
          </w:p>
        </w:tc>
      </w:tr>
      <w:tr w14:paraId="0CB6626E" w14:textId="77777777">
        <w:trPr>
          <w:cantSplit/>
        </w:trPr>
        <w:tc>
          <w:tcPr>
            <w:tcW w:w="239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Associações e eventos</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Preparar contas e interlocutores antes das interações</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Conversas com continuidade registrada</w:t>
            </w:r>
          </w:p>
        </w:tc>
      </w:tr>
      <w:tr w14:paraId="0CB6626E" w14:textId="77777777">
        <w:trPr>
          <w:cantSplit/>
        </w:trPr>
        <w:tc>
          <w:tcPr>
            <w:tcW w:w="239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Conteúdo e presença institucional</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Publicar análises úteis e experiências autorizadas</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Contatos aderentes que solicitam uma conversa</w:t>
            </w:r>
          </w:p>
        </w:tc>
      </w:tr>
      <w:tr w14:paraId="0CB6626E" w14:textId="77777777">
        <w:trPr>
          <w:cantSplit/>
        </w:trPr>
        <w:tc>
          <w:tcPr>
            <w:tcW w:w="239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Clientes e relações anteriores</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Rever alternativas e pedir apresentações pertinentes</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Novas necessidades e recorrência de mandato</w:t>
            </w:r>
          </w:p>
        </w:tc>
      </w:tr>
    </w:tbl>
    <w:p>
      <w:pPr>
        <w:spacing w:after="120" w:line="276" w:lineRule="auto"/>
        <w:jc w:val="both"/>
        <w:rPr>
          <w:rFonts w:ascii="Helvetica Neue" w:eastAsia="Helvetica Neue" w:hAnsi="Helvetica Neue" w:cs="Helvetica Neue"/>
        </w:rPr>
        <w:spacing w:after="35" w:line="60" w:lineRule="exact"/>
      </w:pP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Os canais devem produzir oportunidades no mesmo CRM. O registro mínimo inclui empresa, pessoa, papel, contexto, vínculo do originador, próxima ação, data e restrições de uso. A remuneração por indicação, quando cogitada, deve ser definida em instrumento próprio com análise dos conflitos e obrigações aplicáveis; o percentual de um programa estrangeiro não deve virar padrão da GHT4.</w:t>
      </w:r>
    </w:p>
    <w:p>
      <w:pPr>
        <w:pStyle w:val="Heading2"/>
        <w:keepNext/>
        <w:keepLines/>
      </w:pPr>
      <w:r>
        <w:rPr>
          <w:rFonts w:ascii="Helvetica Neue" w:hAnsi="Helvetica Neue" w:eastAsia="Helvetica Neue" w:cs="Helvetica Neue"/>
        </w:rPr>
        <w:t xml:space="preserve">Conteúdo que facilita a abordagem</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O conteúdo comercial deve responder a uma dúvida do empresário. Exemplos propostos: como avaliar alternativas de crescimento; o que um comprador examina em um distribuidor técnico; quais informações são necessárias antes de discutir valor; e como a concentração de fornecedores afeta uma transação. Um relatório setorial pode abrir a conversa, mas a abordagem deve explicar por que aquele tema é relevante para aquela conta.</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Um ciclo mensal pode combinar uma nota setorial curta, revisão de contas com sinais novos e conversas individuais. A frequência é uma proposta de operação, não evidência de uma cadência universal. Cada interação deve acrescentar contexto; recusas explícitas e restrições de contato encerram ou suspendem a sequência correspondente.</w:t>
      </w:r>
    </w:p>
    <w:p>
      <w:pPr>
        <w:pStyle w:val="Heading1"/>
        <w:keepNext/>
        <w:keepLines/>
      </w:pPr>
      <w:bookmarkStart w:id="104" w:name="ghtsection4"/>
      <w:r>
        <w:rPr>
          <w:rFonts w:ascii="Helvetica Neue" w:hAnsi="Helvetica Neue" w:eastAsia="Helvetica Neue" w:cs="Helvetica Neue"/>
        </w:rPr>
        <w:t xml:space="preserve">4 Conversão em mandatos de venda e de compra</w:t>
      </w:r>
      <w:bookmarkEnd w:id="104"/>
    </w:p>
    <w:p>
      <w:pPr>
        <w:pStyle w:val="Heading2"/>
        <w:keepNext/>
        <w:keepLines/>
      </w:pPr>
      <w:r>
        <w:rPr>
          <w:rFonts w:ascii="Helvetica Neue" w:hAnsi="Helvetica Neue" w:eastAsia="Helvetica Neue" w:cs="Helvetica Neue"/>
        </w:rPr>
        <w:t xml:space="preserve">Oferta para potenciais vendedores</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O Exit Planning Institute trata preparação empresarial, financeira e pessoal como dimensões da transição do proprietário. A publicação de 2025 refere-se a gerações de empresários nos Estados Unidos e não permite inferir intenção de venda a partir da idade ou do controle familiar. A aplicação útil é organizar uma conversa sobre objetivos, prontidão e alternativas.</w:t>
      </w:r>
      <w:r>
        <w:rPr>
          <w:vertAlign w:val="superscript"/>
        </w:rPr>
        <w:footnoteReference w:id="8"/>
      </w: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A GHT4 pode propor um diagnóstico de alternativas estratégicas com quatro saídas: necessidade dos acionistas; condições para uma transação; lacunas de preparação; e próximos passos possíveis. A reunião deve esclarecer se há interesse em venda total, venda parcial, novo sócio, aquisição, capital para crescimento ou apenas informação. A disposição de pagar por assessoria é uma questão distinta da qualidade da empresa.</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b/>
        </w:rPr>
        <w:t xml:space="preserve">Perguntas para o diagnóstico.</w:t>
      </w:r>
      <w:r>
        <w:rPr>
          <w:rFonts w:ascii="Helvetica Neue" w:hAnsi="Helvetica Neue" w:eastAsia="Helvetica Neue" w:cs="Helvetica Neue"/>
        </w:rPr>
        <w:t xml:space="preserve"> Qual decisão os sócios querem tomar e em que horizonte? Existe alinhamento entre os acionistas relevantes? O que querem preservar após uma eventual operação? Há informação financeira utilizável? Quais dependências de fornecedor, cliente ou executivo dificultam a transição? Quem decide sobre contratação e qual é o próximo passo concreto?</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O diagnóstico pode encaminhar diretamente a um mandato ou a uma etapa de preparação com escopo próprio, conforme a política comercial da GHT4. A proposta precisa apresentar entregas, participação dos sócios, exclusões, condições de remuneração, responsabilidades e tratamento da confidencialidade. Não se deve prometer compradores interessados sem evidência e autorização para representá-los.</w:t>
      </w:r>
    </w:p>
    <w:p>
      <w:pPr>
        <w:pStyle w:val="Heading2"/>
        <w:keepNext/>
        <w:keepLines/>
      </w:pPr>
      <w:r>
        <w:rPr>
          <w:rFonts w:ascii="Helvetica Neue" w:hAnsi="Helvetica Neue" w:eastAsia="Helvetica Neue" w:cs="Helvetica Neue"/>
        </w:rPr>
        <w:t xml:space="preserve">Oferta para potenciais compradores</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O caso Leadec divulgado pela Oaklins documenta uma assessoria buy-side em regime de busca contratada, envolvendo definição de segmentos e identificação de empresas. É um exemplo histórico de outro setor e outra geografia; demonstra a existência de uma oferta de pesquisa e execução vinculada à tese do comprador, sem fornecer uma tabela de honorários aplicável à GHT4.</w:t>
      </w:r>
      <w:r>
        <w:rPr>
          <w:vertAlign w:val="superscript"/>
        </w:rPr>
        <w:footnoteReference w:id="9"/>
      </w: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Para distribuição química, a proposta de compra deve partir de uma lacuna: aplicação ainda não atendida, fornecedor desejado, região, capacidade técnica ou logística, carteira complementar ou plataforma inicial no Brasil. A GHT4 pode oferecer definição da tese, construção do universo, seleção, acesso aos alvos e suporte à execução. O valor comercial está em reduzir incerteza e gerar conversas aderentes à estratégia.</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b/>
        </w:rPr>
        <w:t xml:space="preserve">Qualificação mínima.</w:t>
      </w:r>
      <w:r>
        <w:rPr>
          <w:rFonts w:ascii="Helvetica Neue" w:hAnsi="Helvetica Neue" w:eastAsia="Helvetica Neue" w:cs="Helvetica Neue"/>
        </w:rPr>
        <w:t xml:space="preserve"> Registrar patrocinador interno, alçada de aprovação, faixa de investimento, fonte de recursos, limite de alavancagem quando aplicável, preferência por controle ou participação, capacidade de integração, exclusões e papel esperado do assessor. Para fundos, distinguir fundo, gestora e plataforma investida e confirmar quem pode contratar. Uma aquisição histórica é um indício a investigar, não uma ordem de compra vigente.</w:t>
      </w:r>
    </w:p>
    <w:p>
      <w:pPr>
        <w:pStyle w:val="Heading2"/>
        <w:keepNext/>
        <w:keepLines/>
      </w:pPr>
      <w:r>
        <w:rPr>
          <w:rFonts w:ascii="Helvetica Neue" w:hAnsi="Helvetica Neue" w:eastAsia="Helvetica Neue" w:cs="Helvetica Neue"/>
        </w:rPr>
        <w:t xml:space="preserve">Equilíbrio de capacidade</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Dividir inicialmente as horas comerciais entre as duas frentes, conforme definido para o piloto. Não exigir o mesmo número de nomes ou mensagens: uma conta compradora pode demandar mais preparação e gerar várias buscas. A revisão quinzenal deve comparar horas, oportunidades qualificadas, propostas e margens potenciais, mantendo visíveis os casos ainda abertos.</w:t>
      </w:r>
    </w:p>
    <w:p>
      <w:pPr>
        <w:pStyle w:val="Heading1"/>
        <w:keepNext/>
        <w:keepLines/>
      </w:pPr>
      <w:bookmarkStart w:id="105" w:name="ghtsection5"/>
      <w:r>
        <w:rPr>
          <w:rFonts w:ascii="Helvetica Neue" w:hAnsi="Helvetica Neue" w:eastAsia="Helvetica Neue" w:cs="Helvetica Neue"/>
        </w:rPr>
        <w:t xml:space="preserve">5 Tese de distribuição química</w:t>
      </w:r>
      <w:bookmarkEnd w:id="105"/>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O comunicado do ICIS Top 100 de 2026 informa que o ranking utiliza vendas de 2025 e câmbio de fim daquele ano e reúne informações sobre cerca de 300 empresas, incluindo recortes regionais. É uma fonte útil para descobrir grupos e acompanhar escala relativa, mas receitas globais dos participantes não representam o tamanho do mercado brasileiro de distribuição.</w:t>
      </w:r>
      <w:r>
        <w:rPr>
          <w:vertAlign w:val="superscript"/>
        </w:rPr>
        <w:footnoteReference w:id="10"/>
      </w:r>
    </w:p>
    <w:p>
      <w:pPr>
        <w:pStyle w:val="Heading2"/>
        <w:keepNext/>
        <w:keepLines/>
      </w:pPr>
      <w:r>
        <w:rPr>
          <w:rFonts w:ascii="Helvetica Neue" w:hAnsi="Helvetica Neue" w:eastAsia="Helvetica Neue" w:cs="Helvetica Neue"/>
        </w:rPr>
        <w:t xml:space="preserve">Matriz comercial por aplicação e modelo de negócio</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94"/>
        <w:gridCol w:w="3483"/>
        <w:gridCol w:w="3483"/>
      </w:tblGrid>
      <w:tr w14:paraId="76270B64" w14:textId="77777777">
        <w:trPr>
          <w:tblHeader/>
          <w:cantSplit/>
        </w:trPr>
        <w:tc>
          <w:tcPr>
            <w:tcW w:w="2394"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pPr>
              <w:spacing w:after="35" w:before="35" w:line="240" w:lineRule="auto"/>
              <w:jc w:val="left"/>
            </w:pPr>
            <w:r>
              <w:rPr>
                <w:rFonts w:ascii="Helvetica Neue" w:hAnsi="Helvetica Neue" w:eastAsia="Helvetica Neue" w:cs="Helvetica Neue"/>
                <w:b/>
                <w:sz w:val="20"/>
                <w:szCs w:val="20"/>
                <w:rFonts w:ascii="Helvetica Neue" w:hAnsi="Helvetica Neue"/>
                <w:color w:val="FFFFFF"/>
              </w:rPr>
              <w:t xml:space="preserve">Recorte</w:t>
            </w:r>
          </w:p>
        </w:tc>
        <w:tc>
          <w:tcPr>
            <w:tcW w:w="3483"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pPr>
              <w:spacing w:after="35" w:before="35" w:line="240" w:lineRule="auto"/>
              <w:jc w:val="left"/>
            </w:pPr>
            <w:r>
              <w:rPr>
                <w:rFonts w:ascii="Helvetica Neue" w:hAnsi="Helvetica Neue" w:eastAsia="Helvetica Neue" w:cs="Helvetica Neue"/>
                <w:b/>
                <w:sz w:val="20"/>
                <w:szCs w:val="20"/>
                <w:rFonts w:ascii="Helvetica Neue" w:hAnsi="Helvetica Neue"/>
                <w:color w:val="FFFFFF"/>
              </w:rPr>
              <w:t xml:space="preserve">Capacidades a investigar</w:t>
            </w:r>
          </w:p>
        </w:tc>
        <w:tc>
          <w:tcPr>
            <w:tcW w:w="3483"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pPr>
              <w:spacing w:after="35" w:before="35" w:line="240" w:lineRule="auto"/>
              <w:jc w:val="left"/>
            </w:pPr>
            <w:r>
              <w:rPr>
                <w:rFonts w:ascii="Helvetica Neue" w:hAnsi="Helvetica Neue" w:eastAsia="Helvetica Neue" w:cs="Helvetica Neue"/>
                <w:b/>
                <w:sz w:val="20"/>
                <w:szCs w:val="20"/>
                <w:rFonts w:ascii="Helvetica Neue" w:hAnsi="Helvetica Neue"/>
                <w:color w:val="FFFFFF"/>
              </w:rPr>
              <w:t xml:space="preserve">Questão para o potencial comprador</w:t>
            </w:r>
          </w:p>
        </w:tc>
      </w:tr>
      <w:tr w14:paraId="0CB6626E" w14:textId="77777777">
        <w:trPr>
          <w:cantSplit/>
        </w:trPr>
        <w:tc>
          <w:tcPr>
            <w:tcW w:w="239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Beleza e cuidados pessoais</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Formulação, ativos, laboratório, acesso a marcas e fornecedores</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Qual lacuna técnica ou de portfólio a aquisição preencheria?</w:t>
            </w:r>
          </w:p>
        </w:tc>
      </w:tr>
      <w:tr w14:paraId="0CB6626E" w14:textId="77777777">
        <w:trPr>
          <w:cantSplit/>
        </w:trPr>
        <w:tc>
          <w:tcPr>
            <w:tcW w:w="239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Pharma e nutrição</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Qualificação de ingredientes, suporte técnico e atendimento especializado</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As competências e autorizações correspondem às aplicações desejadas?</w:t>
            </w:r>
          </w:p>
        </w:tc>
      </w:tr>
      <w:tr w14:paraId="0CB6626E" w14:textId="77777777">
        <w:trPr>
          <w:cantSplit/>
        </w:trPr>
        <w:tc>
          <w:tcPr>
            <w:tcW w:w="239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Tintas adesivos e construção</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Pigmentos, aditivos, resinas, testes e suporte à aplicação</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Há complementaridade de produtos e canais ou conflitos de representação?</w:t>
            </w:r>
          </w:p>
        </w:tc>
      </w:tr>
      <w:tr w14:paraId="0CB6626E" w14:textId="77777777">
        <w:trPr>
          <w:cantSplit/>
        </w:trPr>
        <w:tc>
          <w:tcPr>
            <w:tcW w:w="239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Plásticos e borracha</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Polímeros, elastômeros, aditivos e conhecimento da transformação</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A carteira amplia aplicações ou apenas sobrepõe linhas existentes?</w:t>
            </w:r>
          </w:p>
        </w:tc>
      </w:tr>
      <w:tr w14:paraId="0CB6626E" w14:textId="77777777">
        <w:trPr>
          <w:cantSplit/>
        </w:trPr>
        <w:tc>
          <w:tcPr>
            <w:tcW w:w="239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Limpeza e tratamento de água</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Portfólio, cobertura regional e atendimento técnico</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O serviço e o conhecimento do cliente sustentam diferenciação?</w:t>
            </w:r>
          </w:p>
        </w:tc>
      </w:tr>
      <w:tr w14:paraId="0CB6626E" w14:textId="77777777">
        <w:trPr>
          <w:cantSplit/>
        </w:trPr>
        <w:tc>
          <w:tcPr>
            <w:tcW w:w="239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Químicos básicos e trading</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Suprimento, crédito, estoques, armazenagem e logística</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O ganho depende de escala, capital de giro ou vantagem de abastecimento?</w:t>
            </w:r>
          </w:p>
        </w:tc>
      </w:tr>
    </w:tbl>
    <w:p>
      <w:pPr>
        <w:spacing w:after="120" w:line="276" w:lineRule="auto"/>
        <w:jc w:val="both"/>
        <w:rPr>
          <w:rFonts w:ascii="Helvetica Neue" w:eastAsia="Helvetica Neue" w:hAnsi="Helvetica Neue" w:cs="Helvetica Neue"/>
        </w:rPr>
        <w:spacing w:after="35" w:line="60" w:lineRule="exact"/>
      </w:pP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Uma empresa pode atuar em vários recortes. A classificação deve ter dimensões independentes para produto, aplicação, modelo operacional e geografia. Distribuidor puro, fabricante com distribuição, formulador, importador e agente comercial não são categorias intercambiáveis. Para o ranking, a atividade predominante e a composição de receita devem ser confirmadas quando forem determinantes.</w:t>
      </w:r>
    </w:p>
    <w:p>
      <w:pPr>
        <w:pStyle w:val="Heading2"/>
        <w:keepNext/>
        <w:keepLines/>
      </w:pPr>
      <w:r>
        <w:rPr>
          <w:rFonts w:ascii="Helvetica Neue" w:hAnsi="Helvetica Neue" w:eastAsia="Helvetica Neue" w:cs="Helvetica Neue"/>
        </w:rPr>
        <w:t xml:space="preserve">Campos que aumentam a utilidade do dossiê</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Proposta de enriquecimento: fabricantes representados; famílias de produtos; aplicação atendida; território; evidência de exclusividade; serviços técnicos; laboratório; localização de estoques; estrutura própria ou terceirizada; dependência de pessoas-chave; e exposição a importações. Na etapa de conversa e mediante compartilhamento autorizado, acrescentar concentração de receita e margem bruta por cliente e fornecedor, estabilidade de contratos, giro de estoque e qualidade dos recebíveis.</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O PRODIR é um processo de gestão desenhado para distribuição química, com práticas, auditoria e indicadores. A ferramenta pode registrar evidência de participação ou certificação, escopo e validade. A ausência de informação pública deve ser marcada como desconhecida; presença de um logotipo não comprova sozinho o atendimento integral de todas as obrigações da empresa.</w:t>
      </w:r>
      <w:r>
        <w:rPr>
          <w:vertAlign w:val="superscript"/>
        </w:rPr>
        <w:footnoteReference w:id="11"/>
      </w:r>
    </w:p>
    <w:p>
      <w:pPr>
        <w:spacing w:after="120" w:line="276" w:lineRule="auto"/>
        <w:jc w:val="both"/>
        <w:rPr>
          <w:rFonts w:ascii="Helvetica Neue" w:eastAsia="Helvetica Neue" w:hAnsi="Helvetica Neue" w:cs="Helvetica Neue"/>
        </w:rPr>
      </w:pPr>
      <w:r>
        <w:rPr>
          <w:rFonts w:ascii="Helvetica Neue" w:hAnsi="Helvetica Neue" w:eastAsia="Helvetica Neue" w:cs="Helvetica Neue"/>
          <w:b/>
        </w:rPr>
        <w:t xml:space="preserve">Critério central.</w:t>
      </w:r>
      <w:r>
        <w:rPr>
          <w:rFonts w:ascii="Helvetica Neue" w:hAnsi="Helvetica Neue" w:eastAsia="Helvetica Neue" w:cs="Helvetica Neue"/>
        </w:rPr>
        <w:t xml:space="preserve"> O potencial de combinação depende também dos fornecedores representados. Dois distribuidores com catálogos semelhantes podem ter sinergia, competição direta ou incompatibilidade contratual. No matchmaking, a relação entre produto, fornecedor e território precisa aparecer como hipótese verificável, com a análise contratual reservada à fase adequada.</w:t>
      </w:r>
    </w:p>
    <w:p>
      <w:pPr>
        <w:pStyle w:val="Heading1"/>
        <w:keepNext/>
        <w:keepLines/>
      </w:pPr>
      <w:bookmarkStart w:id="106" w:name="ghtsection6"/>
      <w:r>
        <w:rPr>
          <w:rFonts w:ascii="Helvetica Neue" w:hAnsi="Helvetica Neue" w:eastAsia="Helvetica Neue" w:cs="Helvetica Neue"/>
        </w:rPr>
        <w:t xml:space="preserve">6 Casos reais e contas para monitoramento</w:t>
      </w:r>
      <w:bookmarkEnd w:id="106"/>
    </w:p>
    <w:p>
      <w:pPr>
        <w:pStyle w:val="Heading2"/>
        <w:keepNext/>
        <w:keepLines/>
      </w:pPr>
      <w:r>
        <w:rPr>
          <w:rFonts w:ascii="Helvetica Neue" w:hAnsi="Helvetica Neue" w:eastAsia="Helvetica Neue" w:cs="Helvetica Neue"/>
        </w:rPr>
        <w:t xml:space="preserve">Evidências recentes e históricas</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A Safic-Alcan comunicou a aquisição integral da Colormix em 2 de junho de 2026. O texto destaca atuação em coatings, plásticos e life sciences, relações com fornecedores, laboratórios e alcance comercial. É uma referência recente para desenhar critérios de seleção; a Colormix deve ser tratada como empresa adquirida segundo o comunicado, sem presumir disponibilidade para um mandato de venda independente.</w:t>
      </w:r>
      <w:r>
        <w:rPr>
          <w:vertAlign w:val="superscript"/>
        </w:rPr>
        <w:footnoteReference w:id="12"/>
      </w: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A aquisição majoritária da Anders, descrita em comunicado de 1 de outubro de 2025, reforça a dimensão regional: o grupo reúne presença em vários países sul-americanos e o comprador declara complementaridade com suas operações no Brasil. Para a GHT4, isso sugere investigar a expansão regional como tese, sem assumir que seja prioridade de aquisição atual para qualquer empresa da lista.</w:t>
      </w:r>
      <w:r>
        <w:rPr>
          <w:vertAlign w:val="superscript"/>
        </w:rPr>
        <w:footnoteReference w:id="13"/>
      </w: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O anúncio de PIC e PharmaSpecial pela Brenntag, em agosto de 2024, associa a operação a pharma, personal care e capacidades de aplicação; naquele texto, o fechamento dependia de condições. Já o resultado do segundo trimestre de 2026 descreve a continuidade da estratégia de aquisições complementares e o anúncio de Woojin Trading na Coreia do Sul. A ficha deve distinguir esses eventos e seus estágios.</w:t>
      </w:r>
      <w:r>
        <w:rPr>
          <w:vertAlign w:val="superscript"/>
        </w:rPr>
        <w:footnoteReference w:id="14"/>
      </w:r>
      <w:r>
        <w:rPr>
          <w:rFonts w:ascii="Helvetica Neue" w:hAnsi="Helvetica Neue" w:eastAsia="Helvetica Neue" w:cs="Helvetica Neue"/>
          <w:vertAlign w:val="superscript"/>
        </w:rPr>
        <w:t xml:space="preserve">⁠, </w:t>
      </w:r>
      <w:r>
        <w:rPr>
          <w:vertAlign w:val="superscript"/>
        </w:rPr>
        <w:footnoteReference w:id="15"/>
      </w: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Azelis informa contribuição de aquisições em seus resultados do primeiro semestre de 2026 e enfatiza crescimento e preservação de caixa. A página de notícias da IMCD registra, entre outros eventos de 2026, o anúncio de Merit Solution na Tailândia, resultados semestrais e mudança de liderança no Brasil. São fontes para manter contas atualizadas, sem classificar aumento de receita por integração histórica ou troca de executivo como novo mandato de aquisição.</w:t>
      </w:r>
      <w:r>
        <w:rPr>
          <w:vertAlign w:val="superscript"/>
        </w:rPr>
        <w:footnoteReference w:id="16"/>
      </w:r>
      <w:r>
        <w:rPr>
          <w:rFonts w:ascii="Helvetica Neue" w:hAnsi="Helvetica Neue" w:eastAsia="Helvetica Neue" w:cs="Helvetica Neue"/>
          <w:vertAlign w:val="superscript"/>
        </w:rPr>
        <w:t xml:space="preserve">⁠, </w:t>
      </w:r>
      <w:r>
        <w:rPr>
          <w:vertAlign w:val="superscript"/>
        </w:rPr>
        <w:footnoteReference w:id="17"/>
      </w: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A Barentz anunciou Metachem e Chemtra em abril de 2023, com racional de performance materials e complementaridade com sua operação regional. Essa referência já está fora da janela de 36 meses em 10 de setembro de 2026. A parceria de distribuição com IQT, divulgada em dezembro de 2025, é outro tipo de evento e não deve incrementar a contagem de aquisições.</w:t>
      </w:r>
      <w:r>
        <w:rPr>
          <w:vertAlign w:val="superscript"/>
        </w:rPr>
        <w:footnoteReference w:id="18"/>
      </w:r>
      <w:r>
        <w:rPr>
          <w:rFonts w:ascii="Helvetica Neue" w:hAnsi="Helvetica Neue" w:eastAsia="Helvetica Neue" w:cs="Helvetica Neue"/>
          <w:vertAlign w:val="superscript"/>
        </w:rPr>
        <w:t xml:space="preserve">⁠, </w:t>
      </w:r>
      <w:r>
        <w:rPr>
          <w:vertAlign w:val="superscript"/>
        </w:rPr>
        <w:footnoteReference w:id="19"/>
      </w: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A Caldic informou em janeiro de 2023 a mudança de marca das antigas operações GTM e quantiQ. O caso demonstra a necessidade de preservar nomes históricos e vínculos de grupo. A ferramenta não deve criar três consolidadores independentes apenas porque encontrou três marcas, nem fundir todas as pessoas jurídicas em um único CNPJ.</w:t>
      </w:r>
      <w:r>
        <w:rPr>
          <w:vertAlign w:val="superscript"/>
        </w:rPr>
        <w:footnoteReference w:id="20"/>
      </w:r>
    </w:p>
    <w:p>
      <w:pPr>
        <w:pStyle w:val="Heading2"/>
        <w:keepNext/>
        <w:keepLines/>
      </w:pPr>
      <w:r>
        <w:rPr>
          <w:rFonts w:ascii="Helvetica Neue" w:hAnsi="Helvetica Neue" w:eastAsia="Helvetica Neue" w:cs="Helvetica Neue"/>
        </w:rPr>
        <w:t xml:space="preserve">Próxima investigação por conta</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94"/>
        <w:gridCol w:w="3483"/>
        <w:gridCol w:w="3483"/>
      </w:tblGrid>
      <w:tr w14:paraId="76270B64" w14:textId="77777777">
        <w:trPr>
          <w:tblHeader/>
          <w:cantSplit/>
        </w:trPr>
        <w:tc>
          <w:tcPr>
            <w:tcW w:w="2394"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pPr>
              <w:spacing w:after="35" w:before="35" w:line="240" w:lineRule="auto"/>
              <w:jc w:val="left"/>
            </w:pPr>
            <w:r>
              <w:rPr>
                <w:rFonts w:ascii="Helvetica Neue" w:hAnsi="Helvetica Neue" w:eastAsia="Helvetica Neue" w:cs="Helvetica Neue"/>
                <w:b/>
                <w:sz w:val="20"/>
                <w:szCs w:val="20"/>
                <w:rFonts w:ascii="Helvetica Neue" w:hAnsi="Helvetica Neue"/>
                <w:color w:val="FFFFFF"/>
              </w:rPr>
              <w:t xml:space="preserve">Grupo de referência</w:t>
            </w:r>
          </w:p>
        </w:tc>
        <w:tc>
          <w:tcPr>
            <w:tcW w:w="3483"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pPr>
              <w:spacing w:after="35" w:before="35" w:line="240" w:lineRule="auto"/>
              <w:jc w:val="left"/>
            </w:pPr>
            <w:r>
              <w:rPr>
                <w:rFonts w:ascii="Helvetica Neue" w:hAnsi="Helvetica Neue" w:eastAsia="Helvetica Neue" w:cs="Helvetica Neue"/>
                <w:b/>
                <w:sz w:val="20"/>
                <w:szCs w:val="20"/>
                <w:rFonts w:ascii="Helvetica Neue" w:hAnsi="Helvetica Neue"/>
                <w:color w:val="FFFFFF"/>
              </w:rPr>
              <w:t xml:space="preserve">Hipótese a qualificar</w:t>
            </w:r>
          </w:p>
        </w:tc>
        <w:tc>
          <w:tcPr>
            <w:tcW w:w="3483"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pPr>
              <w:spacing w:after="35" w:before="35" w:line="240" w:lineRule="auto"/>
              <w:jc w:val="left"/>
            </w:pPr>
            <w:r>
              <w:rPr>
                <w:rFonts w:ascii="Helvetica Neue" w:hAnsi="Helvetica Neue" w:eastAsia="Helvetica Neue" w:cs="Helvetica Neue"/>
                <w:b/>
                <w:sz w:val="20"/>
                <w:szCs w:val="20"/>
                <w:rFonts w:ascii="Helvetica Neue" w:hAnsi="Helvetica Neue"/>
                <w:color w:val="FFFFFF"/>
              </w:rPr>
              <w:t xml:space="preserve">Informação que falta para ação comercial</w:t>
            </w:r>
          </w:p>
        </w:tc>
      </w:tr>
      <w:tr w14:paraId="0CB6626E" w14:textId="77777777">
        <w:trPr>
          <w:cantSplit/>
        </w:trPr>
        <w:tc>
          <w:tcPr>
            <w:tcW w:w="239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Safic-Alcan</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Complementaridade de aplicações e fornecedores no Brasil e região</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Prioridades atuais, porte de alvo e papel possível de assessor</w:t>
            </w:r>
          </w:p>
        </w:tc>
      </w:tr>
      <w:tr w14:paraId="0CB6626E" w14:textId="77777777">
        <w:trPr>
          <w:cantSplit/>
        </w:trPr>
        <w:tc>
          <w:tcPr>
            <w:tcW w:w="239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Brenntag</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Expansão seletiva em aplicações e capacidades técnicas</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Unidade decisora, geografia e critérios atuais de investimento</w:t>
            </w:r>
          </w:p>
        </w:tc>
      </w:tr>
      <w:tr w14:paraId="0CB6626E" w14:textId="77777777">
        <w:trPr>
          <w:cantSplit/>
        </w:trPr>
        <w:tc>
          <w:tcPr>
            <w:tcW w:w="239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Azelis</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Complementaridade de cadeias de produtos e aplicações</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Lacunas específicas e condições atuais de contratação</w:t>
            </w:r>
          </w:p>
        </w:tc>
      </w:tr>
      <w:tr w14:paraId="0CB6626E" w14:textId="77777777">
        <w:trPr>
          <w:cantSplit/>
        </w:trPr>
        <w:tc>
          <w:tcPr>
            <w:tcW w:w="239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IMCD</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Ampliação de soluções e presença em mercados atendidos</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Responsável por M&amp;A, tese regional e exclusões de portfólio</w:t>
            </w:r>
          </w:p>
        </w:tc>
      </w:tr>
      <w:tr w14:paraId="0CB6626E" w14:textId="77777777">
        <w:trPr>
          <w:cantSplit/>
        </w:trPr>
        <w:tc>
          <w:tcPr>
            <w:tcW w:w="239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Barentz</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Combinação de life sciences e performance materials</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Divisão interessada e distinção entre parceria comercial e aquisição</w:t>
            </w:r>
          </w:p>
        </w:tc>
      </w:tr>
      <w:tr w14:paraId="0CB6626E" w14:textId="77777777">
        <w:trPr>
          <w:cantSplit/>
        </w:trPr>
        <w:tc>
          <w:tcPr>
            <w:tcW w:w="239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Caldic</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Oportunidades compatíveis com a configuração regional do grupo</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Estrutura atual, tese, entidade contratante e eventuais conflitos</w:t>
            </w:r>
          </w:p>
        </w:tc>
      </w:tr>
    </w:tbl>
    <w:p>
      <w:pPr>
        <w:spacing w:after="120" w:line="276" w:lineRule="auto"/>
        <w:jc w:val="both"/>
        <w:rPr>
          <w:rFonts w:ascii="Helvetica Neue" w:eastAsia="Helvetica Neue" w:hAnsi="Helvetica Neue" w:cs="Helvetica Neue"/>
        </w:rPr>
        <w:spacing w:after="35" w:line="60" w:lineRule="exact"/>
      </w:pP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Esta é uma lista de contas de referência para pesquisa, não de clientes, interessados confirmados ou contatos autorizados. O universo buy-side deve incluir também plataformas menores, fundos e grupos adjacentes que passem pela qualificação. Nenhum nome recebe prioridade máxima apenas por sua notoriedade.</w:t>
      </w:r>
    </w:p>
    <w:p>
      <w:pPr>
        <w:pStyle w:val="Heading2"/>
        <w:keepNext/>
        <w:keepLines/>
      </w:pPr>
      <w:r>
        <w:rPr>
          <w:rFonts w:ascii="Helvetica Neue" w:hAnsi="Helvetica Neue" w:eastAsia="Helvetica Neue" w:cs="Helvetica Neue"/>
        </w:rPr>
        <w:t xml:space="preserve">Datas que o monitoramento precisa separar</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A página da aquisição de Proquimil mostra publicação em novembro de 2025, mas o comunicado no corpo do texto é de setembro de 2022. Usar só a data mais visível faria a ferramenta contar uma operação antiga como recente. O registro proposto separa data do evento, anúncio, publicação exibida, última alteração, coleta e fechamento, quando comprovado.</w:t>
      </w:r>
      <w:r>
        <w:rPr>
          <w:vertAlign w:val="superscript"/>
        </w:rPr>
        <w:footnoteReference w:id="21"/>
      </w: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Quando houver divergência, o sistema deve conservar as duas informações, explicar a escolha para a janela de pesquisa e encaminhar a dúvida ao revisor. Uma notícia repetida em vários veículos permanece um único evento; anúncio, aprovação e fechamento são etapas relacionadas, com evidências próprias.</w:t>
      </w:r>
    </w:p>
    <w:p>
      <w:pPr>
        <w:pStyle w:val="Heading1"/>
        <w:keepNext/>
        <w:keepLines/>
      </w:pPr>
      <w:bookmarkStart w:id="107" w:name="ghtsection7"/>
      <w:r>
        <w:rPr>
          <w:rFonts w:ascii="Helvetica Neue" w:hAnsi="Helvetica Neue" w:eastAsia="Helvetica Neue" w:cs="Helvetica Neue"/>
        </w:rPr>
        <w:t xml:space="preserve">7 Universo de empresas e fontes brasileiras</w:t>
      </w:r>
      <w:bookmarkEnd w:id="107"/>
    </w:p>
    <w:p>
      <w:pPr>
        <w:pStyle w:val="Heading2"/>
        <w:keepNext/>
        <w:keepLines/>
      </w:pPr>
      <w:r>
        <w:rPr>
          <w:rFonts w:ascii="Helvetica Neue" w:hAnsi="Helvetica Neue" w:eastAsia="Helvetica Neue" w:cs="Helvetica Neue"/>
        </w:rPr>
        <w:t xml:space="preserve">Descoberta e identidade</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A ASSOCIQUIM apresenta empresas associadas em seu site, enquanto o diretório da in-cosmetics Latin America permite explorar expositores por atividade e produtos. As duas fontes ampliam a descoberta, mas têm seleções próprias: participação associativa e presença em evento. O diretório inclui fabricantes, distribuidores e outros perfis; a marca encontrada precisa ser resolvida para empresa e grupo.</w:t>
      </w:r>
      <w:r>
        <w:rPr>
          <w:vertAlign w:val="superscript"/>
        </w:rPr>
        <w:footnoteReference w:id="22"/>
      </w:r>
      <w:r>
        <w:rPr>
          <w:rFonts w:ascii="Helvetica Neue" w:hAnsi="Helvetica Neue" w:eastAsia="Helvetica Neue" w:cs="Helvetica Neue"/>
          <w:vertAlign w:val="superscript"/>
        </w:rPr>
        <w:t xml:space="preserve">⁠, </w:t>
      </w:r>
      <w:r>
        <w:rPr>
          <w:vertAlign w:val="superscript"/>
        </w:rPr>
        <w:footnoteReference w:id="23"/>
      </w: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A classe CNAE 46.84-2 compreende atacado de produtos químicos e petroquímicos, exceto agroquímicos, e a subclasse 4684-2/01 especifica resinas e elastômeros. Essa informação ajuda a iniciar a busca. Usar só um CNAE deixaria de fora negócios de ingredientes ou modelos mistos classificados de outra forma; a inclusão final deve depender da evidência de atividade, seguindo a taxonomia do piloto.</w:t>
      </w:r>
      <w:r>
        <w:rPr>
          <w:vertAlign w:val="superscript"/>
        </w:rPr>
        <w:footnoteReference w:id="24"/>
      </w: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Proposta de construção: reunir nomes por fonte; preservar o cadastro bruto; resolver razão social, marca, domínio, estabelecimento e grupo; classificar atividade; comparar as listas; e enriquecer primeiro as lacunas que possam alterar uma decisão. A base mestre guarda empresas fora do recorte para uso futuro. A consulta salva apenas a seleção e a regra aplicada.</w:t>
      </w:r>
    </w:p>
    <w:p>
      <w:pPr>
        <w:pStyle w:val="Heading2"/>
        <w:keepNext/>
        <w:keepLines/>
      </w:pPr>
      <w:r>
        <w:rPr>
          <w:rFonts w:ascii="Helvetica Neue" w:hAnsi="Helvetica Neue" w:eastAsia="Helvetica Neue" w:cs="Helvetica Neue"/>
        </w:rPr>
        <w:t xml:space="preserve">O que cada fonte permite concluir</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94"/>
        <w:gridCol w:w="3483"/>
        <w:gridCol w:w="3483"/>
      </w:tblGrid>
      <w:tr w14:paraId="76270B64" w14:textId="77777777">
        <w:trPr>
          <w:tblHeader/>
          <w:cantSplit/>
        </w:trPr>
        <w:tc>
          <w:tcPr>
            <w:tcW w:w="2394"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pPr>
              <w:spacing w:after="35" w:before="35" w:line="240" w:lineRule="auto"/>
              <w:jc w:val="left"/>
            </w:pPr>
            <w:r>
              <w:rPr>
                <w:rFonts w:ascii="Helvetica Neue" w:hAnsi="Helvetica Neue" w:eastAsia="Helvetica Neue" w:cs="Helvetica Neue"/>
                <w:b/>
                <w:sz w:val="20"/>
                <w:szCs w:val="20"/>
                <w:rFonts w:ascii="Helvetica Neue" w:hAnsi="Helvetica Neue"/>
                <w:color w:val="FFFFFF"/>
              </w:rPr>
              <w:t xml:space="preserve">Fonte</w:t>
            </w:r>
          </w:p>
        </w:tc>
        <w:tc>
          <w:tcPr>
            <w:tcW w:w="3483"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pPr>
              <w:spacing w:after="35" w:before="35" w:line="240" w:lineRule="auto"/>
              <w:jc w:val="left"/>
            </w:pPr>
            <w:r>
              <w:rPr>
                <w:rFonts w:ascii="Helvetica Neue" w:hAnsi="Helvetica Neue" w:eastAsia="Helvetica Neue" w:cs="Helvetica Neue"/>
                <w:b/>
                <w:sz w:val="20"/>
                <w:szCs w:val="20"/>
                <w:rFonts w:ascii="Helvetica Neue" w:hAnsi="Helvetica Neue"/>
                <w:color w:val="FFFFFF"/>
              </w:rPr>
              <w:t xml:space="preserve">Uso adequado</w:t>
            </w:r>
          </w:p>
        </w:tc>
        <w:tc>
          <w:tcPr>
            <w:tcW w:w="3483"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pPr>
              <w:spacing w:after="35" w:before="35" w:line="240" w:lineRule="auto"/>
              <w:jc w:val="left"/>
            </w:pPr>
            <w:r>
              <w:rPr>
                <w:rFonts w:ascii="Helvetica Neue" w:hAnsi="Helvetica Neue" w:eastAsia="Helvetica Neue" w:cs="Helvetica Neue"/>
                <w:b/>
                <w:sz w:val="20"/>
                <w:szCs w:val="20"/>
                <w:rFonts w:ascii="Helvetica Neue" w:hAnsi="Helvetica Neue"/>
                <w:color w:val="FFFFFF"/>
              </w:rPr>
              <w:t xml:space="preserve">Limite que deve aparecer no produto</w:t>
            </w:r>
          </w:p>
        </w:tc>
      </w:tr>
      <w:tr w14:paraId="0CB6626E" w14:textId="77777777">
        <w:trPr>
          <w:cantSplit/>
        </w:trPr>
        <w:tc>
          <w:tcPr>
            <w:tcW w:w="239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Site da empresa e do fornecedor</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Atividade declarada, produtos, unidades e representação</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Informação promocional, possivelmente desatualizada</w:t>
            </w:r>
          </w:p>
        </w:tc>
      </w:tr>
      <w:tr w14:paraId="0CB6626E" w14:textId="77777777">
        <w:trPr>
          <w:cantSplit/>
        </w:trPr>
        <w:tc>
          <w:tcPr>
            <w:tcW w:w="239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Associação e evento</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Descoberta de nomes e aplicações</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Universo de participantes, não censo do setor</w:t>
            </w:r>
          </w:p>
        </w:tc>
      </w:tr>
      <w:tr w14:paraId="0CB6626E" w14:textId="77777777">
        <w:trPr>
          <w:cantSplit/>
        </w:trPr>
        <w:tc>
          <w:tcPr>
            <w:tcW w:w="239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Cadastros de CNPJ</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Identidade, estabelecimentos e campos cadastrais disponíveis</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Capital social e porte cadastral não são faturamento</w:t>
            </w:r>
          </w:p>
        </w:tc>
      </w:tr>
      <w:tr w14:paraId="0CB6626E" w14:textId="77777777">
        <w:trPr>
          <w:cantSplit/>
        </w:trPr>
        <w:tc>
          <w:tcPr>
            <w:tcW w:w="239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Dados licenciados</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Enriquecimento financeiro, societário e transacional</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Campo observado ou estimado, período e direito de uso</w:t>
            </w:r>
          </w:p>
        </w:tc>
      </w:tr>
      <w:tr w14:paraId="0CB6626E" w14:textId="77777777">
        <w:trPr>
          <w:cantSplit/>
        </w:trPr>
        <w:tc>
          <w:tcPr>
            <w:tcW w:w="239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Comex Stat</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Fluxos por produto, mercado, geografia e tempo</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Não entrega transações comerciais individualizadas por empresa</w:t>
            </w:r>
          </w:p>
        </w:tc>
      </w:tr>
      <w:tr w14:paraId="0CB6626E" w14:textId="77777777">
        <w:trPr>
          <w:cantSplit/>
        </w:trPr>
        <w:tc>
          <w:tcPr>
            <w:tcW w:w="239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PAC do IBGE</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Estrutura econômica e conceitos do comércio</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Agregação estatística pode não coincidir com o nicho</w:t>
            </w:r>
          </w:p>
        </w:tc>
      </w:tr>
      <w:tr w14:paraId="0CB6626E" w14:textId="77777777">
        <w:trPr>
          <w:cantSplit/>
        </w:trPr>
        <w:tc>
          <w:tcPr>
            <w:tcW w:w="239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Documentos públicos do CADE</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Participantes, mercado e estágio regulatório de casos consultados</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Ausência de processo não prova ausência de aquisição</w:t>
            </w:r>
          </w:p>
        </w:tc>
      </w:tr>
    </w:tbl>
    <w:p>
      <w:pPr>
        <w:spacing w:after="120" w:line="276" w:lineRule="auto"/>
        <w:jc w:val="both"/>
        <w:rPr>
          <w:rFonts w:ascii="Helvetica Neue" w:eastAsia="Helvetica Neue" w:hAnsi="Helvetica Neue" w:cs="Helvetica Neue"/>
        </w:rPr>
        <w:spacing w:after="35" w:line="60" w:lineRule="exact"/>
      </w:pP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O MDIC informa explicitamente que não fornece estatísticas que revelem nomes, CNPJ, produtos, volumes ou parceiros comerciais individualizados de empresas. A base aberta oferece detalhamento por NCM ou município e SH4. Portanto, importações do Comex Stat alimentam análises de mercado e contexto; não devem ser convertidas em receita ou volume importado de uma empresa específica.</w:t>
      </w:r>
      <w:r>
        <w:rPr>
          <w:vertAlign w:val="superscript"/>
        </w:rPr>
        <w:footnoteReference w:id="25"/>
      </w:r>
      <w:r>
        <w:rPr>
          <w:rFonts w:ascii="Helvetica Neue" w:hAnsi="Helvetica Neue" w:eastAsia="Helvetica Neue" w:cs="Helvetica Neue"/>
          <w:vertAlign w:val="superscript"/>
        </w:rPr>
        <w:t xml:space="preserve">⁠, </w:t>
      </w:r>
      <w:r>
        <w:rPr>
          <w:vertAlign w:val="superscript"/>
        </w:rPr>
        <w:footnoteReference w:id="26"/>
      </w: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A PAC fornece variáveis como receita, margem de comercialização, estoques e pessoal para o segmento comercial. A aplicação é construir referências agregadas com período e classificação coerentes. A pesquisa pública de atos de concentração do CADE complementa notícias com documentação dos casos acessíveis, respeitando restrições; aprovação concorrencial e fechamento econômico permanecem eventos distintos.</w:t>
      </w:r>
      <w:r>
        <w:rPr>
          <w:vertAlign w:val="superscript"/>
        </w:rPr>
        <w:footnoteReference w:id="27"/>
      </w:r>
      <w:r>
        <w:rPr>
          <w:rFonts w:ascii="Helvetica Neue" w:hAnsi="Helvetica Neue" w:eastAsia="Helvetica Neue" w:cs="Helvetica Neue"/>
          <w:vertAlign w:val="superscript"/>
        </w:rPr>
        <w:t xml:space="preserve">⁠, </w:t>
      </w:r>
      <w:r>
        <w:rPr>
          <w:vertAlign w:val="superscript"/>
        </w:rPr>
        <w:footnoteReference w:id="28"/>
      </w:r>
    </w:p>
    <w:p>
      <w:pPr>
        <w:pStyle w:val="Heading2"/>
        <w:keepNext/>
        <w:keepLines/>
      </w:pPr>
      <w:r>
        <w:rPr>
          <w:rFonts w:ascii="Helvetica Neue" w:hAnsi="Helvetica Neue" w:eastAsia="Helvetica Neue" w:cs="Helvetica Neue"/>
        </w:rPr>
        <w:t xml:space="preserve">Critério de cobertura</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Substituir a promessa de “todas as empresas” por um universo com escopo e cobertura demonstráveis. Mostrar quantas fontes foram incorporadas, quantas entidades únicas foram resolvidas, quantos nomes permanecem sem identidade e quantas empresas novas cada fonte acrescentou. Uma amostra independente, construída por outro analista, ajuda a localizar omissões; ela não transforma o conjunto em censo.</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Recomenda-se revisar os nomes descobertos exclusivamente por uma fonte e os excluídos por atividade ambígua. A comparação de cobertura deve ocorrer também por região, faixa de porte e aplicação, para que empresas com presença digital forte não definam sozinhas o mercado observado.</w:t>
      </w:r>
    </w:p>
    <w:p>
      <w:pPr>
        <w:pStyle w:val="Heading1"/>
        <w:keepNext/>
        <w:keepLines/>
      </w:pPr>
      <w:bookmarkStart w:id="108" w:name="ghtsection8"/>
      <w:r>
        <w:rPr>
          <w:rFonts w:ascii="Helvetica Neue" w:hAnsi="Helvetica Neue" w:eastAsia="Helvetica Neue" w:cs="Helvetica Neue"/>
        </w:rPr>
        <w:t xml:space="preserve">8 Ranking configurável com critérios observáveis</w:t>
      </w:r>
      <w:bookmarkEnd w:id="108"/>
    </w:p>
    <w:p>
      <w:pPr>
        <w:pStyle w:val="Heading2"/>
        <w:keepNext/>
        <w:keepLines/>
      </w:pPr>
      <w:r>
        <w:rPr>
          <w:rFonts w:ascii="Helvetica Neue" w:hAnsi="Helvetica Neue" w:eastAsia="Helvetica Neue" w:cs="Helvetica Neue"/>
        </w:rPr>
        <w:t xml:space="preserve">Três avaliações distintas</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b/>
        </w:rPr>
        <w:t xml:space="preserve">Qualidade e aderência da empresa.</w:t>
      </w:r>
      <w:r>
        <w:rPr>
          <w:rFonts w:ascii="Helvetica Neue" w:hAnsi="Helvetica Neue" w:eastAsia="Helvetica Neue" w:cs="Helvetica Neue"/>
        </w:rPr>
        <w:t xml:space="preserve"> Considera atividade real, capacidades, porte, controle e compatibilidade com a tese. Serve para selecionar empresas a estudar, mesmo antes de haver uma necessidade de transação.</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b/>
        </w:rPr>
        <w:t xml:space="preserve">Prontidão para uma transação.</w:t>
      </w:r>
      <w:r>
        <w:rPr>
          <w:rFonts w:ascii="Helvetica Neue" w:hAnsi="Helvetica Neue" w:eastAsia="Helvetica Neue" w:cs="Helvetica Neue"/>
        </w:rPr>
        <w:t xml:space="preserve"> Considera necessidade expressa, alinhamento decisório, horizonte, informação disponível e condições para executar. Muitos desses dados surgem apenas na conversa. A ferramenta deve permitir “não avaliado” sem converter desconhecimento em falta de interesse.</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b/>
        </w:rPr>
        <w:t xml:space="preserve">Oportunidade de contratação da GHT4.</w:t>
      </w:r>
      <w:r>
        <w:rPr>
          <w:rFonts w:ascii="Helvetica Neue" w:hAnsi="Helvetica Neue" w:eastAsia="Helvetica Neue" w:cs="Helvetica Neue"/>
        </w:rPr>
        <w:t xml:space="preserve"> Considera acesso, decisor, necessidade de assessoria, economia do mandato, competição por contratação e capacidade da equipe. Deve orientar a agenda comercial. A nota de empresa ou o encaixe entre comprador e alvo não substituem essa avaliação.</w:t>
      </w:r>
    </w:p>
    <w:p>
      <w:pPr>
        <w:pStyle w:val="Heading2"/>
        <w:keepNext/>
        <w:keepLines/>
      </w:pPr>
      <w:r>
        <w:rPr>
          <w:rFonts w:ascii="Helvetica Neue" w:hAnsi="Helvetica Neue" w:eastAsia="Helvetica Neue" w:cs="Helvetica Neue"/>
        </w:rPr>
        <w:t xml:space="preserve">Calibragem de pesos e escalas</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A orientação metodológica de MCDA do governo britânico destaca que pesos precisam considerar o significado da mudança entre níveis de desempenho, e não apenas a importância abstrata do nome do critério. Também recomenda análise de sensibilidade. Adaptada à GHT4, essa lógica exige definir exemplos concretos de notas antes de discutir se “rede” deve valer mais que “porte”. Trata-se de referência metodológica, não de obrigação normativa brasileira.</w:t>
      </w:r>
      <w:r>
        <w:rPr>
          <w:vertAlign w:val="superscript"/>
        </w:rPr>
        <w:footnoteReference w:id="29"/>
      </w: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Proposta: para cada critério, definir o que significa desempenho baixo, intermediário e alto, quais evidências são aceitas, a direção da preferência e como tratar falta de dados. Em seguida, os sócios comparam mudanças concretas: quanto vale passar de contato indireto não confirmado para apresentação aceita, diante de uma diferença específica de aderência setorial? O registro dessas escolhas torna o template revisável.</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Filtros obrigatórios devem ser aplicados antes da pontuação. Uma conexão forte não pode compensar conflito impeditivo ou exclusão expressa do mandato. Fatores muito correlacionados também precisam de revisão: funcionários, número de unidades e receita podem contar repetidamente o mesmo efeito de escala.</w:t>
      </w:r>
    </w:p>
    <w:p>
      <w:pPr>
        <w:pStyle w:val="Heading2"/>
        <w:keepNext/>
        <w:keepLines/>
      </w:pPr>
      <w:r>
        <w:rPr>
          <w:rFonts w:ascii="Helvetica Neue" w:hAnsi="Helvetica Neue" w:eastAsia="Helvetica Neue" w:cs="Helvetica Neue"/>
        </w:rPr>
        <w:t xml:space="preserve">Diversificação e foco</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O comando “mais diversificadas” exige explicitar a dimensão: clientes, fornecedores, aplicações, produtos ou regiões. Contar itens de catálogo mede variedade observada, não diversificação econômica. Se a participação por receita não estiver disponível, apresentar esse limite e, quando útil, oferecer um critério baseado apenas nas evidências existentes.</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Exemplo de prévia: “Priorizar empresas com atuação comprovada em mais de uma aplicação, mantendo o requisito de presença no Brasil; concentração de receita ainda não avaliada”. Um comando inverso, pedindo foco em pharma, deve mudar a direção da preferência sem sobrescrever os dados brutos ou o template anterior.</w:t>
      </w:r>
    </w:p>
    <w:p>
      <w:pPr>
        <w:pStyle w:val="Heading2"/>
        <w:keepNext/>
        <w:keepLines/>
      </w:pPr>
      <w:r>
        <w:rPr>
          <w:rFonts w:ascii="Helvetica Neue" w:hAnsi="Helvetica Neue" w:eastAsia="Helvetica Neue" w:cs="Helvetica Neue"/>
        </w:rPr>
        <w:t xml:space="preserve">Testes que revelam erro de metodologia</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14:paraId="76270B64" w14:textId="77777777">
        <w:trPr>
          <w:tblHeader/>
          <w:cantSplit/>
        </w:trPr>
        <w:tc>
          <w:tcPr>
            <w:tcW w:w="4680"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pPr>
              <w:spacing w:after="35" w:before="35" w:line="240" w:lineRule="auto"/>
              <w:jc w:val="left"/>
            </w:pPr>
            <w:r>
              <w:rPr>
                <w:rFonts w:ascii="Helvetica Neue" w:hAnsi="Helvetica Neue" w:eastAsia="Helvetica Neue" w:cs="Helvetica Neue"/>
                <w:b/>
                <w:sz w:val="20"/>
                <w:szCs w:val="20"/>
                <w:rFonts w:ascii="Helvetica Neue" w:hAnsi="Helvetica Neue"/>
                <w:color w:val="FFFFFF"/>
              </w:rPr>
              <w:t xml:space="preserve">Cenário</w:t>
            </w:r>
          </w:p>
        </w:tc>
        <w:tc>
          <w:tcPr>
            <w:tcW w:w="4680"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pPr>
              <w:spacing w:after="35" w:before="35" w:line="240" w:lineRule="auto"/>
              <w:jc w:val="left"/>
            </w:pPr>
            <w:r>
              <w:rPr>
                <w:rFonts w:ascii="Helvetica Neue" w:hAnsi="Helvetica Neue" w:eastAsia="Helvetica Neue" w:cs="Helvetica Neue"/>
                <w:b/>
                <w:sz w:val="20"/>
                <w:szCs w:val="20"/>
                <w:rFonts w:ascii="Helvetica Neue" w:hAnsi="Helvetica Neue"/>
                <w:color w:val="FFFFFF"/>
              </w:rPr>
              <w:t xml:space="preserve">Comportamento esperado</w:t>
            </w:r>
          </w:p>
        </w:tc>
      </w:tr>
      <w:tr w14:paraId="0CB6626E" w14:textId="77777777">
        <w:trPr>
          <w:cantSplit/>
        </w:trPr>
        <w:tc>
          <w:tcPr>
            <w:tcW w:w="468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A empresa só publica mais conteúdo no site</w:t>
            </w:r>
          </w:p>
        </w:tc>
        <w:tc>
          <w:tcPr>
            <w:tcW w:w="468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A quantidade de texto não aumenta automaticamente sua qualidade</w:t>
            </w:r>
          </w:p>
        </w:tc>
      </w:tr>
      <w:tr w14:paraId="0CB6626E" w14:textId="77777777">
        <w:trPr>
          <w:cantSplit/>
        </w:trPr>
        <w:tc>
          <w:tcPr>
            <w:tcW w:w="468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Mudança pequena de peso altera todo o topo</w:t>
            </w:r>
          </w:p>
        </w:tc>
        <w:tc>
          <w:tcPr>
            <w:tcW w:w="468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Exibir instabilidade e contribuições antes da seleção comercial</w:t>
            </w:r>
          </w:p>
        </w:tc>
      </w:tr>
      <w:tr w14:paraId="0CB6626E" w14:textId="77777777">
        <w:trPr>
          <w:cantSplit/>
        </w:trPr>
        <w:tc>
          <w:tcPr>
            <w:tcW w:w="468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Receita desaparece da fonte atual</w:t>
            </w:r>
          </w:p>
        </w:tc>
        <w:tc>
          <w:tcPr>
            <w:tcW w:w="468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Preservar o histórico; marcar a evidência atual como ausente ou desatualizada</w:t>
            </w:r>
          </w:p>
        </w:tc>
      </w:tr>
      <w:tr w14:paraId="0CB6626E" w14:textId="77777777">
        <w:trPr>
          <w:cantSplit/>
        </w:trPr>
        <w:tc>
          <w:tcPr>
            <w:tcW w:w="468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Controle mudou após aquisição</w:t>
            </w:r>
          </w:p>
        </w:tc>
        <w:tc>
          <w:tcPr>
            <w:tcW w:w="468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Atualizar o papel possível sem perder o registro histórico</w:t>
            </w:r>
          </w:p>
        </w:tc>
      </w:tr>
      <w:tr w14:paraId="0CB6626E" w14:textId="77777777">
        <w:trPr>
          <w:cantSplit/>
        </w:trPr>
        <w:tc>
          <w:tcPr>
            <w:tcW w:w="468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Prompt adiciona exclusão obrigatória</w:t>
            </w:r>
          </w:p>
        </w:tc>
        <w:tc>
          <w:tcPr>
            <w:tcW w:w="468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Excluir antes de pontuar e explicar o motivo</w:t>
            </w:r>
          </w:p>
        </w:tc>
      </w:tr>
      <w:tr w14:paraId="0CB6626E" w14:textId="77777777">
        <w:trPr>
          <w:cantSplit/>
        </w:trPr>
        <w:tc>
          <w:tcPr>
            <w:tcW w:w="468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Correção manual de um mandato</w:t>
            </w:r>
          </w:p>
        </w:tc>
        <w:tc>
          <w:tcPr>
            <w:tcW w:w="468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Respeitar o escopo, sem alterar todas as teses silenciosamente</w:t>
            </w:r>
          </w:p>
        </w:tc>
      </w:tr>
      <w:tr w14:paraId="0CB6626E" w14:textId="77777777">
        <w:trPr>
          <w:cantSplit/>
        </w:trPr>
        <w:tc>
          <w:tcPr>
            <w:tcW w:w="468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Dois candidatos empatam com coberturas diferentes</w:t>
            </w:r>
          </w:p>
        </w:tc>
        <w:tc>
          <w:tcPr>
            <w:tcW w:w="468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Mostrar cobertura e lacunas; não sugerir precisão inexistente</w:t>
            </w:r>
          </w:p>
        </w:tc>
      </w:tr>
    </w:tbl>
    <w:p>
      <w:pPr>
        <w:spacing w:after="120" w:line="276" w:lineRule="auto"/>
        <w:jc w:val="both"/>
        <w:rPr>
          <w:rFonts w:ascii="Helvetica Neue" w:eastAsia="Helvetica Neue" w:hAnsi="Helvetica Neue" w:cs="Helvetica Neue"/>
        </w:rPr>
        <w:spacing w:after="35" w:line="60" w:lineRule="exact"/>
      </w:pP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O método de cobertura, limites de pontuação e explicações do planejamento anterior permanece válido como proposta. Antes da adoção, calibrar o conjunto de referência com sócios e analistas e guardar uma parte das empresas para avaliação posterior. A métrica principal deve refletir contas aderentes à tese e úteis para a próxima ação, com avaliação separada para cada papel.</w:t>
      </w:r>
    </w:p>
    <w:p>
      <w:pPr>
        <w:pStyle w:val="Heading1"/>
        <w:keepNext/>
        <w:keepLines/>
      </w:pPr>
      <w:bookmarkStart w:id="109" w:name="ghtsection9"/>
      <w:r>
        <w:rPr>
          <w:rFonts w:ascii="Helvetica Neue" w:hAnsi="Helvetica Neue" w:eastAsia="Helvetica Neue" w:cs="Helvetica Neue"/>
        </w:rPr>
        <w:t xml:space="preserve">9 Reports de mercado e valuation</w:t>
      </w:r>
      <w:bookmarkEnd w:id="109"/>
    </w:p>
    <w:p>
      <w:pPr>
        <w:pStyle w:val="Heading2"/>
        <w:keepNext/>
        <w:keepLines/>
      </w:pPr>
      <w:r>
        <w:rPr>
          <w:rFonts w:ascii="Helvetica Neue" w:hAnsi="Helvetica Neue" w:eastAsia="Helvetica Neue" w:cs="Helvetica Neue"/>
        </w:rPr>
        <w:t xml:space="preserve">Dimensionamento com perímetro coerente</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O Perfil do Setor da ASSOCIQUIM informa que seus dados são coletados de associados e que a íntegra tem acesso restrito. A GHT4 deve utilizar o relatório completo apenas se dispuser do acesso e dos direitos correspondentes, preservando definição, ano e metodologia. O valor não deve ser preenchido a partir de um resumo que não o divulga.</w:t>
      </w:r>
      <w:r>
        <w:rPr>
          <w:vertAlign w:val="superscript"/>
        </w:rPr>
        <w:footnoteReference w:id="30"/>
      </w: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Para o report, distinguir três objetos: mercado de produtos químicos; mercado de distribuição desses produtos; e oportunidade comercial de assessoria para a GHT4. Importações, receitas de distribuidores e receita de indústria medem coisas diferentes e podem se sobrepor. Somar essas grandezas produziria dupla contagem.</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Proposta para TAM, SAM e SOM: definir primeiro o mercado econômico e a unidade; recortar geografia e aplicações atendíveis; depois modelar cenários de participação com capacidade e evidência. Separadamente, estimar a oportunidade de mandatos a partir de contas compatíveis, probabilidade de necessidade, contratação e honorários. Sem histórico suficiente, apresentar intervalos condicionais, não um número único de mercado acessível.</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As análises de Porter, SWOT e PESTLE devem indicar evidência, implicação e ação. “Fornecedor concentrado” só é um fato específico da empresa quando há dado de concentração; antes disso, é uma hipótese de investigação. Uma mesma notícia pode afetar várias análises, mas deve manter um evento de origem e não ser contada como evidência independente em cada quadro.</w:t>
      </w:r>
    </w:p>
    <w:p>
      <w:pPr>
        <w:pStyle w:val="Heading2"/>
        <w:keepNext/>
        <w:keepLines/>
      </w:pPr>
      <w:r>
        <w:rPr>
          <w:rFonts w:ascii="Helvetica Neue" w:hAnsi="Helvetica Neue" w:eastAsia="Helvetica Neue" w:cs="Helvetica Neue"/>
        </w:rPr>
        <w:t xml:space="preserve">Fontes de múltiplos e comparabilidade</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O relatório da Lincoln International para o primeiro trimestre de 2026 apresenta comparáveis de bolsa com data de 31 de março e explica que informações proprietárias podem entrar em estatísticas agregadas de transações sem aparecer nas linhas individuais. A GHT4 não deve tentar reconstruir essas estatísticas preenchendo valores omitidos. O relatório funciona como referência de formato e verificação, preservado seu universo.</w:t>
      </w:r>
      <w:r>
        <w:rPr>
          <w:vertAlign w:val="superscript"/>
        </w:rPr>
        <w:footnoteReference w:id="31"/>
      </w: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O Market Pulse do segundo trimestre de 2026 distingue múltiplos de SDE e de EBITDA conforme a faixa de negócio. Também identifica seu indicador de interesse de compradores como percepção pontual de assessores, não atividade de transações concluídas. É uma demonstração concreta de por que rótulos semelhantes não garantem métricas comparáveis; seus resultados não devem ser aplicados diretamente a distribuidores brasileiros.</w:t>
      </w:r>
      <w:r>
        <w:rPr>
          <w:vertAlign w:val="superscript"/>
        </w:rPr>
        <w:footnoteReference w:id="32"/>
      </w: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Na ferramenta, todo múltiplo deve carregar numerador, denominador, data, período, moeda, população e ajustes. Dados de empresas listadas, aquisições de controle e negociações de negócios pequenos devem permanecer identificáveis. Um agregado publicado sem dados suficientes para reprodução deve ser rotulado como tal, separado do cálculo produzido pela GHT4 com as exportações autorizadas de Capital IQ e EMIS.</w:t>
      </w:r>
    </w:p>
    <w:p>
      <w:pPr>
        <w:pStyle w:val="Heading2"/>
        <w:keepNext/>
        <w:keepLines/>
      </w:pPr>
      <w:r>
        <w:rPr>
          <w:rFonts w:ascii="Helvetica Neue" w:hAnsi="Helvetica Neue" w:eastAsia="Helvetica Neue" w:cs="Helvetica Neue"/>
        </w:rPr>
        <w:t xml:space="preserve">Valuation como apoio à prospecção</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Oferecer uma faixa de discussão apenas quando as bases e o escopo estiverem definidos. Não usar o maior múltiplo observado para induzir expectativa no empresário. Na etapa inicial, a conversa deve explicar quais fatores podem alterar valor: qualidade de receita e margem, concentração, continuidade dos contratos, capital de giro, dívida, dependências e condições da operação.</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O ranking de subsegmentos deve combinar atividade e diversidade de compradores com qualidade e quantidade dos dados de valuation. Poucas operações com valores publicados podem criar uma falsa aparência de prêmio. A ferramenta deve mostrar o número de observações e permitir análise com e sem casos extremos, registrando a escolha do revisor.</w:t>
      </w:r>
    </w:p>
    <w:p>
      <w:pPr>
        <w:pStyle w:val="Heading1"/>
        <w:keepNext/>
        <w:keepLines/>
      </w:pPr>
      <w:bookmarkStart w:id="110" w:name="ghtsection10"/>
      <w:r>
        <w:rPr>
          <w:rFonts w:ascii="Helvetica Neue" w:hAnsi="Helvetica Neue" w:eastAsia="Helvetica Neue" w:cs="Helvetica Neue"/>
        </w:rPr>
        <w:t xml:space="preserve">10 Plataformas e estratégia de contratação</w:t>
      </w:r>
      <w:bookmarkEnd w:id="110"/>
    </w:p>
    <w:p>
      <w:pPr>
        <w:pStyle w:val="Heading2"/>
        <w:keepNext/>
        <w:keepLines/>
      </w:pPr>
      <w:r>
        <w:rPr>
          <w:rFonts w:ascii="Helvetica Neue" w:hAnsi="Helvetica Neue" w:eastAsia="Helvetica Neue" w:cs="Helvetica Neue"/>
        </w:rPr>
        <w:t xml:space="preserve">Comparação por função</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Grata apresenta recursos de busca, identificação de compradores e integração com CRM; Sourcescrub enfatiza descoberta por fontes e listas. A Datasite anunciou em agosto de 2025 a aquisição de Sourcescrub e a integração de suas capacidades à Grata. A comparação comercial precisa considerar essa relação, o estágio de integração e a possível sobreposição de dados, sem presumir que sejam duas alternativas independentes.</w:t>
      </w:r>
      <w:r>
        <w:rPr>
          <w:vertAlign w:val="superscript"/>
        </w:rPr>
        <w:footnoteReference w:id="33"/>
      </w:r>
      <w:r>
        <w:rPr>
          <w:rFonts w:ascii="Helvetica Neue" w:hAnsi="Helvetica Neue" w:eastAsia="Helvetica Neue" w:cs="Helvetica Neue"/>
          <w:vertAlign w:val="superscript"/>
        </w:rPr>
        <w:t xml:space="preserve">⁠, </w:t>
      </w:r>
      <w:r>
        <w:rPr>
          <w:vertAlign w:val="superscript"/>
        </w:rPr>
        <w:footnoteReference w:id="34"/>
      </w:r>
      <w:r>
        <w:rPr>
          <w:rFonts w:ascii="Helvetica Neue" w:hAnsi="Helvetica Neue" w:eastAsia="Helvetica Neue" w:cs="Helvetica Neue"/>
          <w:vertAlign w:val="superscript"/>
        </w:rPr>
        <w:t xml:space="preserve">⁠, </w:t>
      </w:r>
      <w:r>
        <w:rPr>
          <w:vertAlign w:val="superscript"/>
        </w:rPr>
        <w:footnoteReference w:id="35"/>
      </w: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Moody’s Orbis declara cobertura empresarial e estruturas de controle. A página atual da Gain, acessada a partir de Gain.pro, apresenta pesquisa, dados e integrações. Essas ofertas podem complementar a inteligência internacional, mas a presença de uma base global não demonstra profundidade nas empresas brasileiras do piloto.</w:t>
      </w:r>
      <w:r>
        <w:rPr>
          <w:vertAlign w:val="superscript"/>
        </w:rPr>
        <w:footnoteReference w:id="36"/>
      </w:r>
      <w:r>
        <w:rPr>
          <w:rFonts w:ascii="Helvetica Neue" w:hAnsi="Helvetica Neue" w:eastAsia="Helvetica Neue" w:cs="Helvetica Neue"/>
          <w:vertAlign w:val="superscript"/>
        </w:rPr>
        <w:t xml:space="preserve">⁠, </w:t>
      </w:r>
      <w:r>
        <w:rPr>
          <w:vertAlign w:val="superscript"/>
        </w:rPr>
        <w:footnoteReference w:id="37"/>
      </w: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Econodata informa filtros empresariais e faturamento presumido; Neoway descreve dados cadastrais, faturamento estimado, enriquecimento e acesso por API. São candidatas a uma comparação de enriquecimento nacional. Os campos estimados precisam manter esse rótulo na importação e não podem ganhar status de informação financeira observada por terem sido fornecidos comercialmente.</w:t>
      </w:r>
      <w:r>
        <w:rPr>
          <w:vertAlign w:val="superscript"/>
        </w:rPr>
        <w:footnoteReference w:id="38"/>
      </w:r>
      <w:r>
        <w:rPr>
          <w:rFonts w:ascii="Helvetica Neue" w:hAnsi="Helvetica Neue" w:eastAsia="Helvetica Neue" w:cs="Helvetica Neue"/>
          <w:vertAlign w:val="superscript"/>
        </w:rPr>
        <w:t xml:space="preserve">⁠, </w:t>
      </w:r>
      <w:r>
        <w:rPr>
          <w:vertAlign w:val="superscript"/>
        </w:rPr>
        <w:footnoteReference w:id="39"/>
      </w: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Affinity e Intapp DealCloud são referências funcionais para relações e gestão de oportunidades. A avaliação deve demonstrar como restrições sobre contatos, mandatos e notas aparecem na busca, na IA e na exportação. A decisão de CRM depende da rotina e dos sistemas usados pela GHT4, além da disponibilidade de funcionalidades.</w:t>
      </w:r>
      <w:r>
        <w:rPr>
          <w:vertAlign w:val="superscript"/>
        </w:rPr>
        <w:footnoteReference w:id="40"/>
      </w:r>
      <w:r>
        <w:rPr>
          <w:rFonts w:ascii="Helvetica Neue" w:hAnsi="Helvetica Neue" w:eastAsia="Helvetica Neue" w:cs="Helvetica Neue"/>
          <w:vertAlign w:val="superscript"/>
        </w:rPr>
        <w:t xml:space="preserve">⁠, </w:t>
      </w:r>
      <w:r>
        <w:rPr>
          <w:vertAlign w:val="superscript"/>
        </w:rPr>
        <w:footnoteReference w:id="41"/>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94"/>
        <w:gridCol w:w="3483"/>
        <w:gridCol w:w="3483"/>
      </w:tblGrid>
      <w:tr w14:paraId="76270B64" w14:textId="77777777">
        <w:trPr>
          <w:tblHeader/>
          <w:cantSplit/>
        </w:trPr>
        <w:tc>
          <w:tcPr>
            <w:tcW w:w="2394"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pPr>
              <w:spacing w:after="35" w:before="35" w:line="240" w:lineRule="auto"/>
              <w:jc w:val="left"/>
            </w:pPr>
            <w:r>
              <w:rPr>
                <w:rFonts w:ascii="Helvetica Neue" w:hAnsi="Helvetica Neue" w:eastAsia="Helvetica Neue" w:cs="Helvetica Neue"/>
                <w:b/>
                <w:sz w:val="20"/>
                <w:szCs w:val="20"/>
                <w:rFonts w:ascii="Helvetica Neue" w:hAnsi="Helvetica Neue"/>
                <w:color w:val="FFFFFF"/>
              </w:rPr>
              <w:t xml:space="preserve">Necessidade</w:t>
            </w:r>
          </w:p>
        </w:tc>
        <w:tc>
          <w:tcPr>
            <w:tcW w:w="3483"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pPr>
              <w:spacing w:after="35" w:before="35" w:line="240" w:lineRule="auto"/>
              <w:jc w:val="left"/>
            </w:pPr>
            <w:r>
              <w:rPr>
                <w:rFonts w:ascii="Helvetica Neue" w:hAnsi="Helvetica Neue" w:eastAsia="Helvetica Neue" w:cs="Helvetica Neue"/>
                <w:b/>
                <w:sz w:val="20"/>
                <w:szCs w:val="20"/>
                <w:rFonts w:ascii="Helvetica Neue" w:hAnsi="Helvetica Neue"/>
                <w:color w:val="FFFFFF"/>
              </w:rPr>
              <w:t xml:space="preserve">Alternativas a avaliar</w:t>
            </w:r>
          </w:p>
        </w:tc>
        <w:tc>
          <w:tcPr>
            <w:tcW w:w="3483"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pPr>
              <w:spacing w:after="35" w:before="35" w:line="240" w:lineRule="auto"/>
              <w:jc w:val="left"/>
            </w:pPr>
            <w:r>
              <w:rPr>
                <w:rFonts w:ascii="Helvetica Neue" w:hAnsi="Helvetica Neue" w:eastAsia="Helvetica Neue" w:cs="Helvetica Neue"/>
                <w:b/>
                <w:sz w:val="20"/>
                <w:szCs w:val="20"/>
                <w:rFonts w:ascii="Helvetica Neue" w:hAnsi="Helvetica Neue"/>
                <w:color w:val="FFFFFF"/>
              </w:rPr>
              <w:t xml:space="preserve">Primeiro teste</w:t>
            </w:r>
          </w:p>
        </w:tc>
      </w:tr>
      <w:tr w14:paraId="0CB6626E" w14:textId="77777777">
        <w:trPr>
          <w:cantSplit/>
        </w:trPr>
        <w:tc>
          <w:tcPr>
            <w:tcW w:w="239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Dados já contratados e valuation</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Capital IQ e EMIS</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Reconciliar exportações reais e cobertura do piloto</w:t>
            </w:r>
          </w:p>
        </w:tc>
      </w:tr>
      <w:tr w14:paraId="0CB6626E" w14:textId="77777777">
        <w:trPr>
          <w:cantSplit/>
        </w:trPr>
        <w:tc>
          <w:tcPr>
            <w:tcW w:w="239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Descoberta de empresas privadas</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Grata e capacidades Sourcescrub; Gain</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Encontrar empresas pequenas e resolver atividade real</w:t>
            </w:r>
          </w:p>
        </w:tc>
      </w:tr>
      <w:tr w14:paraId="0CB6626E" w14:textId="77777777">
        <w:trPr>
          <w:cantSplit/>
        </w:trPr>
        <w:tc>
          <w:tcPr>
            <w:tcW w:w="239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Identidade e controle internacional</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Orbis</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Confirmar vínculos e separar grupo, empresa e estabelecimento</w:t>
            </w:r>
          </w:p>
        </w:tc>
      </w:tr>
      <w:tr w14:paraId="0CB6626E" w14:textId="77777777">
        <w:trPr>
          <w:cantSplit/>
        </w:trPr>
        <w:tc>
          <w:tcPr>
            <w:tcW w:w="239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Enriquecimento brasileiro</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Econodata e Neoway</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Verificar identidade, origem do porte e contatos válidos</w:t>
            </w:r>
          </w:p>
        </w:tc>
      </w:tr>
      <w:tr w14:paraId="0CB6626E" w14:textId="77777777">
        <w:trPr>
          <w:cantSplit/>
        </w:trPr>
        <w:tc>
          <w:tcPr>
            <w:tcW w:w="239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Relações e CRM</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Ferramenta existente; Affinity; DealCloud</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Demonstrar acesso, histórico e próxima ação por oportunidade</w:t>
            </w:r>
          </w:p>
        </w:tc>
      </w:tr>
      <w:tr w14:paraId="0CB6626E" w14:textId="77777777">
        <w:trPr>
          <w:cantSplit/>
        </w:trPr>
        <w:tc>
          <w:tcPr>
            <w:tcW w:w="239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Rede de negócios e assessores</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Axial como referência</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Comprovar cobertura geográfica e adequação antes de qualquer contratação</w:t>
            </w:r>
          </w:p>
        </w:tc>
      </w:tr>
    </w:tbl>
    <w:p>
      <w:pPr>
        <w:spacing w:after="120" w:line="276" w:lineRule="auto"/>
        <w:jc w:val="both"/>
        <w:rPr>
          <w:rFonts w:ascii="Helvetica Neue" w:eastAsia="Helvetica Neue" w:hAnsi="Helvetica Neue" w:cs="Helvetica Neue"/>
        </w:rPr>
        <w:spacing w:after="35" w:line="60" w:lineRule="exact"/>
      </w:pP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Não foi realizada demonstração em contas pagas ou comparação contratual desses produtos. Preços, quotas, cobertura, acesso por API, retenção, uso em IA e exportação precisam constar da proposta específica. O orçamento deve incluir esforço de integração e manutenção, além de licenças e consumo.</w:t>
      </w:r>
    </w:p>
    <w:p>
      <w:pPr>
        <w:pStyle w:val="Heading2"/>
        <w:keepNext/>
        <w:keepLines/>
      </w:pPr>
      <w:r>
        <w:rPr>
          <w:rFonts w:ascii="Helvetica Neue" w:hAnsi="Helvetica Neue" w:eastAsia="Helvetica Neue" w:cs="Helvetica Neue"/>
        </w:rPr>
        <w:t xml:space="preserve">Prova comparativa proposta</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Usar as mesmas 50 empresas de referência, selecionadas pela GHT4 para representar aplicações, regiões, modelos mistos, marcas adquiridas e diferentes níveis de presença digital. Separar 30 para preparação e 20 para verificação posterior. Os números são uma sugestão de teste inicial, não amostra estatisticamente representativa do mercado.</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Medir identificação correta, aderência da classificação, fonte e período financeiro, origem da estimativa, controle, cobertura de contatos, facilidade de exportação e tempo de revisão. Também realizar uma busca aberta por aplicação para medir empresas novas úteis que cada alternativa acrescente à base atual. Descoberta de nomes já conhecidos não mede ganho incremental.</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Definir como condição de contratação a entrega da origem dos campos críticos, regras claras de uso e saída dos dados, e ganho útil frente às fontes já disponíveis. Não combinar um fornecedor com todos os demais por precaução. Se a principal lacuna for confirmação comercial, uma nova assinatura de dados pode ter retorno inferior ao trabalho de um analista e do originador.</w:t>
      </w:r>
    </w:p>
    <w:p>
      <w:pPr>
        <w:pStyle w:val="Heading1"/>
        <w:keepNext/>
        <w:keepLines/>
      </w:pPr>
      <w:bookmarkStart w:id="111" w:name="ghtsection11"/>
      <w:r>
        <w:rPr>
          <w:rFonts w:ascii="Helvetica Neue" w:hAnsi="Helvetica Neue" w:eastAsia="Helvetica Neue" w:cs="Helvetica Neue"/>
        </w:rPr>
        <w:t xml:space="preserve">11 IA e rede com revisão verificável</w:t>
      </w:r>
      <w:bookmarkEnd w:id="111"/>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O NIST descreve a possibilidade de sistemas generativos apresentarem conteúdo e citações incorretos com confiança. Para a GHT4, a exigência deve ser afirmação verificável: o relatório precisa ligar o fato à passagem que o sustenta, distinguir inferência e recusar uma conclusão quando o dado necessário não existir. Uma lista de links ao fim do texto não basta para validar a análise.</w:t>
      </w:r>
      <w:r>
        <w:rPr>
          <w:vertAlign w:val="superscript"/>
        </w:rPr>
        <w:footnoteReference w:id="42"/>
      </w:r>
    </w:p>
    <w:p>
      <w:pPr>
        <w:pStyle w:val="Heading2"/>
        <w:keepNext/>
        <w:keepLines/>
      </w:pPr>
      <w:r>
        <w:rPr>
          <w:rFonts w:ascii="Helvetica Neue" w:hAnsi="Helvetica Neue" w:eastAsia="Helvetica Neue" w:cs="Helvetica Neue"/>
        </w:rPr>
        <w:t xml:space="preserve">Papel de cada componente</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A IA pode extrair atividades de documentos, propor classificação, relacionar nomes, sugerir regras e redigir sínteses. Os cálculos, filtros e restrições devem ser executados por componentes determinísticos. A busca semântica ajuda a recuperar evidências; o analista valida casos ambíguos e o sócio decide a prioridade comercial. Esse desenho preserva a configurabilidade pedida no anexo sem delegar ao texto gerado a autoridade para alterar o processo.</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Uma correção humana deve identificar o que mudou: fato, classificação, preferência da busca, ajuste de cálculo ou decisão de mandato. Corrigir um campo não significa treinar automaticamente um modelo compartilhado. O padrão proposto é registrar uma nova versão com autor, justificativa, evidência, escopo e vigência; alterações de metodologia precisam de validação própria.</w:t>
      </w:r>
    </w:p>
    <w:p>
      <w:pPr>
        <w:pStyle w:val="Heading2"/>
        <w:keepNext/>
        <w:keepLines/>
      </w:pPr>
      <w:r>
        <w:rPr>
          <w:rFonts w:ascii="Helvetica Neue" w:hAnsi="Helvetica Neue" w:eastAsia="Helvetica Neue" w:cs="Helvetica Neue"/>
        </w:rPr>
        <w:t xml:space="preserve">Relações da GHT4</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Coincidência de escola, empregador ou evento é apenas uma conexão potencial. A ficha deve distinguir vínculo público, reconhecimento pelo membro do grupo, disponibilidade para apresentar e introdução efetivamente realizada. A força do acesso muda ao longo do tempo; recência e confirmação devem ser exibidas junto da relação.</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A ANPD orienta avaliar finalidade, necessidade, balanceamento e salvaguardas no uso do legítimo interesse. Aplicado ao projeto, isso exige avaliar os dados pessoais necessários e a forma de contato. Os termos do LinkedIn restringem scraping e métodos automatizados não autorizados; a coleta deve seguir os meios e direitos permitidos, sem presumir que tudo que é visível possa ser copiado e redistribuído.</w:t>
      </w:r>
      <w:r>
        <w:rPr>
          <w:vertAlign w:val="superscript"/>
        </w:rPr>
        <w:footnoteReference w:id="43"/>
      </w:r>
      <w:r>
        <w:rPr>
          <w:rFonts w:ascii="Helvetica Neue" w:hAnsi="Helvetica Neue" w:eastAsia="Helvetica Neue" w:cs="Helvetica Neue"/>
          <w:vertAlign w:val="superscript"/>
        </w:rPr>
        <w:t xml:space="preserve">⁠, </w:t>
      </w:r>
      <w:r>
        <w:rPr>
          <w:vertAlign w:val="superscript"/>
        </w:rPr>
        <w:footnoteReference w:id="44"/>
      </w:r>
    </w:p>
    <w:p>
      <w:pPr>
        <w:pStyle w:val="Heading2"/>
        <w:keepNext/>
        <w:keepLines/>
      </w:pPr>
      <w:r>
        <w:rPr>
          <w:rFonts w:ascii="Helvetica Neue" w:hAnsi="Helvetica Neue" w:eastAsia="Helvetica Neue" w:cs="Helvetica Neue"/>
        </w:rPr>
        <w:t xml:space="preserve">Conteúdo externo e segregação</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A OWASP descreve como instruções em páginas e documentos podem influenciar indevidamente um sistema de IA e observa que RAG não elimina esse risco. A ferramenta deve tratar conteúdo pesquisado como informação a examinar, sem permitir que ele altere pesos, revele dados ou acione contatos. Os mecanismos de permissão devem funcionar fora do modelo.</w:t>
      </w:r>
      <w:r>
        <w:rPr>
          <w:vertAlign w:val="superscript"/>
        </w:rPr>
        <w:footnoteReference w:id="45"/>
      </w: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A OWASP também aponta riscos de acesso indevido e mistura de contextos em bases vetoriais. Para a GHT4, permissões devem ser verificadas antes da recuperação de trechos e continuar válidas nas respostas, arquivos e registros. Uma consulta a fontes públicas de um comprador não pode recuperar notas restritas de outro mandato apenas porque os nomes são semelhantes.</w:t>
      </w:r>
      <w:r>
        <w:rPr>
          <w:vertAlign w:val="superscript"/>
        </w:rPr>
        <w:footnoteReference w:id="46"/>
      </w:r>
    </w:p>
    <w:p>
      <w:pPr>
        <w:pStyle w:val="Heading1"/>
        <w:keepNext/>
        <w:keepLines/>
      </w:pPr>
      <w:bookmarkStart w:id="112" w:name="ghtsection12"/>
      <w:r>
        <w:rPr>
          <w:rFonts w:ascii="Helvetica Neue" w:hAnsi="Helvetica Neue" w:eastAsia="Helvetica Neue" w:cs="Helvetica Neue"/>
        </w:rPr>
        <w:t xml:space="preserve">12 Incorporação ao plano e prioridades</w:t>
      </w:r>
      <w:bookmarkEnd w:id="112"/>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Os ajustes abaixo detalham os itens já previstos. Eles não constituem autorização para contato comercial, contratação de fornecedor ou desenvolvimento integral. A finalidade é tornar o planejamento e os critérios de aceite concretos para a GHT4 e o responsável pela implementação.</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94"/>
        <w:gridCol w:w="3483"/>
        <w:gridCol w:w="3483"/>
      </w:tblGrid>
      <w:tr w14:paraId="76270B64" w14:textId="77777777">
        <w:trPr>
          <w:tblHeader/>
          <w:cantSplit/>
        </w:trPr>
        <w:tc>
          <w:tcPr>
            <w:tcW w:w="2394"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pPr>
              <w:spacing w:after="35" w:before="35" w:line="240" w:lineRule="auto"/>
              <w:jc w:val="left"/>
            </w:pPr>
            <w:r>
              <w:rPr>
                <w:rFonts w:ascii="Helvetica Neue" w:hAnsi="Helvetica Neue" w:eastAsia="Helvetica Neue" w:cs="Helvetica Neue"/>
                <w:b/>
                <w:sz w:val="20"/>
                <w:szCs w:val="20"/>
                <w:rFonts w:ascii="Helvetica Neue" w:hAnsi="Helvetica Neue"/>
                <w:color w:val="FFFFFF"/>
              </w:rPr>
              <w:t xml:space="preserve">Backlog existente</w:t>
            </w:r>
          </w:p>
        </w:tc>
        <w:tc>
          <w:tcPr>
            <w:tcW w:w="3483"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pPr>
              <w:spacing w:after="35" w:before="35" w:line="240" w:lineRule="auto"/>
              <w:jc w:val="left"/>
            </w:pPr>
            <w:r>
              <w:rPr>
                <w:rFonts w:ascii="Helvetica Neue" w:hAnsi="Helvetica Neue" w:eastAsia="Helvetica Neue" w:cs="Helvetica Neue"/>
                <w:b/>
                <w:sz w:val="20"/>
                <w:szCs w:val="20"/>
                <w:rFonts w:ascii="Helvetica Neue" w:hAnsi="Helvetica Neue"/>
                <w:color w:val="FFFFFF"/>
              </w:rPr>
              <w:t xml:space="preserve">Refinamento a incorporar</w:t>
            </w:r>
          </w:p>
        </w:tc>
        <w:tc>
          <w:tcPr>
            <w:tcW w:w="3483"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pPr>
              <w:spacing w:after="35" w:before="35" w:line="240" w:lineRule="auto"/>
              <w:jc w:val="left"/>
            </w:pPr>
            <w:r>
              <w:rPr>
                <w:rFonts w:ascii="Helvetica Neue" w:hAnsi="Helvetica Neue" w:eastAsia="Helvetica Neue" w:cs="Helvetica Neue"/>
                <w:b/>
                <w:sz w:val="20"/>
                <w:szCs w:val="20"/>
                <w:rFonts w:ascii="Helvetica Neue" w:hAnsi="Helvetica Neue"/>
                <w:color w:val="FFFFFF"/>
              </w:rPr>
              <w:t xml:space="preserve">Demonstração exigida</w:t>
            </w:r>
          </w:p>
        </w:tc>
      </w:tr>
      <w:tr w14:paraId="0CB6626E" w14:textId="77777777">
        <w:trPr>
          <w:cantSplit/>
        </w:trPr>
        <w:tc>
          <w:tcPr>
            <w:tcW w:w="239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B02 B06</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Taxonomia por aplicação, produto, fornecedor e modelo operacional</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Casos de distribuidor, fabricante e operação mista classificados corretamente</w:t>
            </w:r>
          </w:p>
        </w:tc>
      </w:tr>
      <w:tr w14:paraId="0CB6626E" w14:textId="77777777">
        <w:trPr>
          <w:cantSplit/>
        </w:trPr>
        <w:tc>
          <w:tcPr>
            <w:tcW w:w="239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B03 B04</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Uso e limites por fonte; estimativa preservada na importação</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CSV importado com origem, período e natureza de cada campo crítico</w:t>
            </w:r>
          </w:p>
        </w:tc>
      </w:tr>
      <w:tr w14:paraId="0CB6626E" w14:textId="77777777">
        <w:trPr>
          <w:cantSplit/>
        </w:trPr>
        <w:tc>
          <w:tcPr>
            <w:tcW w:w="239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B05 B08</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Marcas históricas, grupo e datas de controle</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Caldic GTM e quantiQ relacionados sem falsa fusão cadastral</w:t>
            </w:r>
          </w:p>
        </w:tc>
      </w:tr>
      <w:tr w14:paraId="0CB6626E" w14:textId="77777777">
        <w:trPr>
          <w:cantSplit/>
        </w:trPr>
        <w:tc>
          <w:tcPr>
            <w:tcW w:w="239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B09 B10 B12</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Separação das três avaliações; escalas e sensibilidade</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Ranking reproduzível e explicação das mudanças de prioridade</w:t>
            </w:r>
          </w:p>
        </w:tc>
      </w:tr>
      <w:tr w14:paraId="0CB6626E" w14:textId="77777777">
        <w:trPr>
          <w:cantSplit/>
        </w:trPr>
        <w:tc>
          <w:tcPr>
            <w:tcW w:w="239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B11</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Dimensão explícita para foco e diversificação</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Prompt ambíguo gera prévia compreensível e regra confirmável</w:t>
            </w:r>
          </w:p>
        </w:tc>
      </w:tr>
      <w:tr w14:paraId="0CB6626E" w14:textId="77777777">
        <w:trPr>
          <w:cantSplit/>
        </w:trPr>
        <w:tc>
          <w:tcPr>
            <w:tcW w:w="239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B13 B22</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Estado da conexão e autorização antes da recuperação</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Conexão potencial não aparece como apresentação confirmada</w:t>
            </w:r>
          </w:p>
        </w:tc>
      </w:tr>
      <w:tr w14:paraId="0CB6626E" w14:textId="77777777">
        <w:trPr>
          <w:cantSplit/>
        </w:trPr>
        <w:tc>
          <w:tcPr>
            <w:tcW w:w="239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B14 B15 B24</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Canal, influência, proposta e custo por oportunidade</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Funil de compra e venda sem dupla contagem de mensagens</w:t>
            </w:r>
          </w:p>
        </w:tc>
      </w:tr>
      <w:tr w14:paraId="0CB6626E" w14:textId="77777777">
        <w:trPr>
          <w:cantSplit/>
        </w:trPr>
        <w:tc>
          <w:tcPr>
            <w:tcW w:w="239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B16 B17</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Métricas, universo e data nos múltiplos</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SDE EBITA EBITDA e agregados proprietários identificados</w:t>
            </w:r>
          </w:p>
        </w:tc>
      </w:tr>
      <w:tr w14:paraId="0CB6626E" w14:textId="77777777">
        <w:trPr>
          <w:cantSplit/>
        </w:trPr>
        <w:tc>
          <w:tcPr>
            <w:tcW w:w="239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B18</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Datas separadas e deduplicação por evento</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Proquimil em 2022; Colormix em 2026; IQT como parceria</w:t>
            </w:r>
          </w:p>
        </w:tc>
      </w:tr>
      <w:tr w14:paraId="0CB6626E" w14:textId="77777777">
        <w:trPr>
          <w:cantSplit/>
        </w:trPr>
        <w:tc>
          <w:tcPr>
            <w:tcW w:w="239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B19</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Três perímetros de mercado e controle de dupla contagem</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TAM do produto, distribuição e oportunidade de assessoria diferenciados</w:t>
            </w:r>
          </w:p>
        </w:tc>
      </w:tr>
      <w:tr w14:paraId="0CB6626E" w14:textId="77777777">
        <w:trPr>
          <w:cantSplit/>
        </w:trPr>
        <w:tc>
          <w:tcPr>
            <w:tcW w:w="239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B20</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Complementaridade e conflito de fornecedores e território</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Matchmaking mostra hipótese, evidência e ponto pendente</w:t>
            </w:r>
          </w:p>
        </w:tc>
      </w:tr>
      <w:tr w14:paraId="0CB6626E" w14:textId="77777777">
        <w:trPr>
          <w:cantSplit/>
        </w:trPr>
        <w:tc>
          <w:tcPr>
            <w:tcW w:w="239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B21 B25</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Evidência por afirmação e consistência dos formatos</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Chat Excel e PDF correspondem à mesma versão aprovada</w:t>
            </w:r>
          </w:p>
        </w:tc>
      </w:tr>
      <w:tr w14:paraId="0CB6626E" w14:textId="77777777">
        <w:trPr>
          <w:cantSplit/>
        </w:trPr>
        <w:tc>
          <w:tcPr>
            <w:tcW w:w="239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B22 B23</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Isolamento na IA e recuperação operacional</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Tentativa de acesso cruzado bloqueada e restauração demonstrada</w:t>
            </w:r>
          </w:p>
        </w:tc>
      </w:tr>
      <w:tr w14:paraId="0CB6626E" w14:textId="77777777">
        <w:trPr>
          <w:cantSplit/>
        </w:trPr>
        <w:tc>
          <w:tcPr>
            <w:tcW w:w="239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B26</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Contratação e integração condicionadas ao teste</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Ganho incremental, custo e direitos documentados</w:t>
            </w:r>
          </w:p>
        </w:tc>
      </w:tr>
    </w:tbl>
    <w:p>
      <w:pPr>
        <w:spacing w:after="120" w:line="276" w:lineRule="auto"/>
        <w:jc w:val="both"/>
        <w:rPr>
          <w:rFonts w:ascii="Helvetica Neue" w:eastAsia="Helvetica Neue" w:hAnsi="Helvetica Neue" w:cs="Helvetica Neue"/>
        </w:rPr>
        <w:spacing w:after="35" w:line="60" w:lineRule="exact"/>
      </w:pPr>
    </w:p>
    <w:p>
      <w:pPr>
        <w:pStyle w:val="Heading2"/>
        <w:keepNext/>
        <w:keepLines/>
      </w:pPr>
      <w:r>
        <w:rPr>
          <w:rFonts w:ascii="Helvetica Neue" w:hAnsi="Helvetica Neue" w:eastAsia="Helvetica Neue" w:cs="Helvetica Neue"/>
        </w:rPr>
        <w:t xml:space="preserve">Sequência de execução proposta</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b/>
        </w:rPr>
        <w:t xml:space="preserve">Semana 1.</w:t>
      </w:r>
      <w:r>
        <w:rPr>
          <w:rFonts w:ascii="Helvetica Neue" w:hAnsi="Helvetica Neue" w:eastAsia="Helvetica Neue" w:cs="Helvetica Neue"/>
        </w:rPr>
        <w:t xml:space="preserve"> Ratificar recortes, responsáveis e o significado de boa oportunidade. Selecionar a amostra, testar uma exportação de cada base existente e definir as escalas iniciais. Confirmar a agenda disponível dos sócios e o processo atual de CRM.</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b/>
        </w:rPr>
        <w:t xml:space="preserve">Semanas 2 a 4.</w:t>
      </w:r>
      <w:r>
        <w:rPr>
          <w:rFonts w:ascii="Helvetica Neue" w:hAnsi="Helvetica Neue" w:eastAsia="Helvetica Neue" w:cs="Helvetica Neue"/>
        </w:rPr>
        <w:t xml:space="preserve"> Reconciliar o universo inicial, produzir fichas com evidências e iniciar a rotina comercial assistida. A rede e o CRM mínimos precisam funcionar nessa etapa, mesmo que sua automação avance nas semanas 7 e 8 do plano anterior. Usar conversas para qualificar a tese e preencher necessidades que a internet não revela.</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b/>
        </w:rPr>
        <w:t xml:space="preserve">Semanas 5 a 8.</w:t>
      </w:r>
      <w:r>
        <w:rPr>
          <w:rFonts w:ascii="Helvetica Neue" w:hAnsi="Helvetica Neue" w:eastAsia="Helvetica Neue" w:cs="Helvetica Neue"/>
        </w:rPr>
        <w:t xml:space="preserve"> Calibrar ranking, linguagem natural e templates; ampliar a confirmação de relações; rever canais e propostas. Só avançar a contratação de dados adicionais se a comparação demonstrar uma lacuna relevante e solucionável.</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b/>
        </w:rPr>
        <w:t xml:space="preserve">Semanas 9 a 12.</w:t>
      </w:r>
      <w:r>
        <w:rPr>
          <w:rFonts w:ascii="Helvetica Neue" w:hAnsi="Helvetica Neue" w:eastAsia="Helvetica Neue" w:cs="Helvetica Neue"/>
        </w:rPr>
        <w:t xml:space="preserve"> Integrar valuation, report, notícias e matchmaking com os casos de teste reais. Manter separado o uso comercial de uma empresa pesquisada e seu eventual papel em um mandato.</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b/>
        </w:rPr>
        <w:t xml:space="preserve">Semanas 13 a 16.</w:t>
      </w:r>
      <w:r>
        <w:rPr>
          <w:rFonts w:ascii="Helvetica Neue" w:hAnsi="Helvetica Neue" w:eastAsia="Helvetica Neue" w:cs="Helvetica Neue"/>
        </w:rPr>
        <w:t xml:space="preserve"> Homologar o fluxo completo, documentar procedimentos e medir uso, qualidade, custo de revisão e continuidade da agenda. Decidir sobre expansão por evidência. A avaliação econômica até 180 dias mantém propostas, mandatos assinados e transações concluídas em medidas diferentes.</w:t>
      </w:r>
    </w:p>
    <w:p>
      <w:pPr>
        <w:pStyle w:val="Heading1"/>
        <w:keepNext/>
        <w:keepLines/>
      </w:pPr>
      <w:bookmarkStart w:id="113" w:name="ghtsection13"/>
      <w:r>
        <w:rPr>
          <w:rFonts w:ascii="Helvetica Neue" w:hAnsi="Helvetica Neue" w:eastAsia="Helvetica Neue" w:cs="Helvetica Neue"/>
        </w:rPr>
        <w:t xml:space="preserve">13 Casos de aceite e lacunas remanescentes</w:t>
      </w:r>
      <w:bookmarkEnd w:id="113"/>
    </w:p>
    <w:p>
      <w:pPr>
        <w:pStyle w:val="Heading2"/>
        <w:keepNext/>
        <w:keepLines/>
      </w:pPr>
      <w:r>
        <w:rPr>
          <w:rFonts w:ascii="Helvetica Neue" w:hAnsi="Helvetica Neue" w:eastAsia="Helvetica Neue" w:cs="Helvetica Neue"/>
        </w:rPr>
        <w:t xml:space="preserve">Casos reais para homologação</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94"/>
        <w:gridCol w:w="3483"/>
        <w:gridCol w:w="3483"/>
      </w:tblGrid>
      <w:tr w14:paraId="76270B64" w14:textId="77777777">
        <w:trPr>
          <w:tblHeader/>
          <w:cantSplit/>
        </w:trPr>
        <w:tc>
          <w:tcPr>
            <w:tcW w:w="2394"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pPr>
              <w:spacing w:after="35" w:before="35" w:line="240" w:lineRule="auto"/>
              <w:jc w:val="left"/>
            </w:pPr>
            <w:r>
              <w:rPr>
                <w:rFonts w:ascii="Helvetica Neue" w:hAnsi="Helvetica Neue" w:eastAsia="Helvetica Neue" w:cs="Helvetica Neue"/>
                <w:b/>
                <w:sz w:val="20"/>
                <w:szCs w:val="20"/>
                <w:rFonts w:ascii="Helvetica Neue" w:hAnsi="Helvetica Neue"/>
                <w:color w:val="FFFFFF"/>
              </w:rPr>
              <w:t xml:space="preserve">Caso</w:t>
            </w:r>
          </w:p>
        </w:tc>
        <w:tc>
          <w:tcPr>
            <w:tcW w:w="3483"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pPr>
              <w:spacing w:after="35" w:before="35" w:line="240" w:lineRule="auto"/>
              <w:jc w:val="left"/>
            </w:pPr>
            <w:r>
              <w:rPr>
                <w:rFonts w:ascii="Helvetica Neue" w:hAnsi="Helvetica Neue" w:eastAsia="Helvetica Neue" w:cs="Helvetica Neue"/>
                <w:b/>
                <w:sz w:val="20"/>
                <w:szCs w:val="20"/>
                <w:rFonts w:ascii="Helvetica Neue" w:hAnsi="Helvetica Neue"/>
                <w:color w:val="FFFFFF"/>
              </w:rPr>
              <w:t xml:space="preserve">Erro a evitar</w:t>
            </w:r>
          </w:p>
        </w:tc>
        <w:tc>
          <w:tcPr>
            <w:tcW w:w="3483"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pPr>
              <w:spacing w:after="35" w:before="35" w:line="240" w:lineRule="auto"/>
              <w:jc w:val="left"/>
            </w:pPr>
            <w:r>
              <w:rPr>
                <w:rFonts w:ascii="Helvetica Neue" w:hAnsi="Helvetica Neue" w:eastAsia="Helvetica Neue" w:cs="Helvetica Neue"/>
                <w:b/>
                <w:sz w:val="20"/>
                <w:szCs w:val="20"/>
                <w:rFonts w:ascii="Helvetica Neue" w:hAnsi="Helvetica Neue"/>
                <w:color w:val="FFFFFF"/>
              </w:rPr>
              <w:t xml:space="preserve">Resultado esperado</w:t>
            </w:r>
          </w:p>
        </w:tc>
      </w:tr>
      <w:tr w14:paraId="0CB6626E" w14:textId="77777777">
        <w:trPr>
          <w:cantSplit/>
        </w:trPr>
        <w:tc>
          <w:tcPr>
            <w:tcW w:w="239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Proquimil</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Contar publicação de 2025 como aquisição de 2025</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Evento de 2022, com as duas datas preservadas</w:t>
            </w:r>
          </w:p>
        </w:tc>
      </w:tr>
      <w:tr w14:paraId="0CB6626E" w14:textId="77777777">
        <w:trPr>
          <w:cantSplit/>
        </w:trPr>
        <w:tc>
          <w:tcPr>
            <w:tcW w:w="239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Colormix</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Tratar empresa adquirida como vendedor independente por padrão</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Mudança de controle refletida conforme comunicado de 2026</w:t>
            </w:r>
          </w:p>
        </w:tc>
      </w:tr>
      <w:tr w14:paraId="0CB6626E" w14:textId="77777777">
        <w:trPr>
          <w:cantSplit/>
        </w:trPr>
        <w:tc>
          <w:tcPr>
            <w:tcW w:w="239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Barentz e IQT</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Classificar contrato de distribuição como aquisição</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Evento comercial separado da atividade de M&amp;A</w:t>
            </w:r>
          </w:p>
        </w:tc>
      </w:tr>
      <w:tr w14:paraId="0CB6626E" w14:textId="77777777">
        <w:trPr>
          <w:cantSplit/>
        </w:trPr>
        <w:tc>
          <w:tcPr>
            <w:tcW w:w="239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GTM quantiQ e Caldic</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Multiplicar compradores ou fundir CNPJs por marca</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Histórico de nomes e grupo com entidades distintas</w:t>
            </w:r>
          </w:p>
        </w:tc>
      </w:tr>
      <w:tr w14:paraId="0CB6626E" w14:textId="77777777">
        <w:trPr>
          <w:cantSplit/>
        </w:trPr>
        <w:tc>
          <w:tcPr>
            <w:tcW w:w="239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Comex Stat</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Inventar importação ou faturamento de uma empresa</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Resultado agregado, com limite explícito</w:t>
            </w:r>
          </w:p>
        </w:tc>
      </w:tr>
      <w:tr w14:paraId="0CB6626E" w14:textId="77777777">
        <w:trPr>
          <w:cantSplit/>
        </w:trPr>
        <w:tc>
          <w:tcPr>
            <w:tcW w:w="239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Porte estimado</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Converter faturamento presumido em observado</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Natureza e fonte mantidas em todos os formatos</w:t>
            </w:r>
          </w:p>
        </w:tc>
      </w:tr>
      <w:tr w14:paraId="0CB6626E" w14:textId="77777777">
        <w:trPr>
          <w:cantSplit/>
        </w:trPr>
        <w:tc>
          <w:tcPr>
            <w:tcW w:w="239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Valuation externo</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Misturar SDE e EBITDA ou completar número omitido</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Métricas separadas e ausência preservada</w:t>
            </w:r>
          </w:p>
        </w:tc>
      </w:tr>
      <w:tr w14:paraId="0CB6626E" w14:textId="77777777">
        <w:trPr>
          <w:cantSplit/>
        </w:trPr>
        <w:tc>
          <w:tcPr>
            <w:tcW w:w="239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Rede potencial</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Alegar que duas pessoas se conhecem por coincidência curricular</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2F5FA"/>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Vínculo sugerido pendente de confirmação</w:t>
            </w:r>
          </w:p>
        </w:tc>
      </w:tr>
      <w:tr w14:paraId="0CB6626E" w14:textId="77777777">
        <w:trPr>
          <w:cantSplit/>
        </w:trPr>
        <w:tc>
          <w:tcPr>
            <w:tcW w:w="2394"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Conteúdo com instrução</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Alterar ranking ou revelar um mandato por ordem em página</w:t>
            </w:r>
          </w:p>
        </w:tc>
        <w:tc>
          <w:tcPr>
            <w:tcW w:w="3483"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shd w:val="clear" w:fill="FFFFFF"/>
          </w:tcPr>
          <w:p>
            <w:pPr>
              <w:spacing w:after="35" w:before="35" w:line="240" w:lineRule="auto"/>
              <w:jc w:val="left"/>
            </w:pPr>
            <w:r>
              <w:rPr>
                <w:rFonts w:ascii="Helvetica Neue" w:hAnsi="Helvetica Neue" w:eastAsia="Helvetica Neue" w:cs="Helvetica Neue"/>
                <w:sz w:val="20"/>
                <w:szCs w:val="20"/>
                <w:rFonts w:ascii="Helvetica Neue" w:hAnsi="Helvetica Neue"/>
                <w:color w:val="000000"/>
              </w:rPr>
              <w:t xml:space="preserve">Informação externa não altera regras nem permissões</w:t>
            </w:r>
          </w:p>
        </w:tc>
      </w:tr>
    </w:tbl>
    <w:p>
      <w:pPr>
        <w:spacing w:after="120" w:line="276" w:lineRule="auto"/>
        <w:jc w:val="both"/>
        <w:rPr>
          <w:rFonts w:ascii="Helvetica Neue" w:eastAsia="Helvetica Neue" w:hAnsi="Helvetica Neue" w:cs="Helvetica Neue"/>
        </w:rPr>
        <w:spacing w:after="35" w:line="60" w:lineRule="exact"/>
      </w:pPr>
    </w:p>
    <w:p>
      <w:pPr>
        <w:pStyle w:val="Heading2"/>
        <w:keepNext/>
        <w:keepLines/>
      </w:pPr>
      <w:r>
        <w:rPr>
          <w:rFonts w:ascii="Helvetica Neue" w:hAnsi="Helvetica Neue" w:eastAsia="Helvetica Neue" w:cs="Helvetica Neue"/>
        </w:rPr>
        <w:t xml:space="preserve">Avaliação do piloto</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Comparar a seleção manual inicial com a seleção assistida usando contas equivalentes, o mesmo escopo e registro de tempo. Avaliar precisão das empresas prioritárias, erros de identidade, rastreabilidade e tempo total até uma ficha aprovada. Medir o esforço de corrigir a IA, não apenas o tempo de gerar o primeiro texto.</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Na frente comercial, registrar apresentações realizadas, conversas qualificadas, propostas e mandatos por lado e canal. A melhora observada deve ser interpretada junto de experiência do originador, qualidade das contas e tempo de maturação. Uma diferença pequena numa amostra reduzida não demonstra que um canal seja universalmente superior.</w:t>
      </w:r>
    </w:p>
    <w:p>
      <w:pPr>
        <w:pStyle w:val="Heading2"/>
        <w:keepNext/>
        <w:keepLines/>
      </w:pPr>
      <w:r>
        <w:rPr>
          <w:rFonts w:ascii="Helvetica Neue" w:hAnsi="Helvetica Neue" w:eastAsia="Helvetica Neue" w:cs="Helvetica Neue"/>
        </w:rPr>
        <w:t xml:space="preserve">O que ainda depende de dados da GHT4</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Para executar, faltam confirmar a faixa econômica dos mandatos, a capacidade da equipe, o sistema de CRM adotado, amostras autorizadas de Capital IQ e EMIS, direitos contratuais, disponibilidade dos donos das relações e os critérios finais dos sócios. Essas informações refinam a implementação; não alteram o foco químico e o equilíbrio entre compra e venda já definidos.</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A pesquisa pública não substitui entrevistas com compradores e acionistas para confirmar tese, intenção, recursos e contratação. Também não fornece demonstrações financeiras de todas as empresas privadas ou as condições comerciais das bases pagas. O produto deve tornar essas lacunas acionáveis: cada uma recebe responsável, próxima fonte ou conversa e consequência para a seleção.</w:t>
      </w:r>
    </w:p>
    <w:p>
      <w:pPr>
        <w:pStyle w:val="Heading1"/>
        <w:keepNext/>
        <w:keepLines/>
      </w:pPr>
      <w:bookmarkStart w:id="114" w:name="ghtsection14"/>
      <w:r>
        <w:rPr>
          <w:rFonts w:ascii="Helvetica Neue" w:hAnsi="Helvetica Neue" w:eastAsia="Helvetica Neue" w:cs="Helvetica Neue"/>
        </w:rPr>
        <w:t xml:space="preserve">14 Fontes e referências</w:t>
      </w:r>
      <w:bookmarkEnd w:id="114"/>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As fontes públicas foram consultadas em 10 de setembro de 2026. O conjunto cobre pesquisas internacionais, publicações brasileiras, comunicados de empresas, bases públicas, referências de assessoria, plataformas e métodos. Não representa uma varredura literal de toda a internet nem acesso a bases privadas completas. Conteúdo restrito não foi tratado como lido; dados financeiros ausentes, preços de software e intenção dos prospectos não foram presumidos.</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rPr>
        <w:t xml:space="preserve">As referências históricas permanecem identificadas pelo período a que se referem. Páginas comerciais descrevem capacidades alegadas pelo fornecedor; casos de assessores não constituem estudos causais de desempenho. As notas numeradas ao longo do texto remetem às fontes e podem diferir dos números desta lista, pois seguem a ordem de citação. As descrições ao fim das referências esclarecem o uso de cada fonte.</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b/>
        </w:rPr>
        <w:t xml:space="preserve">1. GHT4 Advisory. </w:t>
      </w:r>
      <w:r>
        <w:rPr>
          <w:rFonts w:ascii="Helvetica Neue" w:hAnsi="Helvetica Neue" w:eastAsia="Helvetica Neue" w:cs="Helvetica Neue"/>
        </w:rPr>
        <w:t xml:space="preserve">Ferramenta de IA para Prospecção e Execução de Mandatos</w:t>
      </w:r>
      <w:r>
        <w:rPr>
          <w:rFonts w:ascii="Helvetica Neue" w:hAnsi="Helvetica Neue" w:eastAsia="Helvetica Neue" w:cs="Helvetica Neue"/>
        </w:rPr>
        <w:t xml:space="preserve">. Documento de Requisitos v1.0, sem data explícita. Fonte interna: Requisitos - Ferramenta de IA GHT4 (1).docx, fornecido para análise; seções 1 a 12.</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b/>
        </w:rPr>
        <w:t xml:space="preserve">2. Planejamento GHT4. </w:t>
      </w:r>
      <w:r>
        <w:rPr>
          <w:rFonts w:ascii="Helvetica Neue" w:hAnsi="Helvetica Neue" w:eastAsia="Helvetica Neue" w:cs="Helvetica Neue"/>
        </w:rPr>
        <w:t xml:space="preserve">Prospecção de mandatos na GHT4</w:t>
      </w:r>
      <w:r>
        <w:rPr>
          <w:rFonts w:ascii="Helvetica Neue" w:hAnsi="Helvetica Neue" w:eastAsia="Helvetica Neue" w:cs="Helvetica Neue"/>
        </w:rPr>
        <w:t xml:space="preserve">. 10 setembro 2026. Fonte interna: GHT4 Planejamento de Prospeccao e Requisitos de IA.docx; 36 páginas; seções 1 a 18; backlog B01 a B26.</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b/>
        </w:rPr>
        <w:t xml:space="preserve">3. Bain &amp; Company. </w:t>
      </w:r>
      <w:hyperlink r:id="rIdGHTLink13">
        <w:r>
          <w:rPr>
            <w:rFonts w:ascii="Helvetica Neue" w:hAnsi="Helvetica Neue" w:eastAsia="Helvetica Neue" w:cs="Helvetica Neue"/>
            <w:sz w:val="22"/>
            <w:szCs w:val="22"/>
            <w:color w:val="112075"/>
            <w:u w:val="single"/>
          </w:rPr>
          <w:t xml:space="preserve">M&amp;A Capability for a New Era Five Ways AI Is Creating More Value in M&amp;A Right Now</w:t>
        </w:r>
      </w:hyperlink>
      <w:r>
        <w:rPr>
          <w:rFonts w:ascii="Helvetica Neue" w:hAnsi="Helvetica Neue" w:eastAsia="Helvetica Neue" w:cs="Helvetica Neue"/>
        </w:rPr>
        <w:t xml:space="preserve">. 27 janeiro 2026. Casos de aplicação de IA e atualização contínua de alvos; não comprova retorno para a GHT4.</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b/>
        </w:rPr>
        <w:t xml:space="preserve">4. Paul Gompers, Steven Kaplan e Vladimir Mukharlyamov. </w:t>
      </w:r>
      <w:hyperlink r:id="rIdGHTLink14">
        <w:r>
          <w:rPr>
            <w:rFonts w:ascii="Helvetica Neue" w:hAnsi="Helvetica Neue" w:eastAsia="Helvetica Neue" w:cs="Helvetica Neue"/>
            <w:sz w:val="22"/>
            <w:szCs w:val="22"/>
            <w:color w:val="112075"/>
            <w:u w:val="single"/>
          </w:rPr>
          <w:t xml:space="preserve">What Do Private Equity Firms Say They Do</w:t>
        </w:r>
      </w:hyperlink>
      <w:r>
        <w:rPr>
          <w:rFonts w:ascii="Helvetica Neue" w:hAnsi="Helvetica Neue" w:eastAsia="Helvetica Neue" w:cs="Helvetica Neue"/>
        </w:rPr>
        <w:t xml:space="preserve">. Working Paper 15-081, abril 2015. Pesquisa com 79 investidores de PE; seção 6.1 e tabelas 19 e 20; evidência histórica autorrelatada, não benchmark de boutique brasileira.</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b/>
        </w:rPr>
        <w:t xml:space="preserve">5. KPMG Brasil. </w:t>
      </w:r>
      <w:hyperlink r:id="rIdGHTLink15">
        <w:r>
          <w:rPr>
            <w:rFonts w:ascii="Helvetica Neue" w:hAnsi="Helvetica Neue" w:eastAsia="Helvetica Neue" w:cs="Helvetica Neue"/>
            <w:sz w:val="22"/>
            <w:szCs w:val="22"/>
            <w:color w:val="112075"/>
            <w:u w:val="single"/>
          </w:rPr>
          <w:t xml:space="preserve">Pesquisa Trimestral de M&amp;A 2º Trimestre 2026</w:t>
        </w:r>
      </w:hyperlink>
      <w:r>
        <w:rPr>
          <w:rFonts w:ascii="Helvetica Neue" w:hAnsi="Helvetica Neue" w:eastAsia="Helvetica Neue" w:cs="Helvetica Neue"/>
        </w:rPr>
        <w:t xml:space="preserve">. Agosto 2026. Transações anunciadas no primeiro semestre; mudança metodológica explícita; bases de quantidade e valores divulgados podem diferir.</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b/>
        </w:rPr>
        <w:t xml:space="preserve">6. Kearney. </w:t>
      </w:r>
      <w:hyperlink r:id="rIdGHTLink16">
        <w:r>
          <w:rPr>
            <w:rFonts w:ascii="Helvetica Neue" w:hAnsi="Helvetica Neue" w:eastAsia="Helvetica Neue" w:cs="Helvetica Neue"/>
            <w:sz w:val="22"/>
            <w:szCs w:val="22"/>
            <w:color w:val="112075"/>
            <w:u w:val="single"/>
          </w:rPr>
          <w:t xml:space="preserve">2026 Chemicals Executive M&amp;A Report</w:t>
        </w:r>
      </w:hyperlink>
      <w:r>
        <w:rPr>
          <w:rFonts w:ascii="Helvetica Neue" w:hAnsi="Helvetica Neue" w:eastAsia="Helvetica Neue" w:cs="Helvetica Neue"/>
        </w:rPr>
        <w:t xml:space="preserve">. 16 fevereiro 2026 conforme PDF. Páginas 1 a 3 e 11 a 12; visão global de químicos, não censo brasileiro de distribuidores.</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b/>
        </w:rPr>
        <w:t xml:space="preserve">7. ICIS. </w:t>
      </w:r>
      <w:hyperlink r:id="rIdGHTLink17">
        <w:r>
          <w:rPr>
            <w:rFonts w:ascii="Helvetica Neue" w:hAnsi="Helvetica Neue" w:eastAsia="Helvetica Neue" w:cs="Helvetica Neue"/>
            <w:sz w:val="22"/>
            <w:szCs w:val="22"/>
            <w:color w:val="112075"/>
            <w:u w:val="single"/>
          </w:rPr>
          <w:t xml:space="preserve">ICIS Top 100 Chemical Distributors Ranking for 2026 Unveiled</w:t>
        </w:r>
      </w:hyperlink>
      <w:r>
        <w:rPr>
          <w:rFonts w:ascii="Helvetica Neue" w:hAnsi="Helvetica Neue" w:eastAsia="Helvetica Neue" w:cs="Helvetica Neue"/>
        </w:rPr>
        <w:t xml:space="preserve">. 15 junho 2026. Comunicado sobre ranking baseado nas vendas de 2025; aproximadamente 300 empresas; não equivale a TAM ou lista completa de empresas brasileiras.</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b/>
        </w:rPr>
        <w:t xml:space="preserve">8. ASSOCIQUIM e SINCOQUIM. </w:t>
      </w:r>
      <w:hyperlink r:id="rIdGHTLink18">
        <w:r>
          <w:rPr>
            <w:rFonts w:ascii="Helvetica Neue" w:hAnsi="Helvetica Neue" w:eastAsia="Helvetica Neue" w:cs="Helvetica Neue"/>
            <w:sz w:val="22"/>
            <w:szCs w:val="22"/>
            <w:color w:val="112075"/>
            <w:u w:val="single"/>
          </w:rPr>
          <w:t xml:space="preserve">Perfil do Setor</w:t>
        </w:r>
      </w:hyperlink>
      <w:r>
        <w:rPr>
          <w:rFonts w:ascii="Helvetica Neue" w:hAnsi="Helvetica Neue" w:eastAsia="Helvetica Neue" w:cs="Helvetica Neue"/>
        </w:rPr>
        <w:t xml:space="preserve">. Sem data; página remete ao Perfil 2024. Dados coletados de associados; íntegra restrita, não utilizada para atribuir tamanho de mercado.</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b/>
        </w:rPr>
        <w:t xml:space="preserve">9. ASSOCIQUIM e SINCOQUIM. </w:t>
      </w:r>
      <w:hyperlink r:id="rIdGHTLink19">
        <w:r>
          <w:rPr>
            <w:rFonts w:ascii="Helvetica Neue" w:hAnsi="Helvetica Neue" w:eastAsia="Helvetica Neue" w:cs="Helvetica Neue"/>
            <w:sz w:val="22"/>
            <w:szCs w:val="22"/>
            <w:color w:val="112075"/>
            <w:u w:val="single"/>
          </w:rPr>
          <w:t xml:space="preserve">O que é o PRODIR</w:t>
        </w:r>
      </w:hyperlink>
      <w:r>
        <w:rPr>
          <w:rFonts w:ascii="Helvetica Neue" w:hAnsi="Helvetica Neue" w:eastAsia="Helvetica Neue" w:cs="Helvetica Neue"/>
        </w:rPr>
        <w:t xml:space="preserve">. Sem data de publicação. Processo de gestão específico da distribuição química; uso proposto como evidência a verificar, sem presumir regularidade integral.</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b/>
        </w:rPr>
        <w:t xml:space="preserve">10. ASSOCIQUIM e SINCOQUIM. </w:t>
      </w:r>
      <w:hyperlink r:id="rIdGHTLink20">
        <w:r>
          <w:rPr>
            <w:rFonts w:ascii="Helvetica Neue" w:hAnsi="Helvetica Neue" w:eastAsia="Helvetica Neue" w:cs="Helvetica Neue"/>
            <w:sz w:val="22"/>
            <w:szCs w:val="22"/>
            <w:color w:val="112075"/>
            <w:u w:val="single"/>
          </w:rPr>
          <w:t xml:space="preserve">Home e Empresas Associadas</w:t>
        </w:r>
      </w:hyperlink>
      <w:r>
        <w:rPr>
          <w:rFonts w:ascii="Helvetica Neue" w:hAnsi="Helvetica Neue" w:eastAsia="Helvetica Neue" w:cs="Helvetica Neue"/>
        </w:rPr>
        <w:t xml:space="preserve">. Sem data de publicação. Nomes e marcas para descoberta; presença na associação não define controle, porte ou disponibilidade para venda.</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b/>
        </w:rPr>
        <w:t xml:space="preserve">11. RX in-cosmetics Latin America. </w:t>
      </w:r>
      <w:hyperlink r:id="rIdGHTLink21">
        <w:r>
          <w:rPr>
            <w:rFonts w:ascii="Helvetica Neue" w:hAnsi="Helvetica Neue" w:eastAsia="Helvetica Neue" w:cs="Helvetica Neue"/>
            <w:sz w:val="22"/>
            <w:szCs w:val="22"/>
            <w:color w:val="112075"/>
            <w:u w:val="single"/>
          </w:rPr>
          <w:t xml:space="preserve">Exhibitor Directory</w:t>
        </w:r>
      </w:hyperlink>
      <w:r>
        <w:rPr>
          <w:rFonts w:ascii="Helvetica Neue" w:hAnsi="Helvetica Neue" w:eastAsia="Helvetica Neue" w:cs="Helvetica Neue"/>
        </w:rPr>
        <w:t xml:space="preserve">. Edição 2026; página dinâmica. Diretório de expositores com atividade e categorias; reúne fabricantes, distribuidores e outros perfis.</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b/>
        </w:rPr>
        <w:t xml:space="preserve">12. IBGE CONCLA. </w:t>
      </w:r>
      <w:hyperlink r:id="rIdGHTLink22">
        <w:r>
          <w:rPr>
            <w:rFonts w:ascii="Helvetica Neue" w:hAnsi="Helvetica Neue" w:eastAsia="Helvetica Neue" w:cs="Helvetica Neue"/>
            <w:sz w:val="22"/>
            <w:szCs w:val="22"/>
            <w:color w:val="112075"/>
            <w:u w:val="single"/>
          </w:rPr>
          <w:t xml:space="preserve">CNAE 4684-2/01 Comércio atacadista de resinas e elastômeros</w:t>
        </w:r>
      </w:hyperlink>
      <w:r>
        <w:rPr>
          <w:rFonts w:ascii="Helvetica Neue" w:hAnsi="Helvetica Neue" w:eastAsia="Helvetica Neue" w:cs="Helvetica Neue"/>
        </w:rPr>
        <w:t xml:space="preserve">. Classificação consultada em setembro 2026. Notas explicativas da subclasse e classe 46.84-2; CNAE como ponto de descoberta, não validação da atividade real.</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b/>
        </w:rPr>
        <w:t xml:space="preserve">13. MDIC SECEX. </w:t>
      </w:r>
      <w:hyperlink r:id="rIdGHTLink23">
        <w:r>
          <w:rPr>
            <w:rFonts w:ascii="Helvetica Neue" w:hAnsi="Helvetica Neue" w:eastAsia="Helvetica Neue" w:cs="Helvetica Neue"/>
            <w:sz w:val="22"/>
            <w:szCs w:val="22"/>
            <w:color w:val="112075"/>
            <w:u w:val="single"/>
          </w:rPr>
          <w:t xml:space="preserve">É possível consultar ou solicitar dados estatísticos de empresas brasileiras ou estrangeiras</w:t>
        </w:r>
      </w:hyperlink>
      <w:r>
        <w:rPr>
          <w:rFonts w:ascii="Helvetica Neue" w:hAnsi="Helvetica Neue" w:eastAsia="Helvetica Neue" w:cs="Helvetica Neue"/>
        </w:rPr>
        <w:t xml:space="preserve">. 21 agosto 2023; atualização 24 agosto 2023. Limites da divulgação de estatísticas de comércio exterior por empresa, CNPJ e parceiro comercial.</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b/>
        </w:rPr>
        <w:t xml:space="preserve">14. MDIC SECEX. </w:t>
      </w:r>
      <w:hyperlink r:id="rIdGHTLink24">
        <w:r>
          <w:rPr>
            <w:rFonts w:ascii="Helvetica Neue" w:hAnsi="Helvetica Neue" w:eastAsia="Helvetica Neue" w:cs="Helvetica Neue"/>
            <w:sz w:val="22"/>
            <w:szCs w:val="22"/>
            <w:color w:val="112075"/>
            <w:u w:val="single"/>
          </w:rPr>
          <w:t xml:space="preserve">Estatísticas de Comércio Exterior em Dados Abertos</w:t>
        </w:r>
      </w:hyperlink>
      <w:r>
        <w:rPr>
          <w:rFonts w:ascii="Helvetica Neue" w:hAnsi="Helvetica Neue" w:eastAsia="Helvetica Neue" w:cs="Helvetica Neue"/>
        </w:rPr>
        <w:t xml:space="preserve">. Atualização 4 setembro 2026. CSV de comércio exterior por NCM ou município e SH4; dados agregados para análise de mercado.</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b/>
        </w:rPr>
        <w:t xml:space="preserve">15. IBGE. </w:t>
      </w:r>
      <w:hyperlink r:id="rIdGHTLink25">
        <w:r>
          <w:rPr>
            <w:rFonts w:ascii="Helvetica Neue" w:hAnsi="Helvetica Neue" w:eastAsia="Helvetica Neue" w:cs="Helvetica Neue"/>
            <w:sz w:val="22"/>
            <w:szCs w:val="22"/>
            <w:color w:val="112075"/>
            <w:u w:val="single"/>
          </w:rPr>
          <w:t xml:space="preserve">PAC Pesquisa Anual de Comércio</w:t>
        </w:r>
      </w:hyperlink>
      <w:r>
        <w:rPr>
          <w:rFonts w:ascii="Helvetica Neue" w:hAnsi="Helvetica Neue" w:eastAsia="Helvetica Neue" w:cs="Helvetica Neue"/>
        </w:rPr>
        <w:t xml:space="preserve">. Página consultada em setembro 2026; edição 2023 exibida. Conceitos de receitas, margem de comercialização, estoques, pessoal e abrangência estatística.</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b/>
        </w:rPr>
        <w:t xml:space="preserve">16. CADE. </w:t>
      </w:r>
      <w:hyperlink r:id="rIdGHTLink26">
        <w:r>
          <w:rPr>
            <w:rFonts w:ascii="Helvetica Neue" w:hAnsi="Helvetica Neue" w:eastAsia="Helvetica Neue" w:cs="Helvetica Neue"/>
            <w:sz w:val="22"/>
            <w:szCs w:val="22"/>
            <w:color w:val="112075"/>
            <w:u w:val="single"/>
          </w:rPr>
          <w:t xml:space="preserve">Pesquisa avançada do Cade</w:t>
        </w:r>
      </w:hyperlink>
      <w:r>
        <w:rPr>
          <w:rFonts w:ascii="Helvetica Neue" w:hAnsi="Helvetica Neue" w:eastAsia="Helvetica Neue" w:cs="Helvetica Neue"/>
        </w:rPr>
        <w:t xml:space="preserve">. Serviço consultado em setembro 2026. Consulta pública de processos; não cobre todas as operações privadas ou comprova fechamento por si só.</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b/>
        </w:rPr>
        <w:t xml:space="preserve">17. Safic-Alcan. </w:t>
      </w:r>
      <w:hyperlink r:id="rIdGHTLink27">
        <w:r>
          <w:rPr>
            <w:rFonts w:ascii="Helvetica Neue" w:hAnsi="Helvetica Neue" w:eastAsia="Helvetica Neue" w:cs="Helvetica Neue"/>
            <w:sz w:val="22"/>
            <w:szCs w:val="22"/>
            <w:color w:val="112075"/>
            <w:u w:val="single"/>
          </w:rPr>
          <w:t xml:space="preserve">Safic-Alcan expands its presence in Brazil with the acquisition of Colormix</w:t>
        </w:r>
      </w:hyperlink>
      <w:r>
        <w:rPr>
          <w:rFonts w:ascii="Helvetica Neue" w:hAnsi="Helvetica Neue" w:eastAsia="Helvetica Neue" w:cs="Helvetica Neue"/>
        </w:rPr>
        <w:t xml:space="preserve">. 2 junho 2026. Comunicado afirma aquisição integral; portfólio, laboratórios e presença no Brasil; preço não informado.</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b/>
        </w:rPr>
        <w:t xml:space="preserve">18. Safic-Alcan. </w:t>
      </w:r>
      <w:hyperlink r:id="rIdGHTLink28">
        <w:r>
          <w:rPr>
            <w:rFonts w:ascii="Helvetica Neue" w:hAnsi="Helvetica Neue" w:eastAsia="Helvetica Neue" w:cs="Helvetica Neue"/>
            <w:sz w:val="22"/>
            <w:szCs w:val="22"/>
            <w:color w:val="112075"/>
            <w:u w:val="single"/>
          </w:rPr>
          <w:t xml:space="preserve">Safic-Alcan Establishes Its Presence in South America with the Acquisition of Proquimil</w:t>
        </w:r>
      </w:hyperlink>
      <w:r>
        <w:rPr>
          <w:rFonts w:ascii="Helvetica Neue" w:hAnsi="Helvetica Neue" w:eastAsia="Helvetica Neue" w:cs="Helvetica Neue"/>
        </w:rPr>
        <w:t xml:space="preserve">. Evento em 20 setembro 2022; página datada 13 novembro 2025. Exemplo concreto de divergência entre data de evento e data de publicação exibida.</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b/>
        </w:rPr>
        <w:t xml:space="preserve">19. Safic-Alcan. </w:t>
      </w:r>
      <w:hyperlink r:id="rIdGHTLink29">
        <w:r>
          <w:rPr>
            <w:rFonts w:ascii="Helvetica Neue" w:hAnsi="Helvetica Neue" w:eastAsia="Helvetica Neue" w:cs="Helvetica Neue"/>
            <w:sz w:val="22"/>
            <w:szCs w:val="22"/>
            <w:color w:val="112075"/>
            <w:u w:val="single"/>
          </w:rPr>
          <w:t xml:space="preserve">Safic-Alcan continues its expansion in Latin America with the acquisition of Anders</w:t>
        </w:r>
      </w:hyperlink>
      <w:r>
        <w:rPr>
          <w:rFonts w:ascii="Helvetica Neue" w:hAnsi="Helvetica Neue" w:eastAsia="Helvetica Neue" w:cs="Helvetica Neue"/>
        </w:rPr>
        <w:t xml:space="preserve">. Evento em 1 outubro 2025; página 21 outubro 2025. Aquisição majoritária segundo comunicado; cobertura regional e complementaridade ao Brasil.</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b/>
        </w:rPr>
        <w:t xml:space="preserve">20. Brenntag. </w:t>
      </w:r>
      <w:hyperlink r:id="rIdGHTLink30">
        <w:r>
          <w:rPr>
            <w:rFonts w:ascii="Helvetica Neue" w:hAnsi="Helvetica Neue" w:eastAsia="Helvetica Neue" w:cs="Helvetica Neue"/>
            <w:sz w:val="22"/>
            <w:szCs w:val="22"/>
            <w:color w:val="112075"/>
            <w:u w:val="single"/>
          </w:rPr>
          <w:t xml:space="preserve">Brenntag acquires specialty chemicals distributors PIC and PharmaSpecial</w:t>
        </w:r>
      </w:hyperlink>
      <w:r>
        <w:rPr>
          <w:rFonts w:ascii="Helvetica Neue" w:hAnsi="Helvetica Neue" w:eastAsia="Helvetica Neue" w:cs="Helvetica Neue"/>
        </w:rPr>
        <w:t xml:space="preserve">. 19 agosto 2024. Anúncio condicionado ao fechamento; racional em pharma e personal care; não usar como comprovação autônoma de conclusão.</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b/>
        </w:rPr>
        <w:t xml:space="preserve">21. Brenntag. </w:t>
      </w:r>
      <w:hyperlink r:id="rIdGHTLink31">
        <w:r>
          <w:rPr>
            <w:rFonts w:ascii="Helvetica Neue" w:hAnsi="Helvetica Neue" w:eastAsia="Helvetica Neue" w:cs="Helvetica Neue"/>
            <w:sz w:val="22"/>
            <w:szCs w:val="22"/>
            <w:color w:val="112075"/>
            <w:u w:val="single"/>
          </w:rPr>
          <w:t xml:space="preserve">Brenntag Q2 2026 financial results</w:t>
        </w:r>
      </w:hyperlink>
      <w:r>
        <w:rPr>
          <w:rFonts w:ascii="Helvetica Neue" w:hAnsi="Helvetica Neue" w:eastAsia="Helvetica Neue" w:cs="Helvetica Neue"/>
        </w:rPr>
        <w:t xml:space="preserve">. 12 agosto 2026. Continuidade de aquisições complementares, incluindo Woojin na Coreia do Sul, ainda sujeita a condições no comunicado.</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b/>
        </w:rPr>
        <w:t xml:space="preserve">22. Azelis. </w:t>
      </w:r>
      <w:hyperlink r:id="rIdGHTLink32">
        <w:r>
          <w:rPr>
            <w:rFonts w:ascii="Helvetica Neue" w:hAnsi="Helvetica Neue" w:eastAsia="Helvetica Neue" w:cs="Helvetica Neue"/>
            <w:sz w:val="22"/>
            <w:szCs w:val="22"/>
            <w:color w:val="112075"/>
            <w:u w:val="single"/>
          </w:rPr>
          <w:t xml:space="preserve">H1 2026 results Return to organic growth</w:t>
        </w:r>
      </w:hyperlink>
      <w:r>
        <w:rPr>
          <w:rFonts w:ascii="Helvetica Neue" w:hAnsi="Helvetica Neue" w:eastAsia="Helvetica Neue" w:cs="Helvetica Neue"/>
        </w:rPr>
        <w:t xml:space="preserve">. 30 julho 2026. Contribuição de aquisições, prioridades de crescimento e preservação de caixa; não constitui mandato de busca atual.</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b/>
        </w:rPr>
        <w:t xml:space="preserve">23. IMCD. </w:t>
      </w:r>
      <w:hyperlink r:id="rIdGHTLink33">
        <w:r>
          <w:rPr>
            <w:rFonts w:ascii="Helvetica Neue" w:hAnsi="Helvetica Neue" w:eastAsia="Helvetica Neue" w:cs="Helvetica Neue"/>
            <w:sz w:val="22"/>
            <w:szCs w:val="22"/>
            <w:color w:val="112075"/>
            <w:u w:val="single"/>
          </w:rPr>
          <w:t xml:space="preserve">Media Centre</w:t>
        </w:r>
      </w:hyperlink>
      <w:r>
        <w:rPr>
          <w:rFonts w:ascii="Helvetica Neue" w:hAnsi="Helvetica Neue" w:eastAsia="Helvetica Neue" w:cs="Helvetica Neue"/>
        </w:rPr>
        <w:t xml:space="preserve">. Notícias de 2026 consultadas em 10 setembro 2026. Índice oficial: anúncio Merit Solution em 29 junho, resultados semestrais em 29 julho e liderança Brasil em 14 agosto; sem atribuição de apetite por alvos específicos.</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b/>
        </w:rPr>
        <w:t xml:space="preserve">24. Barentz Brasil. </w:t>
      </w:r>
      <w:hyperlink r:id="rIdGHTLink34">
        <w:r>
          <w:rPr>
            <w:rFonts w:ascii="Helvetica Neue" w:hAnsi="Helvetica Neue" w:eastAsia="Helvetica Neue" w:cs="Helvetica Neue"/>
            <w:sz w:val="22"/>
            <w:szCs w:val="22"/>
            <w:color w:val="112075"/>
            <w:u w:val="single"/>
          </w:rPr>
          <w:t xml:space="preserve">Barentz adquire Metachem no Brasil</w:t>
        </w:r>
      </w:hyperlink>
      <w:r>
        <w:rPr>
          <w:rFonts w:ascii="Helvetica Neue" w:hAnsi="Helvetica Neue" w:eastAsia="Helvetica Neue" w:cs="Helvetica Neue"/>
        </w:rPr>
        <w:t xml:space="preserve">. 19 abril 2023; comunicado de 17 abril 2023. Metachem e Chemtra, performance materials e complementaridade com Tovani Benzaquen; histórico fora da janela de 36 meses.</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b/>
        </w:rPr>
        <w:t xml:space="preserve">25. Barentz. </w:t>
      </w:r>
      <w:hyperlink r:id="rIdGHTLink35">
        <w:r>
          <w:rPr>
            <w:rFonts w:ascii="Helvetica Neue" w:hAnsi="Helvetica Neue" w:eastAsia="Helvetica Neue" w:cs="Helvetica Neue"/>
            <w:sz w:val="22"/>
            <w:szCs w:val="22"/>
            <w:color w:val="112075"/>
            <w:u w:val="single"/>
          </w:rPr>
          <w:t xml:space="preserve">Barentz announces strategic distribution partnership with IQT</w:t>
        </w:r>
      </w:hyperlink>
      <w:r>
        <w:rPr>
          <w:rFonts w:ascii="Helvetica Neue" w:hAnsi="Helvetica Neue" w:eastAsia="Helvetica Neue" w:cs="Helvetica Neue"/>
        </w:rPr>
        <w:t xml:space="preserve">. 5 dezembro 2025. Parceria de distribuição no Brasil, Argentina e Colômbia; não é aquisição.</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b/>
        </w:rPr>
        <w:t xml:space="preserve">26. Caldic. </w:t>
      </w:r>
      <w:hyperlink r:id="rIdGHTLink36">
        <w:r>
          <w:rPr>
            <w:rFonts w:ascii="Helvetica Neue" w:hAnsi="Helvetica Neue" w:eastAsia="Helvetica Neue" w:cs="Helvetica Neue"/>
            <w:sz w:val="22"/>
            <w:szCs w:val="22"/>
            <w:color w:val="112075"/>
            <w:u w:val="single"/>
          </w:rPr>
          <w:t xml:space="preserve">Caldic Latin America fully integrated and rebranded to further unlock value creation</w:t>
        </w:r>
      </w:hyperlink>
      <w:r>
        <w:rPr>
          <w:rFonts w:ascii="Helvetica Neue" w:hAnsi="Helvetica Neue" w:eastAsia="Helvetica Neue" w:cs="Helvetica Neue"/>
        </w:rPr>
        <w:t xml:space="preserve">. 16 janeiro 2023. Relação histórica entre Caldic, GTM e quantiQ; mudança de marca não equivale a igualdade entre todas as pessoas jurídicas.</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b/>
        </w:rPr>
        <w:t xml:space="preserve">27. Grata. </w:t>
      </w:r>
      <w:hyperlink r:id="rIdGHTLink37">
        <w:r>
          <w:rPr>
            <w:rFonts w:ascii="Helvetica Neue" w:hAnsi="Helvetica Neue" w:eastAsia="Helvetica Neue" w:cs="Helvetica Neue"/>
            <w:sz w:val="22"/>
            <w:szCs w:val="22"/>
            <w:color w:val="112075"/>
            <w:u w:val="single"/>
          </w:rPr>
          <w:t xml:space="preserve">AI-Powered Business Development Tools</w:t>
        </w:r>
      </w:hyperlink>
      <w:r>
        <w:rPr>
          <w:rFonts w:ascii="Helvetica Neue" w:hAnsi="Helvetica Neue" w:eastAsia="Helvetica Neue" w:cs="Helvetica Neue"/>
        </w:rPr>
        <w:t xml:space="preserve">. Página de produto sem data. Capacidades declaradas de pesquisa, compradores e integração CRM; cobertura brasileira deve ser testada.</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b/>
        </w:rPr>
        <w:t xml:space="preserve">28. Sourcescrub. </w:t>
      </w:r>
      <w:hyperlink r:id="rIdGHTLink38">
        <w:r>
          <w:rPr>
            <w:rFonts w:ascii="Helvetica Neue" w:hAnsi="Helvetica Neue" w:eastAsia="Helvetica Neue" w:cs="Helvetica Neue"/>
            <w:sz w:val="22"/>
            <w:szCs w:val="22"/>
            <w:color w:val="112075"/>
            <w:u w:val="single"/>
          </w:rPr>
          <w:t xml:space="preserve">Deal Sourcing Platform</w:t>
        </w:r>
      </w:hyperlink>
      <w:r>
        <w:rPr>
          <w:rFonts w:ascii="Helvetica Neue" w:hAnsi="Helvetica Neue" w:eastAsia="Helvetica Neue" w:cs="Helvetica Neue"/>
        </w:rPr>
        <w:t xml:space="preserve">. Página de produto sem data. Pesquisa orientada a fontes e rastreamento de empresas; afirmações comerciais não validadas em ambiente GHT4.</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b/>
        </w:rPr>
        <w:t xml:space="preserve">29. Datasite. </w:t>
      </w:r>
      <w:hyperlink r:id="rIdGHTLink39">
        <w:r>
          <w:rPr>
            <w:rFonts w:ascii="Helvetica Neue" w:hAnsi="Helvetica Neue" w:eastAsia="Helvetica Neue" w:cs="Helvetica Neue"/>
            <w:sz w:val="22"/>
            <w:szCs w:val="22"/>
            <w:color w:val="112075"/>
            <w:u w:val="single"/>
          </w:rPr>
          <w:t xml:space="preserve">Datasite to Acquire Sourcescrub Expanding Private Market Intelligence Solutions</w:t>
        </w:r>
      </w:hyperlink>
      <w:r>
        <w:rPr>
          <w:rFonts w:ascii="Helvetica Neue" w:hAnsi="Helvetica Neue" w:eastAsia="Helvetica Neue" w:cs="Helvetica Neue"/>
        </w:rPr>
        <w:t xml:space="preserve">. 8 agosto 2025. Aquisição anunciada de Sourcescrub e integração prevista à Grata, adquirida anteriormente em 2025.</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b/>
        </w:rPr>
        <w:t xml:space="preserve">30. Moody’s. </w:t>
      </w:r>
      <w:hyperlink r:id="rIdGHTLink40">
        <w:r>
          <w:rPr>
            <w:rFonts w:ascii="Helvetica Neue" w:hAnsi="Helvetica Neue" w:eastAsia="Helvetica Neue" w:cs="Helvetica Neue"/>
            <w:sz w:val="22"/>
            <w:szCs w:val="22"/>
            <w:color w:val="112075"/>
            <w:u w:val="single"/>
          </w:rPr>
          <w:t xml:space="preserve">Orbis Database Global Private Company Data</w:t>
        </w:r>
      </w:hyperlink>
      <w:r>
        <w:rPr>
          <w:rFonts w:ascii="Helvetica Neue" w:hAnsi="Helvetica Neue" w:eastAsia="Helvetica Neue" w:cs="Helvetica Neue"/>
        </w:rPr>
        <w:t xml:space="preserve">. Página de produto sem data. Dados empresariais, estruturas de controle e integração; validar produto e campos disponíveis por país.</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b/>
        </w:rPr>
        <w:t xml:space="preserve">31. Gain. </w:t>
      </w:r>
      <w:hyperlink r:id="rIdGHTLink41">
        <w:r>
          <w:rPr>
            <w:rFonts w:ascii="Helvetica Neue" w:hAnsi="Helvetica Neue" w:eastAsia="Helvetica Neue" w:cs="Helvetica Neue"/>
            <w:sz w:val="22"/>
            <w:szCs w:val="22"/>
            <w:color w:val="112075"/>
            <w:u w:val="single"/>
          </w:rPr>
          <w:t xml:space="preserve">The Private Markets Operating System for Deal Teams</w:t>
        </w:r>
      </w:hyperlink>
      <w:r>
        <w:rPr>
          <w:rFonts w:ascii="Helvetica Neue" w:hAnsi="Helvetica Neue" w:eastAsia="Helvetica Neue" w:cs="Helvetica Neue"/>
        </w:rPr>
        <w:t xml:space="preserve">. Página de produto consultada em setembro 2026. Destino atual do link Gain.pro consultado; integrações, pesquisa e dados declarados pelo fornecedor.</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b/>
        </w:rPr>
        <w:t xml:space="preserve">32. Econodata. </w:t>
      </w:r>
      <w:hyperlink r:id="rIdGHTLink42">
        <w:r>
          <w:rPr>
            <w:rFonts w:ascii="Helvetica Neue" w:hAnsi="Helvetica Neue" w:eastAsia="Helvetica Neue" w:cs="Helvetica Neue"/>
            <w:sz w:val="22"/>
            <w:szCs w:val="22"/>
            <w:color w:val="112075"/>
            <w:u w:val="single"/>
          </w:rPr>
          <w:t xml:space="preserve">Lista de Empresas Ativas no Brasil</w:t>
        </w:r>
      </w:hyperlink>
      <w:r>
        <w:rPr>
          <w:rFonts w:ascii="Helvetica Neue" w:hAnsi="Helvetica Neue" w:eastAsia="Helvetica Neue" w:cs="Helvetica Neue"/>
        </w:rPr>
        <w:t xml:space="preserve">. Página de produto sem data. Filtros empresariais, faturamento presumido, CSV e API declarados; validação amostral necessária.</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b/>
        </w:rPr>
        <w:t xml:space="preserve">33. Neoway. </w:t>
      </w:r>
      <w:hyperlink r:id="rIdGHTLink43">
        <w:r>
          <w:rPr>
            <w:rFonts w:ascii="Helvetica Neue" w:hAnsi="Helvetica Neue" w:eastAsia="Helvetica Neue" w:cs="Helvetica Neue"/>
            <w:sz w:val="22"/>
            <w:szCs w:val="22"/>
            <w:color w:val="112075"/>
            <w:u w:val="single"/>
          </w:rPr>
          <w:t xml:space="preserve">Perguntas frequentes sobre a Neoway</w:t>
        </w:r>
      </w:hyperlink>
      <w:r>
        <w:rPr>
          <w:rFonts w:ascii="Helvetica Neue" w:hAnsi="Helvetica Neue" w:eastAsia="Helvetica Neue" w:cs="Helvetica Neue"/>
        </w:rPr>
        <w:t xml:space="preserve">. Página sem data. Dados cadastrais, faturamento estimado, enriquecimento e API; FAQ distingue dados de automação de marketing.</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b/>
        </w:rPr>
        <w:t xml:space="preserve">34. Affinity. </w:t>
      </w:r>
      <w:hyperlink r:id="rIdGHTLink44">
        <w:r>
          <w:rPr>
            <w:rFonts w:ascii="Helvetica Neue" w:hAnsi="Helvetica Neue" w:eastAsia="Helvetica Neue" w:cs="Helvetica Neue"/>
            <w:sz w:val="22"/>
            <w:szCs w:val="22"/>
            <w:color w:val="112075"/>
            <w:u w:val="single"/>
          </w:rPr>
          <w:t xml:space="preserve">Investment Banking CRM and Deal Management Software</w:t>
        </w:r>
      </w:hyperlink>
      <w:r>
        <w:rPr>
          <w:rFonts w:ascii="Helvetica Neue" w:hAnsi="Helvetica Neue" w:eastAsia="Helvetica Neue" w:cs="Helvetica Neue"/>
        </w:rPr>
        <w:t xml:space="preserve">. Página de produto sem data. Referência funcional de CRM e relações; aderência, permissões e custo a demonstrar.</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b/>
        </w:rPr>
        <w:t xml:space="preserve">35. Intapp. </w:t>
      </w:r>
      <w:hyperlink r:id="rIdGHTLink45">
        <w:r>
          <w:rPr>
            <w:rFonts w:ascii="Helvetica Neue" w:hAnsi="Helvetica Neue" w:eastAsia="Helvetica Neue" w:cs="Helvetica Neue"/>
            <w:sz w:val="22"/>
            <w:szCs w:val="22"/>
            <w:color w:val="112075"/>
            <w:u w:val="single"/>
          </w:rPr>
          <w:t xml:space="preserve">Deal and relationship management for investment banking</w:t>
        </w:r>
      </w:hyperlink>
      <w:r>
        <w:rPr>
          <w:rFonts w:ascii="Helvetica Neue" w:hAnsi="Helvetica Neue" w:eastAsia="Helvetica Neue" w:cs="Helvetica Neue"/>
        </w:rPr>
        <w:t xml:space="preserve">. Página de produto sem data. Referência de DealCloud para relações e oportunidades; contratação não recomendada sem comparação.</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b/>
        </w:rPr>
        <w:t xml:space="preserve">36. Exit Planning Institute e Kellie Nock. </w:t>
      </w:r>
      <w:hyperlink r:id="rIdGHTLink46">
        <w:r>
          <w:rPr>
            <w:rFonts w:ascii="Helvetica Neue" w:hAnsi="Helvetica Neue" w:eastAsia="Helvetica Neue" w:cs="Helvetica Neue"/>
            <w:sz w:val="22"/>
            <w:szCs w:val="22"/>
            <w:color w:val="112075"/>
            <w:u w:val="single"/>
          </w:rPr>
          <w:t xml:space="preserve">Key Owner Readiness Findings Across Generations</w:t>
        </w:r>
      </w:hyperlink>
      <w:r>
        <w:rPr>
          <w:rFonts w:ascii="Helvetica Neue" w:hAnsi="Helvetica Neue" w:eastAsia="Helvetica Neue" w:cs="Helvetica Neue"/>
        </w:rPr>
        <w:t xml:space="preserve">. 18 agosto 2025. Preparação para transição e objetivos empresariais, financeiros e pessoais; contexto dos EUA e publicação de entidade comercial.</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b/>
        </w:rPr>
        <w:t xml:space="preserve">37. Axial. </w:t>
      </w:r>
      <w:hyperlink r:id="rIdGHTLink47">
        <w:r>
          <w:rPr>
            <w:rFonts w:ascii="Helvetica Neue" w:hAnsi="Helvetica Neue" w:eastAsia="Helvetica Neue" w:cs="Helvetica Neue"/>
            <w:sz w:val="22"/>
            <w:szCs w:val="22"/>
            <w:color w:val="112075"/>
            <w:u w:val="single"/>
          </w:rPr>
          <w:t xml:space="preserve">Investment Banking Partnership Program</w:t>
        </w:r>
      </w:hyperlink>
      <w:r>
        <w:rPr>
          <w:rFonts w:ascii="Helvetica Neue" w:hAnsi="Helvetica Neue" w:eastAsia="Helvetica Neue" w:cs="Helvetica Neue"/>
        </w:rPr>
        <w:t xml:space="preserve">. Página sem data. Programa de indicações e posicionamento de assessores; referência de mecanismo, sem extrapolar cobertura para o Brasil.</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b/>
        </w:rPr>
        <w:t xml:space="preserve">38. UK Government Analysis Function. </w:t>
      </w:r>
      <w:hyperlink r:id="rIdGHTLink48">
        <w:r>
          <w:rPr>
            <w:rFonts w:ascii="Helvetica Neue" w:hAnsi="Helvetica Neue" w:eastAsia="Helvetica Neue" w:cs="Helvetica Neue"/>
            <w:sz w:val="22"/>
            <w:szCs w:val="22"/>
            <w:color w:val="112075"/>
            <w:u w:val="single"/>
          </w:rPr>
          <w:t xml:space="preserve">An Introductory Guide to Multi-Criteria Decision Analysis</w:t>
        </w:r>
      </w:hyperlink>
      <w:r>
        <w:rPr>
          <w:rFonts w:ascii="Helvetica Neue" w:hAnsi="Helvetica Neue" w:eastAsia="Helvetica Neue" w:cs="Helvetica Neue"/>
        </w:rPr>
        <w:t xml:space="preserve">. 2024; página consultada em setembro 2026. Escalas, swing weighting e sensibilidade; referência metodológica adaptada, não norma para M&amp;A brasileiro.</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b/>
        </w:rPr>
        <w:t xml:space="preserve">39. NIST. </w:t>
      </w:r>
      <w:hyperlink r:id="rIdGHTLink49">
        <w:r>
          <w:rPr>
            <w:rFonts w:ascii="Helvetica Neue" w:hAnsi="Helvetica Neue" w:eastAsia="Helvetica Neue" w:cs="Helvetica Neue"/>
            <w:sz w:val="22"/>
            <w:szCs w:val="22"/>
            <w:color w:val="112075"/>
            <w:u w:val="single"/>
          </w:rPr>
          <w:t xml:space="preserve">Artificial Intelligence Risk Management Framework Generative Artificial Intelligence Profile</w:t>
        </w:r>
      </w:hyperlink>
      <w:r>
        <w:rPr>
          <w:rFonts w:ascii="Helvetica Neue" w:hAnsi="Helvetica Neue" w:eastAsia="Helvetica Neue" w:cs="Helvetica Neue"/>
        </w:rPr>
        <w:t xml:space="preserve">. 26 julho 2024; página atualizada 8 abril 2026. Confabulação e integridade da informação; aplicação aos testes de evidência da ferramenta.</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b/>
        </w:rPr>
        <w:t xml:space="preserve">40. OWASP Gen AI Security Project. </w:t>
      </w:r>
      <w:hyperlink r:id="rIdGHTLink50">
        <w:r>
          <w:rPr>
            <w:rFonts w:ascii="Helvetica Neue" w:hAnsi="Helvetica Neue" w:eastAsia="Helvetica Neue" w:cs="Helvetica Neue"/>
            <w:sz w:val="22"/>
            <w:szCs w:val="22"/>
            <w:color w:val="112075"/>
            <w:u w:val="single"/>
          </w:rPr>
          <w:t xml:space="preserve">LLM01 2025 Prompt Injection</w:t>
        </w:r>
      </w:hyperlink>
      <w:r>
        <w:rPr>
          <w:rFonts w:ascii="Helvetica Neue" w:hAnsi="Helvetica Neue" w:eastAsia="Helvetica Neue" w:cs="Helvetica Neue"/>
        </w:rPr>
        <w:t xml:space="preserve">. Edição 2025. Instruções em conteúdo externo e limites da proteção por RAG; delimitação de ações e testes.</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b/>
        </w:rPr>
        <w:t xml:space="preserve">41. OWASP Gen AI Security Project. </w:t>
      </w:r>
      <w:hyperlink r:id="rIdGHTLink51">
        <w:r>
          <w:rPr>
            <w:rFonts w:ascii="Helvetica Neue" w:hAnsi="Helvetica Neue" w:eastAsia="Helvetica Neue" w:cs="Helvetica Neue"/>
            <w:sz w:val="22"/>
            <w:szCs w:val="22"/>
            <w:color w:val="112075"/>
            <w:u w:val="single"/>
          </w:rPr>
          <w:t xml:space="preserve">LLM08 2025 Vector and Embedding Weaknesses</w:t>
        </w:r>
      </w:hyperlink>
      <w:r>
        <w:rPr>
          <w:rFonts w:ascii="Helvetica Neue" w:hAnsi="Helvetica Neue" w:eastAsia="Helvetica Neue" w:cs="Helvetica Neue"/>
        </w:rPr>
        <w:t xml:space="preserve">. Edição 2025. Permissões na recuperação, segregação entre contextos e envenenamento de dados.</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b/>
        </w:rPr>
        <w:t xml:space="preserve">42. Lincoln International. </w:t>
      </w:r>
      <w:hyperlink r:id="rIdGHTLink52">
        <w:r>
          <w:rPr>
            <w:rFonts w:ascii="Helvetica Neue" w:hAnsi="Helvetica Neue" w:eastAsia="Helvetica Neue" w:cs="Helvetica Neue"/>
            <w:sz w:val="22"/>
            <w:szCs w:val="22"/>
            <w:color w:val="112075"/>
            <w:u w:val="single"/>
          </w:rPr>
          <w:t xml:space="preserve">Q1 2026 Chemicals and Materials Quarterly Review</w:t>
        </w:r>
      </w:hyperlink>
      <w:r>
        <w:rPr>
          <w:rFonts w:ascii="Helvetica Neue" w:hAnsi="Helvetica Neue" w:eastAsia="Helvetica Neue" w:cs="Helvetica Neue"/>
        </w:rPr>
        <w:t xml:space="preserve">. Primeiro trimestre 2026; dados de bolsa em 31 março 2026. Páginas 6 a 9: definições e data dos comparáveis, observação de informações proprietárias em estatísticas agregadas.</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b/>
        </w:rPr>
        <w:t xml:space="preserve">43. Oaklins. </w:t>
      </w:r>
      <w:hyperlink r:id="rIdGHTLink53">
        <w:r>
          <w:rPr>
            <w:rFonts w:ascii="Helvetica Neue" w:hAnsi="Helvetica Neue" w:eastAsia="Helvetica Neue" w:cs="Helvetica Neue"/>
            <w:sz w:val="22"/>
            <w:szCs w:val="22"/>
            <w:color w:val="112075"/>
            <w:u w:val="single"/>
          </w:rPr>
          <w:t xml:space="preserve">Expanding automation capabilities into the high growth parcel sortation market</w:t>
        </w:r>
      </w:hyperlink>
      <w:r>
        <w:rPr>
          <w:rFonts w:ascii="Helvetica Neue" w:hAnsi="Helvetica Neue" w:eastAsia="Helvetica Neue" w:cs="Helvetica Neue"/>
        </w:rPr>
        <w:t xml:space="preserve">. Fevereiro 2021. Caso Leadec de assessoria buy-side em retained search; aplicação apenas ao desenho de serviço, fora do setor químico.</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b/>
        </w:rPr>
        <w:t xml:space="preserve">44. IBBA e M&amp;A Source. </w:t>
      </w:r>
      <w:hyperlink r:id="rIdGHTLink54">
        <w:r>
          <w:rPr>
            <w:rFonts w:ascii="Helvetica Neue" w:hAnsi="Helvetica Neue" w:eastAsia="Helvetica Neue" w:cs="Helvetica Neue"/>
            <w:sz w:val="22"/>
            <w:szCs w:val="22"/>
            <w:color w:val="112075"/>
            <w:u w:val="single"/>
          </w:rPr>
          <w:t xml:space="preserve">Market Pulse Q2 2026 Highlights</w:t>
        </w:r>
      </w:hyperlink>
      <w:r>
        <w:rPr>
          <w:rFonts w:ascii="Helvetica Neue" w:hAnsi="Helvetica Neue" w:eastAsia="Helvetica Neue" w:cs="Helvetica Neue"/>
        </w:rPr>
        <w:t xml:space="preserve">. Segundo trimestre 2026; arquivo publicado em agosto. Diferencia SDE de EBITDA e identifica interesse como sentimento de assessores, não transações concluídas; não é múltiplo para GHT4.</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b/>
        </w:rPr>
        <w:t xml:space="preserve">45. ANPD. </w:t>
      </w:r>
      <w:hyperlink r:id="rIdGHTLink55">
        <w:r>
          <w:rPr>
            <w:rFonts w:ascii="Helvetica Neue" w:hAnsi="Helvetica Neue" w:eastAsia="Helvetica Neue" w:cs="Helvetica Neue"/>
            <w:sz w:val="22"/>
            <w:szCs w:val="22"/>
            <w:color w:val="112075"/>
            <w:u w:val="single"/>
          </w:rPr>
          <w:t xml:space="preserve">ANPD lança Guia Orientativo sobre Legítimo Interesse</w:t>
        </w:r>
      </w:hyperlink>
      <w:r>
        <w:rPr>
          <w:rFonts w:ascii="Helvetica Neue" w:hAnsi="Helvetica Neue" w:eastAsia="Helvetica Neue" w:cs="Helvetica Neue"/>
        </w:rPr>
        <w:t xml:space="preserve">. 2 fevereiro 2024. Finalidade, necessidade, balanceamento e salvaguardas para avaliação do tratamento de dados pessoais.</w:t>
      </w:r>
    </w:p>
    <w:p>
      <w:pPr>
        <w:spacing w:after="120" w:line="276" w:lineRule="auto"/>
        <w:jc w:val="both"/>
        <w:rPr>
          <w:rFonts w:ascii="Helvetica Neue" w:eastAsia="Helvetica Neue" w:hAnsi="Helvetica Neue" w:cs="Helvetica Neue"/>
        </w:rPr>
      </w:pPr>
      <w:r>
        <w:rPr>
          <w:rFonts w:ascii="Helvetica Neue" w:hAnsi="Helvetica Neue" w:eastAsia="Helvetica Neue" w:cs="Helvetica Neue"/>
          <w:b/>
        </w:rPr>
        <w:t xml:space="preserve">46. LinkedIn. </w:t>
      </w:r>
      <w:hyperlink r:id="rIdGHTLink56">
        <w:r>
          <w:rPr>
            <w:rFonts w:ascii="Helvetica Neue" w:hAnsi="Helvetica Neue" w:eastAsia="Helvetica Neue" w:cs="Helvetica Neue"/>
            <w:sz w:val="22"/>
            <w:szCs w:val="22"/>
            <w:color w:val="112075"/>
            <w:u w:val="single"/>
          </w:rPr>
          <w:t xml:space="preserve">User Agreement</w:t>
        </w:r>
      </w:hyperlink>
      <w:r>
        <w:rPr>
          <w:rFonts w:ascii="Helvetica Neue" w:hAnsi="Helvetica Neue" w:eastAsia="Helvetica Neue" w:cs="Helvetica Neue"/>
        </w:rPr>
        <w:t xml:space="preserve">. Termos consultados em 10 setembro 2026. Restrições a scraping e automação não autorizados; fonte para condições da coleta de rede.</w:t>
      </w:r>
    </w:p>
    <w:sectPr>
      <w:headerReference w:type="default" r:id="rId9"/>
      <w:footerReference w:type="default" r:id="rId10"/>
      <w:pgSz w:w="12240" w:h="15840"/>
      <w:pgMar w:top="1440" w:right="1440" w:bottom="1440" w:left="1440" w:header="705"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0939A4" w14:textId="77777777">
      <w:r>
        <w:separator/>
      </w:r>
    </w:p>
  </w:endnote>
  <w:endnote w:type="continuationSeparator" w:id="0">
    <w:p w14:paraId="56A038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D3E6FD9-D3EA-0B48-A55F-C080D5A51BF2}"/>
    <w:embedBold r:id="rId2" w:fontKey="{DDFB625A-45BE-CE44-B15E-DF5BB7815FF7}"/>
    <w:embedItalic r:id="rId3" w:fontKey="{6119CEB5-DE25-6D4D-B2F9-50E47E40CFE1}"/>
  </w:font>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embedRegular r:id="rId7" w:fontKey="{F3731299-A1D5-B542-9E67-1B0FA6F28CD4}"/>
  </w:font>
  <w:font w:name="Georgia">
    <w:panose1 w:val="02040502050405020303"/>
    <w:charset w:val="00"/>
    <w:family w:val="roman"/>
    <w:pitch w:val="variable"/>
    <w:sig w:usb0="00000287" w:usb1="00000000" w:usb2="00000000" w:usb3="00000000" w:csb0="0000009F" w:csb1="00000000"/>
    <w:embedItalic r:id="rId8" w:fontKey="{682841DE-6A2C-764D-8B8B-541E954AD362}"/>
  </w:font>
  <w:font w:name="Calibri">
    <w:panose1 w:val="020F0502020204030204"/>
    <w:charset w:val="00"/>
    <w:family w:val="modern"/>
    <w:pitch w:val="variable"/>
    <w:sig w:usb0="00000003" w:usb1="00000000" w:usb2="00000000" w:usb3="00000000" w:csb0="00000001" w:csb1="00000000"/>
    <w:embedRegular r:id="rId9" w:fontKey="{D4D164A4-8B83-F44E-A13B-A0908815976C}"/>
  </w:font>
  <w:font w:name="Cambria">
    <w:panose1 w:val="02040503050406030204"/>
    <w:charset w:val="00"/>
    <w:family w:val="roman"/>
    <w:notTrueType/>
    <w:pitch w:val="default"/>
    <w:embedRegular r:id="rId10" w:fontKey="{129DD48A-EFF5-1A47-8CFE-E7D5F089F4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178A6B" w14:textId="77777777">
    <w:pPr>
      <w:pBdr>
        <w:top w:val="nil"/>
      </w:pBdr>
      <w:tabs>
        <w:tab w:val="right" w:pos="9360"/>
      </w:tabs>
      <w:rPr>
        <w:color w:val="112075"/>
      </w:rPr>
    </w:pPr>
    <w:r>
      <w:rPr>
        <w:color w:val="112075"/>
        <w:sz w:val="16"/>
        <w:szCs w:val="16"/>
      </w:rPr>
      <w:t xml:space="preserve">Confidencial  |  Uso interno  |  </w:t>
    </w:r>
    <w:r>
      <w:rPr>
        <w:color w:val="112075"/>
        <w:sz w:val="16"/>
        <w:szCs w:val="16"/>
      </w:rPr>
      <w:fldChar w:fldCharType="begin"/>
    </w:r>
    <w:r>
      <w:rPr>
        <w:color w:val="112075"/>
        <w:sz w:val="16"/>
        <w:szCs w:val="16"/>
      </w:rPr>
      <w:instrText>PAGE</w:instrText>
    </w:r>
    <w:r>
      <w:rPr>
        <w:color w:val="112075"/>
        <w:sz w:val="16"/>
        <w:szCs w:val="16"/>
      </w:rPr>
      <w:fldChar w:fldCharType="separate"/>
    </w:r>
    <w:r>
      <w:rPr>
        <w:noProof/>
        <w:color w:val="112075"/>
        <w:sz w:val="16"/>
        <w:szCs w:val="16"/>
      </w:rPr>
      <w:t>1</w:t>
    </w:r>
    <w:r>
      <w:rPr>
        <w:color w:val="112075"/>
        <w:sz w:val="16"/>
        <w:szCs w:val="16"/>
      </w:rPr>
      <w:fldChar w:fldCharType="end"/>
    </w:r>
    <w:r>
      <w:rPr>
        <w:color w:val="112075"/>
        <w:sz w:val="16"/>
        <w:szCs w:val="16"/>
      </w:rPr>
      <w:t xml:space="preserve"> de </w:t>
    </w:r>
    <w:r>
      <w:rPr>
        <w:color w:val="112075"/>
        <w:sz w:val="16"/>
        <w:szCs w:val="16"/>
      </w:rPr>
      <w:fldChar w:fldCharType="begin"/>
    </w:r>
    <w:r>
      <w:rPr>
        <w:color w:val="112075"/>
        <w:sz w:val="16"/>
        <w:szCs w:val="16"/>
      </w:rPr>
      <w:instrText>NUMPAGES</w:instrText>
    </w:r>
    <w:r>
      <w:rPr>
        <w:color w:val="112075"/>
        <w:sz w:val="16"/>
        <w:szCs w:val="16"/>
      </w:rPr>
      <w:fldChar w:fldCharType="separate"/>
    </w:r>
    <w:r>
      <w:rPr>
        <w:noProof/>
        <w:color w:val="112075"/>
        <w:sz w:val="16"/>
        <w:szCs w:val="16"/>
      </w:rPr>
      <w:t>2</w:t>
    </w:r>
    <w:r>
      <w:rPr>
        <w:color w:val="11207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94D08F" w14:textId="77777777">
      <w:r>
        <w:separator/>
      </w:r>
    </w:p>
  </w:footnote>
  <w:footnote w:type="continuationSeparator" w:id="0">
    <w:p w14:paraId="4AF4CD87" w14:textId="77777777">
      <w:r>
        <w:continuationSeparator/>
      </w:r>
    </w:p>
  </w:footnote>
  <w:footnote w:id="1">
    <w:p>
      <w:pPr>
        <w:spacing w:after="45" w:line="220" w:lineRule="auto"/>
      </w:pPr>
      <w:r>
        <w:rPr>
          <w:vertAlign w:val="superscript"/>
        </w:rPr>
        <w:footnoteRef/>
      </w:r>
      <w:r>
        <w:rPr>
          <w:rFonts w:ascii="Helvetica Neue" w:hAnsi="Helvetica Neue" w:eastAsia="Helvetica Neue" w:cs="Helvetica Neue"/>
          <w:sz w:val="18"/>
          <w:szCs w:val="18"/>
        </w:rPr>
        <w:t xml:space="preserve"> GHT4 Advisory. </w:t>
      </w:r>
      <w:r>
        <w:rPr>
          <w:rFonts w:ascii="Helvetica Neue" w:hAnsi="Helvetica Neue" w:eastAsia="Helvetica Neue" w:cs="Helvetica Neue"/>
          <w:sz w:val="18"/>
          <w:szCs w:val="18"/>
        </w:rPr>
        <w:t xml:space="preserve">Ferramenta de IA para Prospecção e Execução de Mandatos</w:t>
      </w:r>
      <w:r>
        <w:rPr>
          <w:rFonts w:ascii="Helvetica Neue" w:hAnsi="Helvetica Neue" w:eastAsia="Helvetica Neue" w:cs="Helvetica Neue"/>
          <w:sz w:val="18"/>
          <w:szCs w:val="18"/>
        </w:rPr>
        <w:t xml:space="preserve">. Documento de Requisitos v1.0, sem data explícita.</w:t>
      </w:r>
      <w:r>
        <w:rPr>
          <w:rFonts w:ascii="Helvetica Neue" w:hAnsi="Helvetica Neue" w:eastAsia="Helvetica Neue" w:cs="Helvetica Neue"/>
          <w:sz w:val="18"/>
          <w:szCs w:val="18"/>
        </w:rPr>
        <w:t xml:space="preserve"> Fonte interna; seções 1 a 12.</w:t>
      </w:r>
    </w:p>
  </w:footnote>
  <w:footnote w:id="2">
    <w:p>
      <w:pPr>
        <w:spacing w:after="45" w:line="220" w:lineRule="auto"/>
      </w:pPr>
      <w:r>
        <w:rPr>
          <w:vertAlign w:val="superscript"/>
        </w:rPr>
        <w:footnoteRef/>
      </w:r>
      <w:r>
        <w:rPr>
          <w:rFonts w:ascii="Helvetica Neue" w:hAnsi="Helvetica Neue" w:eastAsia="Helvetica Neue" w:cs="Helvetica Neue"/>
          <w:sz w:val="18"/>
          <w:szCs w:val="18"/>
        </w:rPr>
        <w:t xml:space="preserve"> Planejamento GHT4. </w:t>
      </w:r>
      <w:r>
        <w:rPr>
          <w:rFonts w:ascii="Helvetica Neue" w:hAnsi="Helvetica Neue" w:eastAsia="Helvetica Neue" w:cs="Helvetica Neue"/>
          <w:sz w:val="18"/>
          <w:szCs w:val="18"/>
        </w:rPr>
        <w:t xml:space="preserve">Prospecção de mandatos na GHT4</w:t>
      </w:r>
      <w:r>
        <w:rPr>
          <w:rFonts w:ascii="Helvetica Neue" w:hAnsi="Helvetica Neue" w:eastAsia="Helvetica Neue" w:cs="Helvetica Neue"/>
          <w:sz w:val="18"/>
          <w:szCs w:val="18"/>
        </w:rPr>
        <w:t xml:space="preserve">. 10 setembro 2026.</w:t>
      </w:r>
    </w:p>
  </w:footnote>
  <w:footnote w:id="3">
    <w:p>
      <w:pPr>
        <w:spacing w:after="45" w:line="220" w:lineRule="auto"/>
      </w:pPr>
      <w:r>
        <w:rPr>
          <w:vertAlign w:val="superscript"/>
        </w:rPr>
        <w:footnoteRef/>
      </w:r>
      <w:r>
        <w:rPr>
          <w:rFonts w:ascii="Helvetica Neue" w:hAnsi="Helvetica Neue" w:eastAsia="Helvetica Neue" w:cs="Helvetica Neue"/>
          <w:sz w:val="18"/>
          <w:szCs w:val="18"/>
        </w:rPr>
        <w:t xml:space="preserve"> Bain &amp; Company. </w:t>
      </w:r>
      <w:hyperlink r:id="rIdGHTLink1">
        <w:r>
          <w:rPr>
            <w:rFonts w:ascii="Helvetica Neue" w:hAnsi="Helvetica Neue" w:eastAsia="Helvetica Neue" w:cs="Helvetica Neue"/>
            <w:sz w:val="18"/>
            <w:szCs w:val="18"/>
            <w:color w:val="112075"/>
            <w:u w:val="single"/>
          </w:rPr>
          <w:t xml:space="preserve">M&amp;A Capability for a New Era Five Ways AI Is Creating More Value in M&amp;A Right Now</w:t>
        </w:r>
      </w:hyperlink>
      <w:r>
        <w:rPr>
          <w:rFonts w:ascii="Helvetica Neue" w:hAnsi="Helvetica Neue" w:eastAsia="Helvetica Neue" w:cs="Helvetica Neue"/>
          <w:sz w:val="18"/>
          <w:szCs w:val="18"/>
        </w:rPr>
        <w:t xml:space="preserve">. 27 janeiro 2026.</w:t>
      </w:r>
    </w:p>
  </w:footnote>
  <w:footnote w:id="4">
    <w:p>
      <w:pPr>
        <w:spacing w:after="45" w:line="220" w:lineRule="auto"/>
      </w:pPr>
      <w:r>
        <w:rPr>
          <w:vertAlign w:val="superscript"/>
        </w:rPr>
        <w:footnoteRef/>
      </w:r>
      <w:r>
        <w:rPr>
          <w:rFonts w:ascii="Helvetica Neue" w:hAnsi="Helvetica Neue" w:eastAsia="Helvetica Neue" w:cs="Helvetica Neue"/>
          <w:sz w:val="18"/>
          <w:szCs w:val="18"/>
        </w:rPr>
        <w:t xml:space="preserve"> Paul Gompers, Steven Kaplan e Vladimir Mukharlyamov. </w:t>
      </w:r>
      <w:hyperlink r:id="rIdGHTLink2">
        <w:r>
          <w:rPr>
            <w:rFonts w:ascii="Helvetica Neue" w:hAnsi="Helvetica Neue" w:eastAsia="Helvetica Neue" w:cs="Helvetica Neue"/>
            <w:sz w:val="18"/>
            <w:szCs w:val="18"/>
            <w:color w:val="112075"/>
            <w:u w:val="single"/>
          </w:rPr>
          <w:t xml:space="preserve">What Do Private Equity Firms Say They Do</w:t>
        </w:r>
      </w:hyperlink>
      <w:r>
        <w:rPr>
          <w:rFonts w:ascii="Helvetica Neue" w:hAnsi="Helvetica Neue" w:eastAsia="Helvetica Neue" w:cs="Helvetica Neue"/>
          <w:sz w:val="18"/>
          <w:szCs w:val="18"/>
        </w:rPr>
        <w:t xml:space="preserve">. Working Paper 15-081, abril 2015.</w:t>
      </w:r>
    </w:p>
  </w:footnote>
  <w:footnote w:id="5">
    <w:p>
      <w:pPr>
        <w:spacing w:after="45" w:line="220" w:lineRule="auto"/>
      </w:pPr>
      <w:r>
        <w:rPr>
          <w:vertAlign w:val="superscript"/>
        </w:rPr>
        <w:footnoteRef/>
      </w:r>
      <w:r>
        <w:rPr>
          <w:rFonts w:ascii="Helvetica Neue" w:hAnsi="Helvetica Neue" w:eastAsia="Helvetica Neue" w:cs="Helvetica Neue"/>
          <w:sz w:val="18"/>
          <w:szCs w:val="18"/>
        </w:rPr>
        <w:t xml:space="preserve"> KPMG Brasil. </w:t>
      </w:r>
      <w:hyperlink r:id="rIdGHTLink3">
        <w:r>
          <w:rPr>
            <w:rFonts w:ascii="Helvetica Neue" w:hAnsi="Helvetica Neue" w:eastAsia="Helvetica Neue" w:cs="Helvetica Neue"/>
            <w:sz w:val="18"/>
            <w:szCs w:val="18"/>
            <w:color w:val="112075"/>
            <w:u w:val="single"/>
          </w:rPr>
          <w:t xml:space="preserve">Pesquisa Trimestral de M&amp;A 2º Trimestre 2026</w:t>
        </w:r>
      </w:hyperlink>
      <w:r>
        <w:rPr>
          <w:rFonts w:ascii="Helvetica Neue" w:hAnsi="Helvetica Neue" w:eastAsia="Helvetica Neue" w:cs="Helvetica Neue"/>
          <w:sz w:val="18"/>
          <w:szCs w:val="18"/>
        </w:rPr>
        <w:t xml:space="preserve">. Agosto 2026.</w:t>
      </w:r>
    </w:p>
  </w:footnote>
  <w:footnote w:id="6">
    <w:p>
      <w:pPr>
        <w:spacing w:after="45" w:line="220" w:lineRule="auto"/>
      </w:pPr>
      <w:r>
        <w:rPr>
          <w:vertAlign w:val="superscript"/>
        </w:rPr>
        <w:footnoteRef/>
      </w:r>
      <w:r>
        <w:rPr>
          <w:rFonts w:ascii="Helvetica Neue" w:hAnsi="Helvetica Neue" w:eastAsia="Helvetica Neue" w:cs="Helvetica Neue"/>
          <w:sz w:val="18"/>
          <w:szCs w:val="18"/>
        </w:rPr>
        <w:t xml:space="preserve"> Kearney. </w:t>
      </w:r>
      <w:hyperlink r:id="rIdGHTLink4">
        <w:r>
          <w:rPr>
            <w:rFonts w:ascii="Helvetica Neue" w:hAnsi="Helvetica Neue" w:eastAsia="Helvetica Neue" w:cs="Helvetica Neue"/>
            <w:sz w:val="18"/>
            <w:szCs w:val="18"/>
            <w:color w:val="112075"/>
            <w:u w:val="single"/>
          </w:rPr>
          <w:t xml:space="preserve">2026 Chemicals Executive M&amp;A Report</w:t>
        </w:r>
      </w:hyperlink>
      <w:r>
        <w:rPr>
          <w:rFonts w:ascii="Helvetica Neue" w:hAnsi="Helvetica Neue" w:eastAsia="Helvetica Neue" w:cs="Helvetica Neue"/>
          <w:sz w:val="18"/>
          <w:szCs w:val="18"/>
        </w:rPr>
        <w:t xml:space="preserve">. 16 fevereiro 2026 conforme PDF.</w:t>
      </w:r>
    </w:p>
  </w:footnote>
  <w:footnote w:id="7">
    <w:p>
      <w:pPr>
        <w:spacing w:after="45" w:line="220" w:lineRule="auto"/>
      </w:pPr>
      <w:r>
        <w:rPr>
          <w:vertAlign w:val="superscript"/>
        </w:rPr>
        <w:footnoteRef/>
      </w:r>
      <w:r>
        <w:rPr>
          <w:rFonts w:ascii="Helvetica Neue" w:hAnsi="Helvetica Neue" w:eastAsia="Helvetica Neue" w:cs="Helvetica Neue"/>
          <w:sz w:val="18"/>
          <w:szCs w:val="18"/>
        </w:rPr>
        <w:t xml:space="preserve"> Axial. </w:t>
      </w:r>
      <w:hyperlink r:id="rIdGHTLink5">
        <w:r>
          <w:rPr>
            <w:rFonts w:ascii="Helvetica Neue" w:hAnsi="Helvetica Neue" w:eastAsia="Helvetica Neue" w:cs="Helvetica Neue"/>
            <w:sz w:val="18"/>
            <w:szCs w:val="18"/>
            <w:color w:val="112075"/>
            <w:u w:val="single"/>
          </w:rPr>
          <w:t xml:space="preserve">Investment Banking Partnership Program</w:t>
        </w:r>
      </w:hyperlink>
      <w:r>
        <w:rPr>
          <w:rFonts w:ascii="Helvetica Neue" w:hAnsi="Helvetica Neue" w:eastAsia="Helvetica Neue" w:cs="Helvetica Neue"/>
          <w:sz w:val="18"/>
          <w:szCs w:val="18"/>
        </w:rPr>
        <w:t xml:space="preserve">. Página sem data.</w:t>
      </w:r>
    </w:p>
  </w:footnote>
  <w:footnote w:id="8">
    <w:p>
      <w:pPr>
        <w:spacing w:after="45" w:line="220" w:lineRule="auto"/>
      </w:pPr>
      <w:r>
        <w:rPr>
          <w:vertAlign w:val="superscript"/>
        </w:rPr>
        <w:footnoteRef/>
      </w:r>
      <w:r>
        <w:rPr>
          <w:rFonts w:ascii="Helvetica Neue" w:hAnsi="Helvetica Neue" w:eastAsia="Helvetica Neue" w:cs="Helvetica Neue"/>
          <w:sz w:val="18"/>
          <w:szCs w:val="18"/>
        </w:rPr>
        <w:t xml:space="preserve"> Exit Planning Institute e Kellie Nock. </w:t>
      </w:r>
      <w:hyperlink r:id="rIdGHTLink6">
        <w:r>
          <w:rPr>
            <w:rFonts w:ascii="Helvetica Neue" w:hAnsi="Helvetica Neue" w:eastAsia="Helvetica Neue" w:cs="Helvetica Neue"/>
            <w:sz w:val="18"/>
            <w:szCs w:val="18"/>
            <w:color w:val="112075"/>
            <w:u w:val="single"/>
          </w:rPr>
          <w:t xml:space="preserve">Key Owner Readiness Findings Across Generations</w:t>
        </w:r>
      </w:hyperlink>
      <w:r>
        <w:rPr>
          <w:rFonts w:ascii="Helvetica Neue" w:hAnsi="Helvetica Neue" w:eastAsia="Helvetica Neue" w:cs="Helvetica Neue"/>
          <w:sz w:val="18"/>
          <w:szCs w:val="18"/>
        </w:rPr>
        <w:t xml:space="preserve">. 18 agosto 2025.</w:t>
      </w:r>
    </w:p>
  </w:footnote>
  <w:footnote w:id="9">
    <w:p>
      <w:pPr>
        <w:spacing w:after="45" w:line="220" w:lineRule="auto"/>
      </w:pPr>
      <w:r>
        <w:rPr>
          <w:vertAlign w:val="superscript"/>
        </w:rPr>
        <w:footnoteRef/>
      </w:r>
      <w:r>
        <w:rPr>
          <w:rFonts w:ascii="Helvetica Neue" w:hAnsi="Helvetica Neue" w:eastAsia="Helvetica Neue" w:cs="Helvetica Neue"/>
          <w:sz w:val="18"/>
          <w:szCs w:val="18"/>
        </w:rPr>
        <w:t xml:space="preserve"> Oaklins. </w:t>
      </w:r>
      <w:hyperlink r:id="rIdGHTLink7">
        <w:r>
          <w:rPr>
            <w:rFonts w:ascii="Helvetica Neue" w:hAnsi="Helvetica Neue" w:eastAsia="Helvetica Neue" w:cs="Helvetica Neue"/>
            <w:sz w:val="18"/>
            <w:szCs w:val="18"/>
            <w:color w:val="112075"/>
            <w:u w:val="single"/>
          </w:rPr>
          <w:t xml:space="preserve">Expanding automation capabilities into the high growth parcel sortation market</w:t>
        </w:r>
      </w:hyperlink>
      <w:r>
        <w:rPr>
          <w:rFonts w:ascii="Helvetica Neue" w:hAnsi="Helvetica Neue" w:eastAsia="Helvetica Neue" w:cs="Helvetica Neue"/>
          <w:sz w:val="18"/>
          <w:szCs w:val="18"/>
        </w:rPr>
        <w:t xml:space="preserve">. Fevereiro 2021.</w:t>
      </w:r>
    </w:p>
  </w:footnote>
  <w:footnote w:id="10">
    <w:p>
      <w:pPr>
        <w:spacing w:after="45" w:line="220" w:lineRule="auto"/>
      </w:pPr>
      <w:r>
        <w:rPr>
          <w:vertAlign w:val="superscript"/>
        </w:rPr>
        <w:footnoteRef/>
      </w:r>
      <w:r>
        <w:rPr>
          <w:rFonts w:ascii="Helvetica Neue" w:hAnsi="Helvetica Neue" w:eastAsia="Helvetica Neue" w:cs="Helvetica Neue"/>
          <w:sz w:val="18"/>
          <w:szCs w:val="18"/>
        </w:rPr>
        <w:t xml:space="preserve"> ICIS. </w:t>
      </w:r>
      <w:hyperlink r:id="rIdGHTLink8">
        <w:r>
          <w:rPr>
            <w:rFonts w:ascii="Helvetica Neue" w:hAnsi="Helvetica Neue" w:eastAsia="Helvetica Neue" w:cs="Helvetica Neue"/>
            <w:sz w:val="18"/>
            <w:szCs w:val="18"/>
            <w:color w:val="112075"/>
            <w:u w:val="single"/>
          </w:rPr>
          <w:t xml:space="preserve">ICIS Top 100 Chemical Distributors Ranking for 2026 Unveiled</w:t>
        </w:r>
      </w:hyperlink>
      <w:r>
        <w:rPr>
          <w:rFonts w:ascii="Helvetica Neue" w:hAnsi="Helvetica Neue" w:eastAsia="Helvetica Neue" w:cs="Helvetica Neue"/>
          <w:sz w:val="18"/>
          <w:szCs w:val="18"/>
        </w:rPr>
        <w:t xml:space="preserve">. 15 junho 2026.</w:t>
      </w:r>
    </w:p>
  </w:footnote>
  <w:footnote w:id="11">
    <w:p>
      <w:pPr>
        <w:spacing w:after="45" w:line="220" w:lineRule="auto"/>
      </w:pPr>
      <w:r>
        <w:rPr>
          <w:vertAlign w:val="superscript"/>
        </w:rPr>
        <w:footnoteRef/>
      </w:r>
      <w:r>
        <w:rPr>
          <w:rFonts w:ascii="Helvetica Neue" w:hAnsi="Helvetica Neue" w:eastAsia="Helvetica Neue" w:cs="Helvetica Neue"/>
          <w:sz w:val="18"/>
          <w:szCs w:val="18"/>
        </w:rPr>
        <w:t xml:space="preserve"> ASSOCIQUIM e SINCOQUIM. </w:t>
      </w:r>
      <w:hyperlink r:id="rIdGHTLink9">
        <w:r>
          <w:rPr>
            <w:rFonts w:ascii="Helvetica Neue" w:hAnsi="Helvetica Neue" w:eastAsia="Helvetica Neue" w:cs="Helvetica Neue"/>
            <w:sz w:val="18"/>
            <w:szCs w:val="18"/>
            <w:color w:val="112075"/>
            <w:u w:val="single"/>
          </w:rPr>
          <w:t xml:space="preserve">O que é o PRODIR</w:t>
        </w:r>
      </w:hyperlink>
      <w:r>
        <w:rPr>
          <w:rFonts w:ascii="Helvetica Neue" w:hAnsi="Helvetica Neue" w:eastAsia="Helvetica Neue" w:cs="Helvetica Neue"/>
          <w:sz w:val="18"/>
          <w:szCs w:val="18"/>
        </w:rPr>
        <w:t xml:space="preserve">. Sem data de publicação.</w:t>
      </w:r>
    </w:p>
  </w:footnote>
  <w:footnote w:id="12">
    <w:p>
      <w:pPr>
        <w:spacing w:after="45" w:line="220" w:lineRule="auto"/>
      </w:pPr>
      <w:r>
        <w:rPr>
          <w:vertAlign w:val="superscript"/>
        </w:rPr>
        <w:footnoteRef/>
      </w:r>
      <w:r>
        <w:rPr>
          <w:rFonts w:ascii="Helvetica Neue" w:hAnsi="Helvetica Neue" w:eastAsia="Helvetica Neue" w:cs="Helvetica Neue"/>
          <w:sz w:val="18"/>
          <w:szCs w:val="18"/>
        </w:rPr>
        <w:t xml:space="preserve"> Safic-Alcan. </w:t>
      </w:r>
      <w:hyperlink r:id="rIdGHTLink10">
        <w:r>
          <w:rPr>
            <w:rFonts w:ascii="Helvetica Neue" w:hAnsi="Helvetica Neue" w:eastAsia="Helvetica Neue" w:cs="Helvetica Neue"/>
            <w:sz w:val="18"/>
            <w:szCs w:val="18"/>
            <w:color w:val="112075"/>
            <w:u w:val="single"/>
          </w:rPr>
          <w:t xml:space="preserve">Safic-Alcan expands its presence in Brazil with the acquisition of Colormix</w:t>
        </w:r>
      </w:hyperlink>
      <w:r>
        <w:rPr>
          <w:rFonts w:ascii="Helvetica Neue" w:hAnsi="Helvetica Neue" w:eastAsia="Helvetica Neue" w:cs="Helvetica Neue"/>
          <w:sz w:val="18"/>
          <w:szCs w:val="18"/>
        </w:rPr>
        <w:t xml:space="preserve">. 2 junho 2026.</w:t>
      </w:r>
    </w:p>
  </w:footnote>
  <w:footnote w:id="13">
    <w:p>
      <w:pPr>
        <w:spacing w:after="45" w:line="220" w:lineRule="auto"/>
      </w:pPr>
      <w:r>
        <w:rPr>
          <w:vertAlign w:val="superscript"/>
        </w:rPr>
        <w:footnoteRef/>
      </w:r>
      <w:r>
        <w:rPr>
          <w:rFonts w:ascii="Helvetica Neue" w:hAnsi="Helvetica Neue" w:eastAsia="Helvetica Neue" w:cs="Helvetica Neue"/>
          <w:sz w:val="18"/>
          <w:szCs w:val="18"/>
        </w:rPr>
        <w:t xml:space="preserve"> Safic-Alcan. </w:t>
      </w:r>
      <w:hyperlink r:id="rIdGHTLink11">
        <w:r>
          <w:rPr>
            <w:rFonts w:ascii="Helvetica Neue" w:hAnsi="Helvetica Neue" w:eastAsia="Helvetica Neue" w:cs="Helvetica Neue"/>
            <w:sz w:val="18"/>
            <w:szCs w:val="18"/>
            <w:color w:val="112075"/>
            <w:u w:val="single"/>
          </w:rPr>
          <w:t xml:space="preserve">Safic-Alcan continues its expansion in Latin America with the acquisition of Anders</w:t>
        </w:r>
      </w:hyperlink>
      <w:r>
        <w:rPr>
          <w:rFonts w:ascii="Helvetica Neue" w:hAnsi="Helvetica Neue" w:eastAsia="Helvetica Neue" w:cs="Helvetica Neue"/>
          <w:sz w:val="18"/>
          <w:szCs w:val="18"/>
        </w:rPr>
        <w:t xml:space="preserve">. Evento em 1 outubro 2025; página 21 outubro 2025.</w:t>
      </w:r>
    </w:p>
  </w:footnote>
  <w:footnote w:id="14">
    <w:p>
      <w:pPr>
        <w:spacing w:after="45" w:line="220" w:lineRule="auto"/>
      </w:pPr>
      <w:r>
        <w:rPr>
          <w:vertAlign w:val="superscript"/>
        </w:rPr>
        <w:footnoteRef/>
      </w:r>
      <w:r>
        <w:rPr>
          <w:rFonts w:ascii="Helvetica Neue" w:hAnsi="Helvetica Neue" w:eastAsia="Helvetica Neue" w:cs="Helvetica Neue"/>
          <w:sz w:val="18"/>
          <w:szCs w:val="18"/>
        </w:rPr>
        <w:t xml:space="preserve"> Brenntag. </w:t>
      </w:r>
      <w:hyperlink r:id="rIdGHTLink12">
        <w:r>
          <w:rPr>
            <w:rFonts w:ascii="Helvetica Neue" w:hAnsi="Helvetica Neue" w:eastAsia="Helvetica Neue" w:cs="Helvetica Neue"/>
            <w:sz w:val="18"/>
            <w:szCs w:val="18"/>
            <w:color w:val="112075"/>
            <w:u w:val="single"/>
          </w:rPr>
          <w:t xml:space="preserve">Brenntag acquires specialty chemicals distributors PIC and PharmaSpecial</w:t>
        </w:r>
      </w:hyperlink>
      <w:r>
        <w:rPr>
          <w:rFonts w:ascii="Helvetica Neue" w:hAnsi="Helvetica Neue" w:eastAsia="Helvetica Neue" w:cs="Helvetica Neue"/>
          <w:sz w:val="18"/>
          <w:szCs w:val="18"/>
        </w:rPr>
        <w:t xml:space="preserve">. 19 agosto 2024.</w:t>
      </w:r>
    </w:p>
  </w:footnote>
  <w:footnote w:id="15">
    <w:p>
      <w:pPr>
        <w:spacing w:after="45" w:line="220" w:lineRule="auto"/>
      </w:pPr>
      <w:r>
        <w:rPr>
          <w:vertAlign w:val="superscript"/>
        </w:rPr>
        <w:footnoteRef/>
      </w:r>
      <w:r>
        <w:rPr>
          <w:rFonts w:ascii="Helvetica Neue" w:hAnsi="Helvetica Neue" w:eastAsia="Helvetica Neue" w:cs="Helvetica Neue"/>
          <w:sz w:val="18"/>
          <w:szCs w:val="18"/>
        </w:rPr>
        <w:t xml:space="preserve"> Brenntag. </w:t>
      </w:r>
      <w:hyperlink r:id="rIdGHTLink13">
        <w:r>
          <w:rPr>
            <w:rFonts w:ascii="Helvetica Neue" w:hAnsi="Helvetica Neue" w:eastAsia="Helvetica Neue" w:cs="Helvetica Neue"/>
            <w:sz w:val="18"/>
            <w:szCs w:val="18"/>
            <w:color w:val="112075"/>
            <w:u w:val="single"/>
          </w:rPr>
          <w:t xml:space="preserve">Brenntag Q2 2026 financial results</w:t>
        </w:r>
      </w:hyperlink>
      <w:r>
        <w:rPr>
          <w:rFonts w:ascii="Helvetica Neue" w:hAnsi="Helvetica Neue" w:eastAsia="Helvetica Neue" w:cs="Helvetica Neue"/>
          <w:sz w:val="18"/>
          <w:szCs w:val="18"/>
        </w:rPr>
        <w:t xml:space="preserve">. 12 agosto 2026.</w:t>
      </w:r>
    </w:p>
  </w:footnote>
  <w:footnote w:id="16">
    <w:p>
      <w:pPr>
        <w:spacing w:after="45" w:line="220" w:lineRule="auto"/>
      </w:pPr>
      <w:r>
        <w:rPr>
          <w:vertAlign w:val="superscript"/>
        </w:rPr>
        <w:footnoteRef/>
      </w:r>
      <w:r>
        <w:rPr>
          <w:rFonts w:ascii="Helvetica Neue" w:hAnsi="Helvetica Neue" w:eastAsia="Helvetica Neue" w:cs="Helvetica Neue"/>
          <w:sz w:val="18"/>
          <w:szCs w:val="18"/>
        </w:rPr>
        <w:t xml:space="preserve"> Azelis. </w:t>
      </w:r>
      <w:hyperlink r:id="rIdGHTLink14">
        <w:r>
          <w:rPr>
            <w:rFonts w:ascii="Helvetica Neue" w:hAnsi="Helvetica Neue" w:eastAsia="Helvetica Neue" w:cs="Helvetica Neue"/>
            <w:sz w:val="18"/>
            <w:szCs w:val="18"/>
            <w:color w:val="112075"/>
            <w:u w:val="single"/>
          </w:rPr>
          <w:t xml:space="preserve">H1 2026 results Return to organic growth</w:t>
        </w:r>
      </w:hyperlink>
      <w:r>
        <w:rPr>
          <w:rFonts w:ascii="Helvetica Neue" w:hAnsi="Helvetica Neue" w:eastAsia="Helvetica Neue" w:cs="Helvetica Neue"/>
          <w:sz w:val="18"/>
          <w:szCs w:val="18"/>
        </w:rPr>
        <w:t xml:space="preserve">. 30 julho 2026.</w:t>
      </w:r>
    </w:p>
  </w:footnote>
  <w:footnote w:id="17">
    <w:p>
      <w:pPr>
        <w:spacing w:after="45" w:line="220" w:lineRule="auto"/>
      </w:pPr>
      <w:r>
        <w:rPr>
          <w:vertAlign w:val="superscript"/>
        </w:rPr>
        <w:footnoteRef/>
      </w:r>
      <w:r>
        <w:rPr>
          <w:rFonts w:ascii="Helvetica Neue" w:hAnsi="Helvetica Neue" w:eastAsia="Helvetica Neue" w:cs="Helvetica Neue"/>
          <w:sz w:val="18"/>
          <w:szCs w:val="18"/>
        </w:rPr>
        <w:t xml:space="preserve"> IMCD. </w:t>
      </w:r>
      <w:hyperlink r:id="rIdGHTLink15">
        <w:r>
          <w:rPr>
            <w:rFonts w:ascii="Helvetica Neue" w:hAnsi="Helvetica Neue" w:eastAsia="Helvetica Neue" w:cs="Helvetica Neue"/>
            <w:sz w:val="18"/>
            <w:szCs w:val="18"/>
            <w:color w:val="112075"/>
            <w:u w:val="single"/>
          </w:rPr>
          <w:t xml:space="preserve">Media Centre</w:t>
        </w:r>
      </w:hyperlink>
      <w:r>
        <w:rPr>
          <w:rFonts w:ascii="Helvetica Neue" w:hAnsi="Helvetica Neue" w:eastAsia="Helvetica Neue" w:cs="Helvetica Neue"/>
          <w:sz w:val="18"/>
          <w:szCs w:val="18"/>
        </w:rPr>
        <w:t xml:space="preserve">. Notícias de 2026 consultadas em 10 setembro 2026.</w:t>
      </w:r>
    </w:p>
  </w:footnote>
  <w:footnote w:id="18">
    <w:p>
      <w:pPr>
        <w:spacing w:after="45" w:line="220" w:lineRule="auto"/>
      </w:pPr>
      <w:r>
        <w:rPr>
          <w:vertAlign w:val="superscript"/>
        </w:rPr>
        <w:footnoteRef/>
      </w:r>
      <w:r>
        <w:rPr>
          <w:rFonts w:ascii="Helvetica Neue" w:hAnsi="Helvetica Neue" w:eastAsia="Helvetica Neue" w:cs="Helvetica Neue"/>
          <w:sz w:val="18"/>
          <w:szCs w:val="18"/>
        </w:rPr>
        <w:t xml:space="preserve"> Barentz Brasil. </w:t>
      </w:r>
      <w:hyperlink r:id="rIdGHTLink16">
        <w:r>
          <w:rPr>
            <w:rFonts w:ascii="Helvetica Neue" w:hAnsi="Helvetica Neue" w:eastAsia="Helvetica Neue" w:cs="Helvetica Neue"/>
            <w:sz w:val="18"/>
            <w:szCs w:val="18"/>
            <w:color w:val="112075"/>
            <w:u w:val="single"/>
          </w:rPr>
          <w:t xml:space="preserve">Barentz adquire Metachem no Brasil</w:t>
        </w:r>
      </w:hyperlink>
      <w:r>
        <w:rPr>
          <w:rFonts w:ascii="Helvetica Neue" w:hAnsi="Helvetica Neue" w:eastAsia="Helvetica Neue" w:cs="Helvetica Neue"/>
          <w:sz w:val="18"/>
          <w:szCs w:val="18"/>
        </w:rPr>
        <w:t xml:space="preserve">. 19 abril 2023; comunicado de 17 abril 2023.</w:t>
      </w:r>
    </w:p>
  </w:footnote>
  <w:footnote w:id="19">
    <w:p>
      <w:pPr>
        <w:spacing w:after="45" w:line="220" w:lineRule="auto"/>
      </w:pPr>
      <w:r>
        <w:rPr>
          <w:vertAlign w:val="superscript"/>
        </w:rPr>
        <w:footnoteRef/>
      </w:r>
      <w:r>
        <w:rPr>
          <w:rFonts w:ascii="Helvetica Neue" w:hAnsi="Helvetica Neue" w:eastAsia="Helvetica Neue" w:cs="Helvetica Neue"/>
          <w:sz w:val="18"/>
          <w:szCs w:val="18"/>
        </w:rPr>
        <w:t xml:space="preserve"> Barentz. </w:t>
      </w:r>
      <w:hyperlink r:id="rIdGHTLink17">
        <w:r>
          <w:rPr>
            <w:rFonts w:ascii="Helvetica Neue" w:hAnsi="Helvetica Neue" w:eastAsia="Helvetica Neue" w:cs="Helvetica Neue"/>
            <w:sz w:val="18"/>
            <w:szCs w:val="18"/>
            <w:color w:val="112075"/>
            <w:u w:val="single"/>
          </w:rPr>
          <w:t xml:space="preserve">Barentz announces strategic distribution partnership with IQT</w:t>
        </w:r>
      </w:hyperlink>
      <w:r>
        <w:rPr>
          <w:rFonts w:ascii="Helvetica Neue" w:hAnsi="Helvetica Neue" w:eastAsia="Helvetica Neue" w:cs="Helvetica Neue"/>
          <w:sz w:val="18"/>
          <w:szCs w:val="18"/>
        </w:rPr>
        <w:t xml:space="preserve">. 5 dezembro 2025.</w:t>
      </w:r>
    </w:p>
  </w:footnote>
  <w:footnote w:id="20">
    <w:p>
      <w:pPr>
        <w:spacing w:after="45" w:line="220" w:lineRule="auto"/>
      </w:pPr>
      <w:r>
        <w:rPr>
          <w:vertAlign w:val="superscript"/>
        </w:rPr>
        <w:footnoteRef/>
      </w:r>
      <w:r>
        <w:rPr>
          <w:rFonts w:ascii="Helvetica Neue" w:hAnsi="Helvetica Neue" w:eastAsia="Helvetica Neue" w:cs="Helvetica Neue"/>
          <w:sz w:val="18"/>
          <w:szCs w:val="18"/>
        </w:rPr>
        <w:t xml:space="preserve"> Caldic. </w:t>
      </w:r>
      <w:hyperlink r:id="rIdGHTLink18">
        <w:r>
          <w:rPr>
            <w:rFonts w:ascii="Helvetica Neue" w:hAnsi="Helvetica Neue" w:eastAsia="Helvetica Neue" w:cs="Helvetica Neue"/>
            <w:sz w:val="18"/>
            <w:szCs w:val="18"/>
            <w:color w:val="112075"/>
            <w:u w:val="single"/>
          </w:rPr>
          <w:t xml:space="preserve">Caldic Latin America fully integrated and rebranded to further unlock value creation</w:t>
        </w:r>
      </w:hyperlink>
      <w:r>
        <w:rPr>
          <w:rFonts w:ascii="Helvetica Neue" w:hAnsi="Helvetica Neue" w:eastAsia="Helvetica Neue" w:cs="Helvetica Neue"/>
          <w:sz w:val="18"/>
          <w:szCs w:val="18"/>
        </w:rPr>
        <w:t xml:space="preserve">. 16 janeiro 2023.</w:t>
      </w:r>
    </w:p>
  </w:footnote>
  <w:footnote w:id="21">
    <w:p>
      <w:pPr>
        <w:spacing w:after="45" w:line="220" w:lineRule="auto"/>
      </w:pPr>
      <w:r>
        <w:rPr>
          <w:vertAlign w:val="superscript"/>
        </w:rPr>
        <w:footnoteRef/>
      </w:r>
      <w:r>
        <w:rPr>
          <w:rFonts w:ascii="Helvetica Neue" w:hAnsi="Helvetica Neue" w:eastAsia="Helvetica Neue" w:cs="Helvetica Neue"/>
          <w:sz w:val="18"/>
          <w:szCs w:val="18"/>
        </w:rPr>
        <w:t xml:space="preserve"> Safic-Alcan. </w:t>
      </w:r>
      <w:hyperlink r:id="rIdGHTLink19">
        <w:r>
          <w:rPr>
            <w:rFonts w:ascii="Helvetica Neue" w:hAnsi="Helvetica Neue" w:eastAsia="Helvetica Neue" w:cs="Helvetica Neue"/>
            <w:sz w:val="18"/>
            <w:szCs w:val="18"/>
            <w:color w:val="112075"/>
            <w:u w:val="single"/>
          </w:rPr>
          <w:t xml:space="preserve">Safic-Alcan Establishes Its Presence in South America with the Acquisition of Proquimil</w:t>
        </w:r>
      </w:hyperlink>
      <w:r>
        <w:rPr>
          <w:rFonts w:ascii="Helvetica Neue" w:hAnsi="Helvetica Neue" w:eastAsia="Helvetica Neue" w:cs="Helvetica Neue"/>
          <w:sz w:val="18"/>
          <w:szCs w:val="18"/>
        </w:rPr>
        <w:t xml:space="preserve">. Evento em 20 setembro 2022; página datada 13 novembro 2025.</w:t>
      </w:r>
    </w:p>
  </w:footnote>
  <w:footnote w:id="22">
    <w:p>
      <w:pPr>
        <w:spacing w:after="45" w:line="220" w:lineRule="auto"/>
      </w:pPr>
      <w:r>
        <w:rPr>
          <w:vertAlign w:val="superscript"/>
        </w:rPr>
        <w:footnoteRef/>
      </w:r>
      <w:r>
        <w:rPr>
          <w:rFonts w:ascii="Helvetica Neue" w:hAnsi="Helvetica Neue" w:eastAsia="Helvetica Neue" w:cs="Helvetica Neue"/>
          <w:sz w:val="18"/>
          <w:szCs w:val="18"/>
        </w:rPr>
        <w:t xml:space="preserve"> ASSOCIQUIM e SINCOQUIM. </w:t>
      </w:r>
      <w:hyperlink r:id="rIdGHTLink20">
        <w:r>
          <w:rPr>
            <w:rFonts w:ascii="Helvetica Neue" w:hAnsi="Helvetica Neue" w:eastAsia="Helvetica Neue" w:cs="Helvetica Neue"/>
            <w:sz w:val="18"/>
            <w:szCs w:val="18"/>
            <w:color w:val="112075"/>
            <w:u w:val="single"/>
          </w:rPr>
          <w:t xml:space="preserve">Home e Empresas Associadas</w:t>
        </w:r>
      </w:hyperlink>
      <w:r>
        <w:rPr>
          <w:rFonts w:ascii="Helvetica Neue" w:hAnsi="Helvetica Neue" w:eastAsia="Helvetica Neue" w:cs="Helvetica Neue"/>
          <w:sz w:val="18"/>
          <w:szCs w:val="18"/>
        </w:rPr>
        <w:t xml:space="preserve">. Sem data de publicação.</w:t>
      </w:r>
    </w:p>
  </w:footnote>
  <w:footnote w:id="23">
    <w:p>
      <w:pPr>
        <w:spacing w:after="45" w:line="220" w:lineRule="auto"/>
      </w:pPr>
      <w:r>
        <w:rPr>
          <w:vertAlign w:val="superscript"/>
        </w:rPr>
        <w:footnoteRef/>
      </w:r>
      <w:r>
        <w:rPr>
          <w:rFonts w:ascii="Helvetica Neue" w:hAnsi="Helvetica Neue" w:eastAsia="Helvetica Neue" w:cs="Helvetica Neue"/>
          <w:sz w:val="18"/>
          <w:szCs w:val="18"/>
        </w:rPr>
        <w:t xml:space="preserve"> RX in-cosmetics Latin America. </w:t>
      </w:r>
      <w:hyperlink r:id="rIdGHTLink21">
        <w:r>
          <w:rPr>
            <w:rFonts w:ascii="Helvetica Neue" w:hAnsi="Helvetica Neue" w:eastAsia="Helvetica Neue" w:cs="Helvetica Neue"/>
            <w:sz w:val="18"/>
            <w:szCs w:val="18"/>
            <w:color w:val="112075"/>
            <w:u w:val="single"/>
          </w:rPr>
          <w:t xml:space="preserve">Exhibitor Directory</w:t>
        </w:r>
      </w:hyperlink>
      <w:r>
        <w:rPr>
          <w:rFonts w:ascii="Helvetica Neue" w:hAnsi="Helvetica Neue" w:eastAsia="Helvetica Neue" w:cs="Helvetica Neue"/>
          <w:sz w:val="18"/>
          <w:szCs w:val="18"/>
        </w:rPr>
        <w:t xml:space="preserve">. Edição 2026; página dinâmica.</w:t>
      </w:r>
    </w:p>
  </w:footnote>
  <w:footnote w:id="24">
    <w:p>
      <w:pPr>
        <w:spacing w:after="45" w:line="220" w:lineRule="auto"/>
      </w:pPr>
      <w:r>
        <w:rPr>
          <w:vertAlign w:val="superscript"/>
        </w:rPr>
        <w:footnoteRef/>
      </w:r>
      <w:r>
        <w:rPr>
          <w:rFonts w:ascii="Helvetica Neue" w:hAnsi="Helvetica Neue" w:eastAsia="Helvetica Neue" w:cs="Helvetica Neue"/>
          <w:sz w:val="18"/>
          <w:szCs w:val="18"/>
        </w:rPr>
        <w:t xml:space="preserve"> IBGE CONCLA. </w:t>
      </w:r>
      <w:hyperlink r:id="rIdGHTLink22">
        <w:r>
          <w:rPr>
            <w:rFonts w:ascii="Helvetica Neue" w:hAnsi="Helvetica Neue" w:eastAsia="Helvetica Neue" w:cs="Helvetica Neue"/>
            <w:sz w:val="18"/>
            <w:szCs w:val="18"/>
            <w:color w:val="112075"/>
            <w:u w:val="single"/>
          </w:rPr>
          <w:t xml:space="preserve">CNAE 4684-2/01 Comércio atacadista de resinas e elastômeros</w:t>
        </w:r>
      </w:hyperlink>
      <w:r>
        <w:rPr>
          <w:rFonts w:ascii="Helvetica Neue" w:hAnsi="Helvetica Neue" w:eastAsia="Helvetica Neue" w:cs="Helvetica Neue"/>
          <w:sz w:val="18"/>
          <w:szCs w:val="18"/>
        </w:rPr>
        <w:t xml:space="preserve">. Classificação consultada em setembro 2026.</w:t>
      </w:r>
    </w:p>
  </w:footnote>
  <w:footnote w:id="25">
    <w:p>
      <w:pPr>
        <w:spacing w:after="45" w:line="220" w:lineRule="auto"/>
      </w:pPr>
      <w:r>
        <w:rPr>
          <w:vertAlign w:val="superscript"/>
        </w:rPr>
        <w:footnoteRef/>
      </w:r>
      <w:r>
        <w:rPr>
          <w:rFonts w:ascii="Helvetica Neue" w:hAnsi="Helvetica Neue" w:eastAsia="Helvetica Neue" w:cs="Helvetica Neue"/>
          <w:sz w:val="18"/>
          <w:szCs w:val="18"/>
        </w:rPr>
        <w:t xml:space="preserve"> MDIC SECEX. </w:t>
      </w:r>
      <w:hyperlink r:id="rIdGHTLink23">
        <w:r>
          <w:rPr>
            <w:rFonts w:ascii="Helvetica Neue" w:hAnsi="Helvetica Neue" w:eastAsia="Helvetica Neue" w:cs="Helvetica Neue"/>
            <w:sz w:val="18"/>
            <w:szCs w:val="18"/>
            <w:color w:val="112075"/>
            <w:u w:val="single"/>
          </w:rPr>
          <w:t xml:space="preserve">É possível consultar ou solicitar dados estatísticos de empresas brasileiras ou estrangeiras</w:t>
        </w:r>
      </w:hyperlink>
      <w:r>
        <w:rPr>
          <w:rFonts w:ascii="Helvetica Neue" w:hAnsi="Helvetica Neue" w:eastAsia="Helvetica Neue" w:cs="Helvetica Neue"/>
          <w:sz w:val="18"/>
          <w:szCs w:val="18"/>
        </w:rPr>
        <w:t xml:space="preserve">. 21 agosto 2023; atualização 24 agosto 2023.</w:t>
      </w:r>
    </w:p>
  </w:footnote>
  <w:footnote w:id="26">
    <w:p>
      <w:pPr>
        <w:spacing w:after="45" w:line="220" w:lineRule="auto"/>
      </w:pPr>
      <w:r>
        <w:rPr>
          <w:vertAlign w:val="superscript"/>
        </w:rPr>
        <w:footnoteRef/>
      </w:r>
      <w:r>
        <w:rPr>
          <w:rFonts w:ascii="Helvetica Neue" w:hAnsi="Helvetica Neue" w:eastAsia="Helvetica Neue" w:cs="Helvetica Neue"/>
          <w:sz w:val="18"/>
          <w:szCs w:val="18"/>
        </w:rPr>
        <w:t xml:space="preserve"> MDIC SECEX. </w:t>
      </w:r>
      <w:hyperlink r:id="rIdGHTLink24">
        <w:r>
          <w:rPr>
            <w:rFonts w:ascii="Helvetica Neue" w:hAnsi="Helvetica Neue" w:eastAsia="Helvetica Neue" w:cs="Helvetica Neue"/>
            <w:sz w:val="18"/>
            <w:szCs w:val="18"/>
            <w:color w:val="112075"/>
            <w:u w:val="single"/>
          </w:rPr>
          <w:t xml:space="preserve">Estatísticas de Comércio Exterior em Dados Abertos</w:t>
        </w:r>
      </w:hyperlink>
      <w:r>
        <w:rPr>
          <w:rFonts w:ascii="Helvetica Neue" w:hAnsi="Helvetica Neue" w:eastAsia="Helvetica Neue" w:cs="Helvetica Neue"/>
          <w:sz w:val="18"/>
          <w:szCs w:val="18"/>
        </w:rPr>
        <w:t xml:space="preserve">. Atualização 4 setembro 2026.</w:t>
      </w:r>
    </w:p>
  </w:footnote>
  <w:footnote w:id="27">
    <w:p>
      <w:pPr>
        <w:spacing w:after="45" w:line="220" w:lineRule="auto"/>
      </w:pPr>
      <w:r>
        <w:rPr>
          <w:vertAlign w:val="superscript"/>
        </w:rPr>
        <w:footnoteRef/>
      </w:r>
      <w:r>
        <w:rPr>
          <w:rFonts w:ascii="Helvetica Neue" w:hAnsi="Helvetica Neue" w:eastAsia="Helvetica Neue" w:cs="Helvetica Neue"/>
          <w:sz w:val="18"/>
          <w:szCs w:val="18"/>
        </w:rPr>
        <w:t xml:space="preserve"> IBGE. </w:t>
      </w:r>
      <w:hyperlink r:id="rIdGHTLink25">
        <w:r>
          <w:rPr>
            <w:rFonts w:ascii="Helvetica Neue" w:hAnsi="Helvetica Neue" w:eastAsia="Helvetica Neue" w:cs="Helvetica Neue"/>
            <w:sz w:val="18"/>
            <w:szCs w:val="18"/>
            <w:color w:val="112075"/>
            <w:u w:val="single"/>
          </w:rPr>
          <w:t xml:space="preserve">PAC Pesquisa Anual de Comércio</w:t>
        </w:r>
      </w:hyperlink>
      <w:r>
        <w:rPr>
          <w:rFonts w:ascii="Helvetica Neue" w:hAnsi="Helvetica Neue" w:eastAsia="Helvetica Neue" w:cs="Helvetica Neue"/>
          <w:sz w:val="18"/>
          <w:szCs w:val="18"/>
        </w:rPr>
        <w:t xml:space="preserve">. Página consultada em setembro 2026; edição 2023 exibida.</w:t>
      </w:r>
    </w:p>
  </w:footnote>
  <w:footnote w:id="28">
    <w:p>
      <w:pPr>
        <w:spacing w:after="45" w:line="220" w:lineRule="auto"/>
      </w:pPr>
      <w:r>
        <w:rPr>
          <w:vertAlign w:val="superscript"/>
        </w:rPr>
        <w:footnoteRef/>
      </w:r>
      <w:r>
        <w:rPr>
          <w:rFonts w:ascii="Helvetica Neue" w:hAnsi="Helvetica Neue" w:eastAsia="Helvetica Neue" w:cs="Helvetica Neue"/>
          <w:sz w:val="18"/>
          <w:szCs w:val="18"/>
        </w:rPr>
        <w:t xml:space="preserve"> CADE. </w:t>
      </w:r>
      <w:hyperlink r:id="rIdGHTLink26">
        <w:r>
          <w:rPr>
            <w:rFonts w:ascii="Helvetica Neue" w:hAnsi="Helvetica Neue" w:eastAsia="Helvetica Neue" w:cs="Helvetica Neue"/>
            <w:sz w:val="18"/>
            <w:szCs w:val="18"/>
            <w:color w:val="112075"/>
            <w:u w:val="single"/>
          </w:rPr>
          <w:t xml:space="preserve">Pesquisa avançada do Cade</w:t>
        </w:r>
      </w:hyperlink>
      <w:r>
        <w:rPr>
          <w:rFonts w:ascii="Helvetica Neue" w:hAnsi="Helvetica Neue" w:eastAsia="Helvetica Neue" w:cs="Helvetica Neue"/>
          <w:sz w:val="18"/>
          <w:szCs w:val="18"/>
        </w:rPr>
        <w:t xml:space="preserve">. Serviço consultado em setembro 2026.</w:t>
      </w:r>
    </w:p>
  </w:footnote>
  <w:footnote w:id="29">
    <w:p>
      <w:pPr>
        <w:spacing w:after="45" w:line="220" w:lineRule="auto"/>
      </w:pPr>
      <w:r>
        <w:rPr>
          <w:vertAlign w:val="superscript"/>
        </w:rPr>
        <w:footnoteRef/>
      </w:r>
      <w:r>
        <w:rPr>
          <w:rFonts w:ascii="Helvetica Neue" w:hAnsi="Helvetica Neue" w:eastAsia="Helvetica Neue" w:cs="Helvetica Neue"/>
          <w:sz w:val="18"/>
          <w:szCs w:val="18"/>
        </w:rPr>
        <w:t xml:space="preserve"> UK Government Analysis Function. </w:t>
      </w:r>
      <w:hyperlink r:id="rIdGHTLink27">
        <w:r>
          <w:rPr>
            <w:rFonts w:ascii="Helvetica Neue" w:hAnsi="Helvetica Neue" w:eastAsia="Helvetica Neue" w:cs="Helvetica Neue"/>
            <w:sz w:val="18"/>
            <w:szCs w:val="18"/>
            <w:color w:val="112075"/>
            <w:u w:val="single"/>
          </w:rPr>
          <w:t xml:space="preserve">An Introductory Guide to Multi-Criteria Decision Analysis</w:t>
        </w:r>
      </w:hyperlink>
      <w:r>
        <w:rPr>
          <w:rFonts w:ascii="Helvetica Neue" w:hAnsi="Helvetica Neue" w:eastAsia="Helvetica Neue" w:cs="Helvetica Neue"/>
          <w:sz w:val="18"/>
          <w:szCs w:val="18"/>
        </w:rPr>
        <w:t xml:space="preserve">. 2024; página consultada em setembro 2026.</w:t>
      </w:r>
    </w:p>
  </w:footnote>
  <w:footnote w:id="30">
    <w:p>
      <w:pPr>
        <w:spacing w:after="45" w:line="220" w:lineRule="auto"/>
      </w:pPr>
      <w:r>
        <w:rPr>
          <w:vertAlign w:val="superscript"/>
        </w:rPr>
        <w:footnoteRef/>
      </w:r>
      <w:r>
        <w:rPr>
          <w:rFonts w:ascii="Helvetica Neue" w:hAnsi="Helvetica Neue" w:eastAsia="Helvetica Neue" w:cs="Helvetica Neue"/>
          <w:sz w:val="18"/>
          <w:szCs w:val="18"/>
        </w:rPr>
        <w:t xml:space="preserve"> ASSOCIQUIM e SINCOQUIM. </w:t>
      </w:r>
      <w:hyperlink r:id="rIdGHTLink28">
        <w:r>
          <w:rPr>
            <w:rFonts w:ascii="Helvetica Neue" w:hAnsi="Helvetica Neue" w:eastAsia="Helvetica Neue" w:cs="Helvetica Neue"/>
            <w:sz w:val="18"/>
            <w:szCs w:val="18"/>
            <w:color w:val="112075"/>
            <w:u w:val="single"/>
          </w:rPr>
          <w:t xml:space="preserve">Perfil do Setor</w:t>
        </w:r>
      </w:hyperlink>
      <w:r>
        <w:rPr>
          <w:rFonts w:ascii="Helvetica Neue" w:hAnsi="Helvetica Neue" w:eastAsia="Helvetica Neue" w:cs="Helvetica Neue"/>
          <w:sz w:val="18"/>
          <w:szCs w:val="18"/>
        </w:rPr>
        <w:t xml:space="preserve">. Sem data; página remete ao Perfil 2024.</w:t>
      </w:r>
    </w:p>
  </w:footnote>
  <w:footnote w:id="31">
    <w:p>
      <w:pPr>
        <w:spacing w:after="45" w:line="220" w:lineRule="auto"/>
      </w:pPr>
      <w:r>
        <w:rPr>
          <w:vertAlign w:val="superscript"/>
        </w:rPr>
        <w:footnoteRef/>
      </w:r>
      <w:r>
        <w:rPr>
          <w:rFonts w:ascii="Helvetica Neue" w:hAnsi="Helvetica Neue" w:eastAsia="Helvetica Neue" w:cs="Helvetica Neue"/>
          <w:sz w:val="18"/>
          <w:szCs w:val="18"/>
        </w:rPr>
        <w:t xml:space="preserve"> Lincoln International. </w:t>
      </w:r>
      <w:hyperlink r:id="rIdGHTLink29">
        <w:r>
          <w:rPr>
            <w:rFonts w:ascii="Helvetica Neue" w:hAnsi="Helvetica Neue" w:eastAsia="Helvetica Neue" w:cs="Helvetica Neue"/>
            <w:sz w:val="18"/>
            <w:szCs w:val="18"/>
            <w:color w:val="112075"/>
            <w:u w:val="single"/>
          </w:rPr>
          <w:t xml:space="preserve">Q1 2026 Chemicals and Materials Quarterly Review</w:t>
        </w:r>
      </w:hyperlink>
      <w:r>
        <w:rPr>
          <w:rFonts w:ascii="Helvetica Neue" w:hAnsi="Helvetica Neue" w:eastAsia="Helvetica Neue" w:cs="Helvetica Neue"/>
          <w:sz w:val="18"/>
          <w:szCs w:val="18"/>
        </w:rPr>
        <w:t xml:space="preserve">. Primeiro trimestre 2026; dados de bolsa em 31 março 2026.</w:t>
      </w:r>
    </w:p>
  </w:footnote>
  <w:footnote w:id="32">
    <w:p>
      <w:pPr>
        <w:spacing w:after="45" w:line="220" w:lineRule="auto"/>
      </w:pPr>
      <w:r>
        <w:rPr>
          <w:vertAlign w:val="superscript"/>
        </w:rPr>
        <w:footnoteRef/>
      </w:r>
      <w:r>
        <w:rPr>
          <w:rFonts w:ascii="Helvetica Neue" w:hAnsi="Helvetica Neue" w:eastAsia="Helvetica Neue" w:cs="Helvetica Neue"/>
          <w:sz w:val="18"/>
          <w:szCs w:val="18"/>
        </w:rPr>
        <w:t xml:space="preserve"> IBBA e M&amp;A Source. </w:t>
      </w:r>
      <w:hyperlink r:id="rIdGHTLink30">
        <w:r>
          <w:rPr>
            <w:rFonts w:ascii="Helvetica Neue" w:hAnsi="Helvetica Neue" w:eastAsia="Helvetica Neue" w:cs="Helvetica Neue"/>
            <w:sz w:val="18"/>
            <w:szCs w:val="18"/>
            <w:color w:val="112075"/>
            <w:u w:val="single"/>
          </w:rPr>
          <w:t xml:space="preserve">Market Pulse Q2 2026 Highlights</w:t>
        </w:r>
      </w:hyperlink>
      <w:r>
        <w:rPr>
          <w:rFonts w:ascii="Helvetica Neue" w:hAnsi="Helvetica Neue" w:eastAsia="Helvetica Neue" w:cs="Helvetica Neue"/>
          <w:sz w:val="18"/>
          <w:szCs w:val="18"/>
        </w:rPr>
        <w:t xml:space="preserve">. Segundo trimestre 2026; arquivo publicado em agosto.</w:t>
      </w:r>
    </w:p>
  </w:footnote>
  <w:footnote w:id="33">
    <w:p>
      <w:pPr>
        <w:spacing w:after="45" w:line="220" w:lineRule="auto"/>
      </w:pPr>
      <w:r>
        <w:rPr>
          <w:vertAlign w:val="superscript"/>
        </w:rPr>
        <w:footnoteRef/>
      </w:r>
      <w:r>
        <w:rPr>
          <w:rFonts w:ascii="Helvetica Neue" w:hAnsi="Helvetica Neue" w:eastAsia="Helvetica Neue" w:cs="Helvetica Neue"/>
          <w:sz w:val="18"/>
          <w:szCs w:val="18"/>
        </w:rPr>
        <w:t xml:space="preserve"> Grata. </w:t>
      </w:r>
      <w:hyperlink r:id="rIdGHTLink31">
        <w:r>
          <w:rPr>
            <w:rFonts w:ascii="Helvetica Neue" w:hAnsi="Helvetica Neue" w:eastAsia="Helvetica Neue" w:cs="Helvetica Neue"/>
            <w:sz w:val="18"/>
            <w:szCs w:val="18"/>
            <w:color w:val="112075"/>
            <w:u w:val="single"/>
          </w:rPr>
          <w:t xml:space="preserve">AI-Powered Business Development Tools</w:t>
        </w:r>
      </w:hyperlink>
      <w:r>
        <w:rPr>
          <w:rFonts w:ascii="Helvetica Neue" w:hAnsi="Helvetica Neue" w:eastAsia="Helvetica Neue" w:cs="Helvetica Neue"/>
          <w:sz w:val="18"/>
          <w:szCs w:val="18"/>
        </w:rPr>
        <w:t xml:space="preserve">. Página de produto sem data.</w:t>
      </w:r>
    </w:p>
  </w:footnote>
  <w:footnote w:id="34">
    <w:p>
      <w:pPr>
        <w:spacing w:after="45" w:line="220" w:lineRule="auto"/>
      </w:pPr>
      <w:r>
        <w:rPr>
          <w:vertAlign w:val="superscript"/>
        </w:rPr>
        <w:footnoteRef/>
      </w:r>
      <w:r>
        <w:rPr>
          <w:rFonts w:ascii="Helvetica Neue" w:hAnsi="Helvetica Neue" w:eastAsia="Helvetica Neue" w:cs="Helvetica Neue"/>
          <w:sz w:val="18"/>
          <w:szCs w:val="18"/>
        </w:rPr>
        <w:t xml:space="preserve"> Sourcescrub. </w:t>
      </w:r>
      <w:hyperlink r:id="rIdGHTLink32">
        <w:r>
          <w:rPr>
            <w:rFonts w:ascii="Helvetica Neue" w:hAnsi="Helvetica Neue" w:eastAsia="Helvetica Neue" w:cs="Helvetica Neue"/>
            <w:sz w:val="18"/>
            <w:szCs w:val="18"/>
            <w:color w:val="112075"/>
            <w:u w:val="single"/>
          </w:rPr>
          <w:t xml:space="preserve">Deal Sourcing Platform</w:t>
        </w:r>
      </w:hyperlink>
      <w:r>
        <w:rPr>
          <w:rFonts w:ascii="Helvetica Neue" w:hAnsi="Helvetica Neue" w:eastAsia="Helvetica Neue" w:cs="Helvetica Neue"/>
          <w:sz w:val="18"/>
          <w:szCs w:val="18"/>
        </w:rPr>
        <w:t xml:space="preserve">. Página de produto sem data.</w:t>
      </w:r>
    </w:p>
  </w:footnote>
  <w:footnote w:id="35">
    <w:p>
      <w:pPr>
        <w:spacing w:after="45" w:line="220" w:lineRule="auto"/>
      </w:pPr>
      <w:r>
        <w:rPr>
          <w:vertAlign w:val="superscript"/>
        </w:rPr>
        <w:footnoteRef/>
      </w:r>
      <w:r>
        <w:rPr>
          <w:rFonts w:ascii="Helvetica Neue" w:hAnsi="Helvetica Neue" w:eastAsia="Helvetica Neue" w:cs="Helvetica Neue"/>
          <w:sz w:val="18"/>
          <w:szCs w:val="18"/>
        </w:rPr>
        <w:t xml:space="preserve"> Datasite. </w:t>
      </w:r>
      <w:hyperlink r:id="rIdGHTLink33">
        <w:r>
          <w:rPr>
            <w:rFonts w:ascii="Helvetica Neue" w:hAnsi="Helvetica Neue" w:eastAsia="Helvetica Neue" w:cs="Helvetica Neue"/>
            <w:sz w:val="18"/>
            <w:szCs w:val="18"/>
            <w:color w:val="112075"/>
            <w:u w:val="single"/>
          </w:rPr>
          <w:t xml:space="preserve">Datasite to Acquire Sourcescrub Expanding Private Market Intelligence Solutions</w:t>
        </w:r>
      </w:hyperlink>
      <w:r>
        <w:rPr>
          <w:rFonts w:ascii="Helvetica Neue" w:hAnsi="Helvetica Neue" w:eastAsia="Helvetica Neue" w:cs="Helvetica Neue"/>
          <w:sz w:val="18"/>
          <w:szCs w:val="18"/>
        </w:rPr>
        <w:t xml:space="preserve">. 8 agosto 2025.</w:t>
      </w:r>
    </w:p>
  </w:footnote>
  <w:footnote w:id="36">
    <w:p>
      <w:pPr>
        <w:spacing w:after="45" w:line="220" w:lineRule="auto"/>
      </w:pPr>
      <w:r>
        <w:rPr>
          <w:vertAlign w:val="superscript"/>
        </w:rPr>
        <w:footnoteRef/>
      </w:r>
      <w:r>
        <w:rPr>
          <w:rFonts w:ascii="Helvetica Neue" w:hAnsi="Helvetica Neue" w:eastAsia="Helvetica Neue" w:cs="Helvetica Neue"/>
          <w:sz w:val="18"/>
          <w:szCs w:val="18"/>
        </w:rPr>
        <w:t xml:space="preserve"> Moody’s. </w:t>
      </w:r>
      <w:hyperlink r:id="rIdGHTLink34">
        <w:r>
          <w:rPr>
            <w:rFonts w:ascii="Helvetica Neue" w:hAnsi="Helvetica Neue" w:eastAsia="Helvetica Neue" w:cs="Helvetica Neue"/>
            <w:sz w:val="18"/>
            <w:szCs w:val="18"/>
            <w:color w:val="112075"/>
            <w:u w:val="single"/>
          </w:rPr>
          <w:t xml:space="preserve">Orbis Database Global Private Company Data</w:t>
        </w:r>
      </w:hyperlink>
      <w:r>
        <w:rPr>
          <w:rFonts w:ascii="Helvetica Neue" w:hAnsi="Helvetica Neue" w:eastAsia="Helvetica Neue" w:cs="Helvetica Neue"/>
          <w:sz w:val="18"/>
          <w:szCs w:val="18"/>
        </w:rPr>
        <w:t xml:space="preserve">. Página de produto sem data.</w:t>
      </w:r>
    </w:p>
  </w:footnote>
  <w:footnote w:id="37">
    <w:p>
      <w:pPr>
        <w:spacing w:after="45" w:line="220" w:lineRule="auto"/>
      </w:pPr>
      <w:r>
        <w:rPr>
          <w:vertAlign w:val="superscript"/>
        </w:rPr>
        <w:footnoteRef/>
      </w:r>
      <w:r>
        <w:rPr>
          <w:rFonts w:ascii="Helvetica Neue" w:hAnsi="Helvetica Neue" w:eastAsia="Helvetica Neue" w:cs="Helvetica Neue"/>
          <w:sz w:val="18"/>
          <w:szCs w:val="18"/>
        </w:rPr>
        <w:t xml:space="preserve"> Gain. </w:t>
      </w:r>
      <w:hyperlink r:id="rIdGHTLink35">
        <w:r>
          <w:rPr>
            <w:rFonts w:ascii="Helvetica Neue" w:hAnsi="Helvetica Neue" w:eastAsia="Helvetica Neue" w:cs="Helvetica Neue"/>
            <w:sz w:val="18"/>
            <w:szCs w:val="18"/>
            <w:color w:val="112075"/>
            <w:u w:val="single"/>
          </w:rPr>
          <w:t xml:space="preserve">The Private Markets Operating System for Deal Teams</w:t>
        </w:r>
      </w:hyperlink>
      <w:r>
        <w:rPr>
          <w:rFonts w:ascii="Helvetica Neue" w:hAnsi="Helvetica Neue" w:eastAsia="Helvetica Neue" w:cs="Helvetica Neue"/>
          <w:sz w:val="18"/>
          <w:szCs w:val="18"/>
        </w:rPr>
        <w:t xml:space="preserve">. Página de produto consultada em setembro 2026.</w:t>
      </w:r>
    </w:p>
  </w:footnote>
  <w:footnote w:id="38">
    <w:p>
      <w:pPr>
        <w:spacing w:after="45" w:line="220" w:lineRule="auto"/>
      </w:pPr>
      <w:r>
        <w:rPr>
          <w:vertAlign w:val="superscript"/>
        </w:rPr>
        <w:footnoteRef/>
      </w:r>
      <w:r>
        <w:rPr>
          <w:rFonts w:ascii="Helvetica Neue" w:hAnsi="Helvetica Neue" w:eastAsia="Helvetica Neue" w:cs="Helvetica Neue"/>
          <w:sz w:val="18"/>
          <w:szCs w:val="18"/>
        </w:rPr>
        <w:t xml:space="preserve"> Econodata. </w:t>
      </w:r>
      <w:hyperlink r:id="rIdGHTLink36">
        <w:r>
          <w:rPr>
            <w:rFonts w:ascii="Helvetica Neue" w:hAnsi="Helvetica Neue" w:eastAsia="Helvetica Neue" w:cs="Helvetica Neue"/>
            <w:sz w:val="18"/>
            <w:szCs w:val="18"/>
            <w:color w:val="112075"/>
            <w:u w:val="single"/>
          </w:rPr>
          <w:t xml:space="preserve">Lista de Empresas Ativas no Brasil</w:t>
        </w:r>
      </w:hyperlink>
      <w:r>
        <w:rPr>
          <w:rFonts w:ascii="Helvetica Neue" w:hAnsi="Helvetica Neue" w:eastAsia="Helvetica Neue" w:cs="Helvetica Neue"/>
          <w:sz w:val="18"/>
          <w:szCs w:val="18"/>
        </w:rPr>
        <w:t xml:space="preserve">. Página de produto sem data.</w:t>
      </w:r>
    </w:p>
  </w:footnote>
  <w:footnote w:id="39">
    <w:p>
      <w:pPr>
        <w:spacing w:after="45" w:line="220" w:lineRule="auto"/>
      </w:pPr>
      <w:r>
        <w:rPr>
          <w:vertAlign w:val="superscript"/>
        </w:rPr>
        <w:footnoteRef/>
      </w:r>
      <w:r>
        <w:rPr>
          <w:rFonts w:ascii="Helvetica Neue" w:hAnsi="Helvetica Neue" w:eastAsia="Helvetica Neue" w:cs="Helvetica Neue"/>
          <w:sz w:val="18"/>
          <w:szCs w:val="18"/>
        </w:rPr>
        <w:t xml:space="preserve"> Neoway. </w:t>
      </w:r>
      <w:hyperlink r:id="rIdGHTLink37">
        <w:r>
          <w:rPr>
            <w:rFonts w:ascii="Helvetica Neue" w:hAnsi="Helvetica Neue" w:eastAsia="Helvetica Neue" w:cs="Helvetica Neue"/>
            <w:sz w:val="18"/>
            <w:szCs w:val="18"/>
            <w:color w:val="112075"/>
            <w:u w:val="single"/>
          </w:rPr>
          <w:t xml:space="preserve">Perguntas frequentes sobre a Neoway</w:t>
        </w:r>
      </w:hyperlink>
      <w:r>
        <w:rPr>
          <w:rFonts w:ascii="Helvetica Neue" w:hAnsi="Helvetica Neue" w:eastAsia="Helvetica Neue" w:cs="Helvetica Neue"/>
          <w:sz w:val="18"/>
          <w:szCs w:val="18"/>
        </w:rPr>
        <w:t xml:space="preserve">. Página sem data.</w:t>
      </w:r>
    </w:p>
  </w:footnote>
  <w:footnote w:id="40">
    <w:p>
      <w:pPr>
        <w:spacing w:after="45" w:line="220" w:lineRule="auto"/>
      </w:pPr>
      <w:r>
        <w:rPr>
          <w:vertAlign w:val="superscript"/>
        </w:rPr>
        <w:footnoteRef/>
      </w:r>
      <w:r>
        <w:rPr>
          <w:rFonts w:ascii="Helvetica Neue" w:hAnsi="Helvetica Neue" w:eastAsia="Helvetica Neue" w:cs="Helvetica Neue"/>
          <w:sz w:val="18"/>
          <w:szCs w:val="18"/>
        </w:rPr>
        <w:t xml:space="preserve"> Affinity. </w:t>
      </w:r>
      <w:hyperlink r:id="rIdGHTLink38">
        <w:r>
          <w:rPr>
            <w:rFonts w:ascii="Helvetica Neue" w:hAnsi="Helvetica Neue" w:eastAsia="Helvetica Neue" w:cs="Helvetica Neue"/>
            <w:sz w:val="18"/>
            <w:szCs w:val="18"/>
            <w:color w:val="112075"/>
            <w:u w:val="single"/>
          </w:rPr>
          <w:t xml:space="preserve">Investment Banking CRM and Deal Management Software</w:t>
        </w:r>
      </w:hyperlink>
      <w:r>
        <w:rPr>
          <w:rFonts w:ascii="Helvetica Neue" w:hAnsi="Helvetica Neue" w:eastAsia="Helvetica Neue" w:cs="Helvetica Neue"/>
          <w:sz w:val="18"/>
          <w:szCs w:val="18"/>
        </w:rPr>
        <w:t xml:space="preserve">. Página de produto sem data.</w:t>
      </w:r>
    </w:p>
  </w:footnote>
  <w:footnote w:id="41">
    <w:p>
      <w:pPr>
        <w:spacing w:after="45" w:line="220" w:lineRule="auto"/>
      </w:pPr>
      <w:r>
        <w:rPr>
          <w:vertAlign w:val="superscript"/>
        </w:rPr>
        <w:footnoteRef/>
      </w:r>
      <w:r>
        <w:rPr>
          <w:rFonts w:ascii="Helvetica Neue" w:hAnsi="Helvetica Neue" w:eastAsia="Helvetica Neue" w:cs="Helvetica Neue"/>
          <w:sz w:val="18"/>
          <w:szCs w:val="18"/>
        </w:rPr>
        <w:t xml:space="preserve"> Intapp. </w:t>
      </w:r>
      <w:hyperlink r:id="rIdGHTLink39">
        <w:r>
          <w:rPr>
            <w:rFonts w:ascii="Helvetica Neue" w:hAnsi="Helvetica Neue" w:eastAsia="Helvetica Neue" w:cs="Helvetica Neue"/>
            <w:sz w:val="18"/>
            <w:szCs w:val="18"/>
            <w:color w:val="112075"/>
            <w:u w:val="single"/>
          </w:rPr>
          <w:t xml:space="preserve">Deal and relationship management for investment banking</w:t>
        </w:r>
      </w:hyperlink>
      <w:r>
        <w:rPr>
          <w:rFonts w:ascii="Helvetica Neue" w:hAnsi="Helvetica Neue" w:eastAsia="Helvetica Neue" w:cs="Helvetica Neue"/>
          <w:sz w:val="18"/>
          <w:szCs w:val="18"/>
        </w:rPr>
        <w:t xml:space="preserve">. Página de produto sem data.</w:t>
      </w:r>
    </w:p>
  </w:footnote>
  <w:footnote w:id="42">
    <w:p>
      <w:pPr>
        <w:spacing w:after="45" w:line="220" w:lineRule="auto"/>
      </w:pPr>
      <w:r>
        <w:rPr>
          <w:vertAlign w:val="superscript"/>
        </w:rPr>
        <w:footnoteRef/>
      </w:r>
      <w:r>
        <w:rPr>
          <w:rFonts w:ascii="Helvetica Neue" w:hAnsi="Helvetica Neue" w:eastAsia="Helvetica Neue" w:cs="Helvetica Neue"/>
          <w:sz w:val="18"/>
          <w:szCs w:val="18"/>
        </w:rPr>
        <w:t xml:space="preserve"> NIST. </w:t>
      </w:r>
      <w:hyperlink r:id="rIdGHTLink40">
        <w:r>
          <w:rPr>
            <w:rFonts w:ascii="Helvetica Neue" w:hAnsi="Helvetica Neue" w:eastAsia="Helvetica Neue" w:cs="Helvetica Neue"/>
            <w:sz w:val="18"/>
            <w:szCs w:val="18"/>
            <w:color w:val="112075"/>
            <w:u w:val="single"/>
          </w:rPr>
          <w:t xml:space="preserve">Artificial Intelligence Risk Management Framework Generative Artificial Intelligence Profile</w:t>
        </w:r>
      </w:hyperlink>
      <w:r>
        <w:rPr>
          <w:rFonts w:ascii="Helvetica Neue" w:hAnsi="Helvetica Neue" w:eastAsia="Helvetica Neue" w:cs="Helvetica Neue"/>
          <w:sz w:val="18"/>
          <w:szCs w:val="18"/>
        </w:rPr>
        <w:t xml:space="preserve">. 26 julho 2024; página atualizada 8 abril 2026.</w:t>
      </w:r>
    </w:p>
  </w:footnote>
  <w:footnote w:id="43">
    <w:p>
      <w:pPr>
        <w:spacing w:after="45" w:line="220" w:lineRule="auto"/>
      </w:pPr>
      <w:r>
        <w:rPr>
          <w:vertAlign w:val="superscript"/>
        </w:rPr>
        <w:footnoteRef/>
      </w:r>
      <w:r>
        <w:rPr>
          <w:rFonts w:ascii="Helvetica Neue" w:hAnsi="Helvetica Neue" w:eastAsia="Helvetica Neue" w:cs="Helvetica Neue"/>
          <w:sz w:val="18"/>
          <w:szCs w:val="18"/>
        </w:rPr>
        <w:t xml:space="preserve"> ANPD. </w:t>
      </w:r>
      <w:hyperlink r:id="rIdGHTLink41">
        <w:r>
          <w:rPr>
            <w:rFonts w:ascii="Helvetica Neue" w:hAnsi="Helvetica Neue" w:eastAsia="Helvetica Neue" w:cs="Helvetica Neue"/>
            <w:sz w:val="18"/>
            <w:szCs w:val="18"/>
            <w:color w:val="112075"/>
            <w:u w:val="single"/>
          </w:rPr>
          <w:t xml:space="preserve">ANPD lança Guia Orientativo sobre Legítimo Interesse</w:t>
        </w:r>
      </w:hyperlink>
      <w:r>
        <w:rPr>
          <w:rFonts w:ascii="Helvetica Neue" w:hAnsi="Helvetica Neue" w:eastAsia="Helvetica Neue" w:cs="Helvetica Neue"/>
          <w:sz w:val="18"/>
          <w:szCs w:val="18"/>
        </w:rPr>
        <w:t xml:space="preserve">. 2 fevereiro 2024.</w:t>
      </w:r>
    </w:p>
  </w:footnote>
  <w:footnote w:id="44">
    <w:p>
      <w:pPr>
        <w:spacing w:after="45" w:line="220" w:lineRule="auto"/>
      </w:pPr>
      <w:r>
        <w:rPr>
          <w:vertAlign w:val="superscript"/>
        </w:rPr>
        <w:footnoteRef/>
      </w:r>
      <w:r>
        <w:rPr>
          <w:rFonts w:ascii="Helvetica Neue" w:hAnsi="Helvetica Neue" w:eastAsia="Helvetica Neue" w:cs="Helvetica Neue"/>
          <w:sz w:val="18"/>
          <w:szCs w:val="18"/>
        </w:rPr>
        <w:t xml:space="preserve"> LinkedIn. </w:t>
      </w:r>
      <w:hyperlink r:id="rIdGHTLink42">
        <w:r>
          <w:rPr>
            <w:rFonts w:ascii="Helvetica Neue" w:hAnsi="Helvetica Neue" w:eastAsia="Helvetica Neue" w:cs="Helvetica Neue"/>
            <w:sz w:val="18"/>
            <w:szCs w:val="18"/>
            <w:color w:val="112075"/>
            <w:u w:val="single"/>
          </w:rPr>
          <w:t xml:space="preserve">User Agreement</w:t>
        </w:r>
      </w:hyperlink>
      <w:r>
        <w:rPr>
          <w:rFonts w:ascii="Helvetica Neue" w:hAnsi="Helvetica Neue" w:eastAsia="Helvetica Neue" w:cs="Helvetica Neue"/>
          <w:sz w:val="18"/>
          <w:szCs w:val="18"/>
        </w:rPr>
        <w:t xml:space="preserve">. Termos consultados em 10 setembro 2026.</w:t>
      </w:r>
    </w:p>
  </w:footnote>
  <w:footnote w:id="45">
    <w:p>
      <w:pPr>
        <w:spacing w:after="45" w:line="220" w:lineRule="auto"/>
      </w:pPr>
      <w:r>
        <w:rPr>
          <w:vertAlign w:val="superscript"/>
        </w:rPr>
        <w:footnoteRef/>
      </w:r>
      <w:r>
        <w:rPr>
          <w:rFonts w:ascii="Helvetica Neue" w:hAnsi="Helvetica Neue" w:eastAsia="Helvetica Neue" w:cs="Helvetica Neue"/>
          <w:sz w:val="18"/>
          <w:szCs w:val="18"/>
        </w:rPr>
        <w:t xml:space="preserve"> OWASP Gen AI Security Project. </w:t>
      </w:r>
      <w:hyperlink r:id="rIdGHTLink43">
        <w:r>
          <w:rPr>
            <w:rFonts w:ascii="Helvetica Neue" w:hAnsi="Helvetica Neue" w:eastAsia="Helvetica Neue" w:cs="Helvetica Neue"/>
            <w:sz w:val="18"/>
            <w:szCs w:val="18"/>
            <w:color w:val="112075"/>
            <w:u w:val="single"/>
          </w:rPr>
          <w:t xml:space="preserve">LLM01 2025 Prompt Injection</w:t>
        </w:r>
      </w:hyperlink>
      <w:r>
        <w:rPr>
          <w:rFonts w:ascii="Helvetica Neue" w:hAnsi="Helvetica Neue" w:eastAsia="Helvetica Neue" w:cs="Helvetica Neue"/>
          <w:sz w:val="18"/>
          <w:szCs w:val="18"/>
        </w:rPr>
        <w:t xml:space="preserve">. Edição 2025.</w:t>
      </w:r>
    </w:p>
  </w:footnote>
  <w:footnote w:id="46">
    <w:p>
      <w:pPr>
        <w:spacing w:after="45" w:line="220" w:lineRule="auto"/>
      </w:pPr>
      <w:r>
        <w:rPr>
          <w:vertAlign w:val="superscript"/>
        </w:rPr>
        <w:footnoteRef/>
      </w:r>
      <w:r>
        <w:rPr>
          <w:rFonts w:ascii="Helvetica Neue" w:hAnsi="Helvetica Neue" w:eastAsia="Helvetica Neue" w:cs="Helvetica Neue"/>
          <w:sz w:val="18"/>
          <w:szCs w:val="18"/>
        </w:rPr>
        <w:t xml:space="preserve"> OWASP Gen AI Security Project. </w:t>
      </w:r>
      <w:hyperlink r:id="rIdGHTLink44">
        <w:r>
          <w:rPr>
            <w:rFonts w:ascii="Helvetica Neue" w:hAnsi="Helvetica Neue" w:eastAsia="Helvetica Neue" w:cs="Helvetica Neue"/>
            <w:sz w:val="18"/>
            <w:szCs w:val="18"/>
            <w:color w:val="112075"/>
            <w:u w:val="single"/>
          </w:rPr>
          <w:t xml:space="preserve">LLM08 2025 Vector and Embedding Weaknesses</w:t>
        </w:r>
      </w:hyperlink>
      <w:r>
        <w:rPr>
          <w:rFonts w:ascii="Helvetica Neue" w:hAnsi="Helvetica Neue" w:eastAsia="Helvetica Neue" w:cs="Helvetica Neue"/>
          <w:sz w:val="18"/>
          <w:szCs w:val="18"/>
        </w:rPr>
        <w:t xml:space="preserve">. Edição 2025.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4F3B78" w14:textId="77777777">
    <w:pPr>
      <w:tabs>
        <w:tab w:val="right" w:pos="9360"/>
      </w:tabs>
      <w:rPr>
        <w:color w:val="1A1BAA"/>
        <w:sz w:val="16"/>
        <w:szCs w:val="16"/>
      </w:rPr>
    </w:pP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14:paraId="2CCD06D5" w14:textId="77777777">
      <w:tc>
        <w:tcPr>
          <w:tcW w:w="9360" w:type="dxa"/>
          <w:tcBorders>
            <w:top w:val="single" w:sz="48" w:space="0" w:color="112075"/>
            <w:left w:val="single" w:sz="8" w:space="0" w:color="FFFFFF"/>
            <w:bottom w:val="single" w:sz="8" w:space="0" w:color="FFFFFF"/>
            <w:right w:val="single" w:sz="8" w:space="0" w:color="FFFFFF"/>
          </w:tcBorders>
          <w:tcMar>
            <w:top w:w="0" w:type="dxa"/>
            <w:left w:w="0" w:type="dxa"/>
            <w:bottom w:w="0" w:type="dxa"/>
            <w:right w:w="0" w:type="dxa"/>
          </w:tcMar>
        </w:tcPr>
        <w:p w14:paraId="44A9451B" w14:textId="77777777">
          <w:pPr>
            <w:widowControl w:val="0"/>
            <w:pBdr>
              <w:top w:val="nil"/>
              <w:left w:val="nil"/>
              <w:bottom w:val="nil"/>
              <w:right w:val="nil"/>
              <w:between w:val="nil"/>
            </w:pBdr>
            <w:rPr>
              <w:color w:val="1A1BAA"/>
              <w:sz w:val="16"/>
              <w:szCs w:val="16"/>
            </w:rPr>
          </w:pPr>
        </w:p>
      </w:tc>
    </w:tr>
  </w:tbl>
  <w:p w14:paraId="508BF40B" w14:textId="77777777">
    <w:pPr>
      <w:tabs>
        <w:tab w:val="right" w:pos="9360"/>
      </w:tabs>
      <w:rPr>
        <w:b/>
        <w:bCs/>
        <w:color w:val="112075"/>
        <w:sz w:val="16"/>
        <w:szCs w:val="16"/>
      </w:rPr>
    </w:pPr>
    <w:r>
      <w:rPr>
        <w:color w:val="112075"/>
        <w:sz w:val="16"/>
        <w:szCs w:val="16"/>
      </w:rPr>
      <w:t>GHT4 Advisory</w:t>
    </w:r>
  </w:p>
  <w:p w14:paraId="241E1B98" w14:textId="77777777">
    <w:pPr>
      <w:tabs>
        <w:tab w:val="right" w:pos="9360"/>
      </w:tabs>
      <w:rPr>
        <w:b/>
        <w:bCs/>
        <w:color w:val="2224C5"/>
        <w:sz w:val="16"/>
        <w:szCs w:val="16"/>
      </w:rPr>
    </w:pPr>
  </w:p>
  <w:p w14:paraId="321568A4" w14:textId="77777777">
    <w:pPr>
      <w:tabs>
        <w:tab w:val="right" w:pos="9360"/>
      </w:tabs>
      <w:rPr>
        <w:b/>
        <w:bCs/>
        <w:color w:val="2224C5"/>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0104273">
    <w:abstractNumId w:val="1"/>
  </w:num>
  <w:num w:numId="2" w16cid:durableId="562562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80917"/>
  <w15:docId w15:val="{05643887-4187-7F4D-B23A-57FBA86AE33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80" w:after="160"/>
      <w:outlineLvl w:val="0"/>
    </w:pPr>
    <w:rPr>
      <w:rFonts w:ascii="Helvetica Neue" w:eastAsia="Helvetica Neue" w:hAnsi="Helvetica Neue" w:cs="Helvetica Neue"/>
      <w:b/>
      <w:bCs/>
      <w:color w:val="112075"/>
      <w:sz w:val="30"/>
      <w:szCs w:val="30"/>
    </w:rPr>
  </w:style>
  <w:style w:type="paragraph" w:styleId="Heading2">
    <w:name w:val="heading 2"/>
    <w:basedOn w:val="Normal"/>
    <w:next w:val="Normal"/>
    <w:uiPriority w:val="9"/>
    <w:unhideWhenUsed/>
    <w:qFormat/>
    <w:pPr>
      <w:spacing w:before="200" w:after="100"/>
      <w:outlineLvl w:val="1"/>
    </w:pPr>
    <w:rPr>
      <w:rFonts w:ascii="Helvetica Neue" w:eastAsia="Helvetica Neue" w:hAnsi="Helvetica Neue" w:cs="Helvetica Neue"/>
      <w:b/>
      <w:bCs/>
      <w:color w:val="112075"/>
    </w:rPr>
  </w:style>
  <w:style w:type="paragraph" w:styleId="Heading3">
    <w:name w:val="heading 3"/>
    <w:basedOn w:val="Normal"/>
    <w:next w:val="Normal"/>
    <w:uiPriority w:val="9"/>
    <w:unhideWhenUsed/>
    <w:qFormat/>
    <w:pPr>
      <w:pBdr>
        <w:top w:val="nil"/>
        <w:left w:val="nil"/>
        <w:bottom w:val="nil"/>
        <w:right w:val="nil"/>
        <w:between w:val="nil"/>
      </w:pBdr>
      <w:spacing w:before="140" w:after="80"/>
      <w:outlineLvl w:val="2"/>
    </w:pPr>
    <w:rPr>
      <w:b/>
      <w:bCs/>
      <w:color w:val="40404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80" w:after="160"/>
      <w:jc w:val="center"/>
    </w:pPr>
    <w:rPr>
      <w:rFonts w:ascii="Helvetica Neue" w:eastAsia="Helvetica Neue" w:hAnsi="Helvetica Neue" w:cs="Helvetica Neue"/>
      <w:b/>
      <w:bCs/>
      <w:color w:val="112075"/>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GHTLink13" Type="http://schemas.openxmlformats.org/officeDocument/2006/relationships/hyperlink" Target="https://www.bain.com/insights/capability-for-a-new-era-m-and-a-report-2026/" TargetMode="External"/><Relationship Id="rIdGHTLink14" Type="http://schemas.openxmlformats.org/officeDocument/2006/relationships/hyperlink" Target="https://www.hbs.edu/ris/Publication%20Files/15-081_9baffe73-8ec2-404f-9d62-ee0d825ca5b5.pdf" TargetMode="External"/><Relationship Id="rIdGHTLink15" Type="http://schemas.openxmlformats.org/officeDocument/2006/relationships/hyperlink" Target="https://kpmg.com/br/pt/insights/2026/08/pesquisa-trimestral-m-a-2-trimestre-2026.html" TargetMode="External"/><Relationship Id="rIdGHTLink16" Type="http://schemas.openxmlformats.org/officeDocument/2006/relationships/hyperlink" Target="https://www.kearney.com/documents/291362523/313086342/Kearney-2026-chemicals-executive-m-a-report.pdf/1b25fbbd-41a2-3555-44fd-ac4955471efd" TargetMode="External"/><Relationship Id="rIdGHTLink17" Type="http://schemas.openxmlformats.org/officeDocument/2006/relationships/hyperlink" Target="https://www.icis.com/explore/press-releases/icis-top-100-chemical-distributors-ranking-for-2026-unveiled/" TargetMode="External"/><Relationship Id="rIdGHTLink18" Type="http://schemas.openxmlformats.org/officeDocument/2006/relationships/hyperlink" Target="https://www.associquim.org.br/perfil-do-setor/" TargetMode="External"/><Relationship Id="rIdGHTLink19" Type="http://schemas.openxmlformats.org/officeDocument/2006/relationships/hyperlink" Target="https://www.associquim.org.br/o-que-e-prodir/" TargetMode="External"/><Relationship Id="rIdGHTLink20" Type="http://schemas.openxmlformats.org/officeDocument/2006/relationships/hyperlink" Target="https://www.associquim.org.br/" TargetMode="External"/><Relationship Id="rIdGHTLink21" Type="http://schemas.openxmlformats.org/officeDocument/2006/relationships/hyperlink" Target="https://www.in-cosmetics.com/latin-america/en-gb/exhibitor-directory.html" TargetMode="External"/><Relationship Id="rIdGHTLink22" Type="http://schemas.openxmlformats.org/officeDocument/2006/relationships/hyperlink" Target="https://concla.ibge.gov.br/busca-online-cnae.html?subclasse=4684201&amp;tipo=cnae&amp;versao=9&amp;view=subclasse" TargetMode="External"/><Relationship Id="rIdGHTLink23" Type="http://schemas.openxmlformats.org/officeDocument/2006/relationships/hyperlink" Target="https://www.gov.br/mdic/pt-br/assuntos/comercio-exterior/estatisticas/perguntas-frequentes-faq/2-e-possivel-consultar" TargetMode="External"/><Relationship Id="rIdGHTLink24" Type="http://schemas.openxmlformats.org/officeDocument/2006/relationships/hyperlink" Target="https://www.gov.br/mdic/pt-br/assuntos/comercio-exterior/estatisticas/base-de-dados-bruta" TargetMode="External"/><Relationship Id="rIdGHTLink25" Type="http://schemas.openxmlformats.org/officeDocument/2006/relationships/hyperlink" Target="https://www.ibge.gov.br/estatisticas/economicas/comercio/9075-pesquisa-anual-de-comercio.html" TargetMode="External"/><Relationship Id="rIdGHTLink26" Type="http://schemas.openxmlformats.org/officeDocument/2006/relationships/hyperlink" Target="https://www.gov.br/cade/pt-br/assuntos/servicos-digitais/pesquisa-avancada-do-cade-1/" TargetMode="External"/><Relationship Id="rIdGHTLink27" Type="http://schemas.openxmlformats.org/officeDocument/2006/relationships/hyperlink" Target="https://www.safic-alcan.com/en-br/media-center/safic-alcan-colormix-acquisition/" TargetMode="External"/><Relationship Id="rIdGHTLink28" Type="http://schemas.openxmlformats.org/officeDocument/2006/relationships/hyperlink" Target="https://corporate.safic-alcan.com/media-center/safic-alcan-establishes-its-presence-south-america/" TargetMode="External"/><Relationship Id="rIdGHTLink29" Type="http://schemas.openxmlformats.org/officeDocument/2006/relationships/hyperlink" Target="https://www.safic-alcan.com/en-bh/media-center/safic-alcan-continues-its-expansion-latin-america-acquisition-anders/" TargetMode="External"/><Relationship Id="rIdGHTLink30" Type="http://schemas.openxmlformats.org/officeDocument/2006/relationships/hyperlink" Target="https://corporate.brenntag.com/en/media/news/brenntag-acquires-specialty-chemicals-distributors-pic-and-pharmaspecial-expanding-pharma-and-personal-care-market-presence-in-brazil.html" TargetMode="External"/><Relationship Id="rIdGHTLink31" Type="http://schemas.openxmlformats.org/officeDocument/2006/relationships/hyperlink" Target="https://corporate.brenntag.com/en/media/news/brenntag-q2-2026-financial-results.html" TargetMode="External"/><Relationship Id="rIdGHTLink32" Type="http://schemas.openxmlformats.org/officeDocument/2006/relationships/hyperlink" Target="https://www.azelis.com/en/news/h1-2026-results-return-to-organic-growth-0" TargetMode="External"/><Relationship Id="rIdGHTLink33" Type="http://schemas.openxmlformats.org/officeDocument/2006/relationships/hyperlink" Target="https://www.imcdgroup.com/media-centre" TargetMode="External"/><Relationship Id="rIdGHTLink34" Type="http://schemas.openxmlformats.org/officeDocument/2006/relationships/hyperlink" Target="https://brasil.barentz.com/blog/artigos/barentz-tb-adquire-metachem-no-brasil/" TargetMode="External"/><Relationship Id="rIdGHTLink35" Type="http://schemas.openxmlformats.org/officeDocument/2006/relationships/hyperlink" Target="https://www.barentz.com/news-events/barentz-announces-strategic-distribution-partnership-with-iqt/" TargetMode="External"/><Relationship Id="rIdGHTLink36" Type="http://schemas.openxmlformats.org/officeDocument/2006/relationships/hyperlink" Target="https://www.caldic.com/en/News/Caldic-Latin-America-fully-integrated-and-rebranded-to-further-unlock-value-creation" TargetMode="External"/><Relationship Id="rIdGHTLink37" Type="http://schemas.openxmlformats.org/officeDocument/2006/relationships/hyperlink" Target="https://grata.com/business-development" TargetMode="External"/><Relationship Id="rIdGHTLink38" Type="http://schemas.openxmlformats.org/officeDocument/2006/relationships/hyperlink" Target="https://www.sourcescrub.com/" TargetMode="External"/><Relationship Id="rIdGHTLink39" Type="http://schemas.openxmlformats.org/officeDocument/2006/relationships/hyperlink" Target="https://www.datasite.com/en/company/news/datasite-to-merge-sourcescrub-and-grata-expanding-private-market-intelligence-solutions" TargetMode="External"/><Relationship Id="rIdGHTLink40" Type="http://schemas.openxmlformats.org/officeDocument/2006/relationships/hyperlink" Target="https://www.moodys.com/web/en/us/kyc/products/orbis-compliance.html" TargetMode="External"/><Relationship Id="rIdGHTLink41" Type="http://schemas.openxmlformats.org/officeDocument/2006/relationships/hyperlink" Target="https://www.gain.ai/product" TargetMode="External"/><Relationship Id="rIdGHTLink42" Type="http://schemas.openxmlformats.org/officeDocument/2006/relationships/hyperlink" Target="https://contrate.econodata.com.br/prospectar-lista" TargetMode="External"/><Relationship Id="rIdGHTLink43" Type="http://schemas.openxmlformats.org/officeDocument/2006/relationships/hyperlink" Target="https://www.neoway.com.br/faq" TargetMode="External"/><Relationship Id="rIdGHTLink44" Type="http://schemas.openxmlformats.org/officeDocument/2006/relationships/hyperlink" Target="https://www.affinity.co/industries/investment-banking" TargetMode="External"/><Relationship Id="rIdGHTLink45" Type="http://schemas.openxmlformats.org/officeDocument/2006/relationships/hyperlink" Target="https://www.intapp.com/investment-banking/relationship-management/" TargetMode="External"/><Relationship Id="rIdGHTLink46" Type="http://schemas.openxmlformats.org/officeDocument/2006/relationships/hyperlink" Target="https://blog.exit-planning-institute.org/key-owner-readiness-generational-soor" TargetMode="External"/><Relationship Id="rIdGHTLink47" Type="http://schemas.openxmlformats.org/officeDocument/2006/relationships/hyperlink" Target="https://www.axial.net/how-it-works/ibpartnerships/" TargetMode="External"/><Relationship Id="rIdGHTLink48" Type="http://schemas.openxmlformats.org/officeDocument/2006/relationships/hyperlink" Target="https://analysisfunction.civilservice.gov.uk/policy-store/an-introductory-guide-to-mcda/" TargetMode="External"/><Relationship Id="rIdGHTLink49" Type="http://schemas.openxmlformats.org/officeDocument/2006/relationships/hyperlink" Target="https://nvlpubs.nist.gov/nistpubs/ai/NIST.AI.600-1.pdf" TargetMode="External"/><Relationship Id="rIdGHTLink50" Type="http://schemas.openxmlformats.org/officeDocument/2006/relationships/hyperlink" Target="https://genai.owasp.org/llmrisk/llm01-prompt-injection/" TargetMode="External"/><Relationship Id="rIdGHTLink51" Type="http://schemas.openxmlformats.org/officeDocument/2006/relationships/hyperlink" Target="https://genai.owasp.org/llmrisk/llm082025-vector-and-embedding-weaknesses/" TargetMode="External"/><Relationship Id="rIdGHTLink52" Type="http://schemas.openxmlformats.org/officeDocument/2006/relationships/hyperlink" Target="https://www.lincolninternational.com/wp-content/uploads/Q1_2026-Chemicals-Quarterly-Review-vF.pdf" TargetMode="External"/><Relationship Id="rIdGHTLink53" Type="http://schemas.openxmlformats.org/officeDocument/2006/relationships/hyperlink" Target="https://www.oaklins.com/uploads/2021/02/Oaklins-Industrial-Machinery-Components-Deal-Flash-Leadec-Feb2021.pdf" TargetMode="External"/><Relationship Id="rIdGHTLink54" Type="http://schemas.openxmlformats.org/officeDocument/2006/relationships/hyperlink" Target="https://www.ibba.org/wp-content/uploads/2026/08/mp-highlights-q2-2026.pdf" TargetMode="External"/><Relationship Id="rIdGHTLink55" Type="http://schemas.openxmlformats.org/officeDocument/2006/relationships/hyperlink" Target="https://www.gov.br/anpd/pt-br/assuntos/noticias/anpd-lanca-guia-orientativo-sobre-legitimo-interesse" TargetMode="External"/><Relationship Id="rIdGHTLink56" Type="http://schemas.openxmlformats.org/officeDocument/2006/relationships/hyperlink" Target="https://www.linkedin.com/legal/user-agreement"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 standalone='yes'?>
<Relationships xmlns="http://schemas.openxmlformats.org/package/2006/relationships"><Relationship Id="rIdGHTLink1" Type="http://schemas.openxmlformats.org/officeDocument/2006/relationships/hyperlink" Target="https://www.bain.com/insights/capability-for-a-new-era-m-and-a-report-2026/" TargetMode="External"/><Relationship Id="rIdGHTLink2" Type="http://schemas.openxmlformats.org/officeDocument/2006/relationships/hyperlink" Target="https://www.hbs.edu/ris/Publication%20Files/15-081_9baffe73-8ec2-404f-9d62-ee0d825ca5b5.pdf" TargetMode="External"/><Relationship Id="rIdGHTLink3" Type="http://schemas.openxmlformats.org/officeDocument/2006/relationships/hyperlink" Target="https://kpmg.com/br/pt/insights/2026/08/pesquisa-trimestral-m-a-2-trimestre-2026.html" TargetMode="External"/><Relationship Id="rIdGHTLink4" Type="http://schemas.openxmlformats.org/officeDocument/2006/relationships/hyperlink" Target="https://www.kearney.com/documents/291362523/313086342/Kearney-2026-chemicals-executive-m-a-report.pdf/1b25fbbd-41a2-3555-44fd-ac4955471efd" TargetMode="External"/><Relationship Id="rIdGHTLink5" Type="http://schemas.openxmlformats.org/officeDocument/2006/relationships/hyperlink" Target="https://www.axial.net/how-it-works/ibpartnerships/" TargetMode="External"/><Relationship Id="rIdGHTLink6" Type="http://schemas.openxmlformats.org/officeDocument/2006/relationships/hyperlink" Target="https://blog.exit-planning-institute.org/key-owner-readiness-generational-soor" TargetMode="External"/><Relationship Id="rIdGHTLink7" Type="http://schemas.openxmlformats.org/officeDocument/2006/relationships/hyperlink" Target="https://www.oaklins.com/uploads/2021/02/Oaklins-Industrial-Machinery-Components-Deal-Flash-Leadec-Feb2021.pdf" TargetMode="External"/><Relationship Id="rIdGHTLink8" Type="http://schemas.openxmlformats.org/officeDocument/2006/relationships/hyperlink" Target="https://www.icis.com/explore/press-releases/icis-top-100-chemical-distributors-ranking-for-2026-unveiled/" TargetMode="External"/><Relationship Id="rIdGHTLink9" Type="http://schemas.openxmlformats.org/officeDocument/2006/relationships/hyperlink" Target="https://www.associquim.org.br/o-que-e-prodir/" TargetMode="External"/><Relationship Id="rIdGHTLink10" Type="http://schemas.openxmlformats.org/officeDocument/2006/relationships/hyperlink" Target="https://www.safic-alcan.com/en-br/media-center/safic-alcan-colormix-acquisition/" TargetMode="External"/><Relationship Id="rIdGHTLink11" Type="http://schemas.openxmlformats.org/officeDocument/2006/relationships/hyperlink" Target="https://www.safic-alcan.com/en-bh/media-center/safic-alcan-continues-its-expansion-latin-america-acquisition-anders/" TargetMode="External"/><Relationship Id="rIdGHTLink12" Type="http://schemas.openxmlformats.org/officeDocument/2006/relationships/hyperlink" Target="https://corporate.brenntag.com/en/media/news/brenntag-acquires-specialty-chemicals-distributors-pic-and-pharmaspecial-expanding-pharma-and-personal-care-market-presence-in-brazil.html" TargetMode="External"/><Relationship Id="rIdGHTLink13" Type="http://schemas.openxmlformats.org/officeDocument/2006/relationships/hyperlink" Target="https://corporate.brenntag.com/en/media/news/brenntag-q2-2026-financial-results.html" TargetMode="External"/><Relationship Id="rIdGHTLink14" Type="http://schemas.openxmlformats.org/officeDocument/2006/relationships/hyperlink" Target="https://www.azelis.com/en/news/h1-2026-results-return-to-organic-growth-0" TargetMode="External"/><Relationship Id="rIdGHTLink15" Type="http://schemas.openxmlformats.org/officeDocument/2006/relationships/hyperlink" Target="https://www.imcdgroup.com/media-centre" TargetMode="External"/><Relationship Id="rIdGHTLink16" Type="http://schemas.openxmlformats.org/officeDocument/2006/relationships/hyperlink" Target="https://brasil.barentz.com/blog/artigos/barentz-tb-adquire-metachem-no-brasil/" TargetMode="External"/><Relationship Id="rIdGHTLink17" Type="http://schemas.openxmlformats.org/officeDocument/2006/relationships/hyperlink" Target="https://www.barentz.com/news-events/barentz-announces-strategic-distribution-partnership-with-iqt/" TargetMode="External"/><Relationship Id="rIdGHTLink18" Type="http://schemas.openxmlformats.org/officeDocument/2006/relationships/hyperlink" Target="https://www.caldic.com/en/News/Caldic-Latin-America-fully-integrated-and-rebranded-to-further-unlock-value-creation" TargetMode="External"/><Relationship Id="rIdGHTLink19" Type="http://schemas.openxmlformats.org/officeDocument/2006/relationships/hyperlink" Target="https://corporate.safic-alcan.com/media-center/safic-alcan-establishes-its-presence-south-america/" TargetMode="External"/><Relationship Id="rIdGHTLink20" Type="http://schemas.openxmlformats.org/officeDocument/2006/relationships/hyperlink" Target="https://www.associquim.org.br/" TargetMode="External"/><Relationship Id="rIdGHTLink21" Type="http://schemas.openxmlformats.org/officeDocument/2006/relationships/hyperlink" Target="https://www.in-cosmetics.com/latin-america/en-gb/exhibitor-directory.html" TargetMode="External"/><Relationship Id="rIdGHTLink22" Type="http://schemas.openxmlformats.org/officeDocument/2006/relationships/hyperlink" Target="https://concla.ibge.gov.br/busca-online-cnae.html?subclasse=4684201&amp;tipo=cnae&amp;versao=9&amp;view=subclasse" TargetMode="External"/><Relationship Id="rIdGHTLink23" Type="http://schemas.openxmlformats.org/officeDocument/2006/relationships/hyperlink" Target="https://www.gov.br/mdic/pt-br/assuntos/comercio-exterior/estatisticas/perguntas-frequentes-faq/2-e-possivel-consultar" TargetMode="External"/><Relationship Id="rIdGHTLink24" Type="http://schemas.openxmlformats.org/officeDocument/2006/relationships/hyperlink" Target="https://www.gov.br/mdic/pt-br/assuntos/comercio-exterior/estatisticas/base-de-dados-bruta" TargetMode="External"/><Relationship Id="rIdGHTLink25" Type="http://schemas.openxmlformats.org/officeDocument/2006/relationships/hyperlink" Target="https://www.ibge.gov.br/estatisticas/economicas/comercio/9075-pesquisa-anual-de-comercio.html" TargetMode="External"/><Relationship Id="rIdGHTLink26" Type="http://schemas.openxmlformats.org/officeDocument/2006/relationships/hyperlink" Target="https://www.gov.br/cade/pt-br/assuntos/servicos-digitais/pesquisa-avancada-do-cade-1/" TargetMode="External"/><Relationship Id="rIdGHTLink27" Type="http://schemas.openxmlformats.org/officeDocument/2006/relationships/hyperlink" Target="https://analysisfunction.civilservice.gov.uk/policy-store/an-introductory-guide-to-mcda/" TargetMode="External"/><Relationship Id="rIdGHTLink28" Type="http://schemas.openxmlformats.org/officeDocument/2006/relationships/hyperlink" Target="https://www.associquim.org.br/perfil-do-setor/" TargetMode="External"/><Relationship Id="rIdGHTLink29" Type="http://schemas.openxmlformats.org/officeDocument/2006/relationships/hyperlink" Target="https://www.lincolninternational.com/wp-content/uploads/Q1_2026-Chemicals-Quarterly-Review-vF.pdf" TargetMode="External"/><Relationship Id="rIdGHTLink30" Type="http://schemas.openxmlformats.org/officeDocument/2006/relationships/hyperlink" Target="https://www.ibba.org/wp-content/uploads/2026/08/mp-highlights-q2-2026.pdf" TargetMode="External"/><Relationship Id="rIdGHTLink31" Type="http://schemas.openxmlformats.org/officeDocument/2006/relationships/hyperlink" Target="https://grata.com/business-development" TargetMode="External"/><Relationship Id="rIdGHTLink32" Type="http://schemas.openxmlformats.org/officeDocument/2006/relationships/hyperlink" Target="https://www.sourcescrub.com/" TargetMode="External"/><Relationship Id="rIdGHTLink33" Type="http://schemas.openxmlformats.org/officeDocument/2006/relationships/hyperlink" Target="https://www.datasite.com/en/company/news/datasite-to-merge-sourcescrub-and-grata-expanding-private-market-intelligence-solutions" TargetMode="External"/><Relationship Id="rIdGHTLink34" Type="http://schemas.openxmlformats.org/officeDocument/2006/relationships/hyperlink" Target="https://www.moodys.com/web/en/us/kyc/products/orbis-compliance.html" TargetMode="External"/><Relationship Id="rIdGHTLink35" Type="http://schemas.openxmlformats.org/officeDocument/2006/relationships/hyperlink" Target="https://www.gain.ai/product" TargetMode="External"/><Relationship Id="rIdGHTLink36" Type="http://schemas.openxmlformats.org/officeDocument/2006/relationships/hyperlink" Target="https://contrate.econodata.com.br/prospectar-lista" TargetMode="External"/><Relationship Id="rIdGHTLink37" Type="http://schemas.openxmlformats.org/officeDocument/2006/relationships/hyperlink" Target="https://www.neoway.com.br/faq" TargetMode="External"/><Relationship Id="rIdGHTLink38" Type="http://schemas.openxmlformats.org/officeDocument/2006/relationships/hyperlink" Target="https://www.affinity.co/industries/investment-banking" TargetMode="External"/><Relationship Id="rIdGHTLink39" Type="http://schemas.openxmlformats.org/officeDocument/2006/relationships/hyperlink" Target="https://www.intapp.com/investment-banking/relationship-management/" TargetMode="External"/><Relationship Id="rIdGHTLink40" Type="http://schemas.openxmlformats.org/officeDocument/2006/relationships/hyperlink" Target="https://nvlpubs.nist.gov/nistpubs/ai/NIST.AI.600-1.pdf" TargetMode="External"/><Relationship Id="rIdGHTLink41" Type="http://schemas.openxmlformats.org/officeDocument/2006/relationships/hyperlink" Target="https://www.gov.br/anpd/pt-br/assuntos/noticias/anpd-lanca-guia-orientativo-sobre-legitimo-interesse" TargetMode="External"/><Relationship Id="rIdGHTLink42" Type="http://schemas.openxmlformats.org/officeDocument/2006/relationships/hyperlink" Target="https://www.linkedin.com/legal/user-agreement" TargetMode="External"/><Relationship Id="rIdGHTLink43" Type="http://schemas.openxmlformats.org/officeDocument/2006/relationships/hyperlink" Target="https://genai.owasp.org/llmrisk/llm01-prompt-injection/" TargetMode="External"/><Relationship Id="rIdGHTLink44" Type="http://schemas.openxmlformats.org/officeDocument/2006/relationships/hyperlink" Target="https://genai.owasp.org/llmrisk/llm082025-vector-and-embedding-weaknes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