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color w:val="0F4C3A"/>
          <w:sz w:val="32"/>
          <w:szCs w:val="32"/>
        </w:rPr>
        <w:t xml:space="preserve">CFEE, BFEM, BAC 2026</w:t>
      </w:r>
    </w:p>
    <w:p>
      <w:pPr>
        <w:spacing w:after="340"/>
        <w:jc w:val="center"/>
      </w:pPr>
      <w:r>
        <w:rPr>
          <w:rFonts w:ascii="Times New Roman" w:cs="Times New Roman" w:eastAsia="Times New Roman" w:hAnsi="Times New Roman"/>
          <w:b/>
          <w:bCs/>
          <w:i/>
          <w:iCs/>
          <w:color w:val="D4A017"/>
          <w:sz w:val="25"/>
          <w:szCs w:val="25"/>
        </w:rPr>
        <w:t xml:space="preserve">Une même embellie, trois trajectoires très différentes</w:t>
      </w:r>
    </w:p>
    <w:p>
      <w:pPr>
        <w:spacing w:after="160" w:before="260"/>
      </w:pPr>
      <w:r>
        <w:rPr>
          <w:rFonts w:ascii="Times New Roman" w:cs="Times New Roman" w:eastAsia="Times New Roman" w:hAnsi="Times New Roman"/>
          <w:b/>
          <w:bCs/>
          <w:i w:val="false"/>
          <w:iCs w:val="false"/>
          <w:color w:val="0F4C3A"/>
          <w:sz w:val="27"/>
          <w:szCs w:val="27"/>
        </w:rPr>
        <w:t xml:space="preserve">1. Trois examens, une même année, trois trajectoires</w:t>
      </w:r>
    </w:p>
    <w:p>
      <w:pPr>
        <w:spacing w:after="180" w:line="276"/>
        <w:jc w:val="both"/>
      </w:pPr>
      <w:r>
        <w:rPr>
          <w:rFonts w:ascii="Times New Roman" w:cs="Times New Roman" w:eastAsia="Times New Roman" w:hAnsi="Times New Roman"/>
          <w:b w:val="false"/>
          <w:bCs w:val="false"/>
          <w:i w:val="false"/>
          <w:iCs w:val="false"/>
          <w:sz w:val="24"/>
          <w:szCs w:val="24"/>
        </w:rPr>
        <w:t xml:space="preserve">La session 2026 des examens nationaux restera comme une année de records. Le Certificat de fin d'études élémentaires (CFEE), le Brevet de fin d'études moyennes (BFEM) et le Baccalauréat progressent tous les trois par rapport à 2025. Mais l'ampleur de cette progression varie du simple au sextuple selon l'examen considéré, ce qui interdit de parler d'une embellie uniforme du système éducatif sénégalais.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Examen</w:t>
            </w:r>
          </w:p>
        </w:tc>
        <w:tc>
          <w:tcPr>
            <w:tcW w:type="dxa" w:w="22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2025</w:t>
            </w:r>
          </w:p>
        </w:tc>
        <w:tc>
          <w:tcPr>
            <w:tcW w:type="dxa" w:w="22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2026</w:t>
            </w:r>
          </w:p>
        </w:tc>
        <w:tc>
          <w:tcPr>
            <w:tcW w:type="dxa" w:w="22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Évolution</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CFEE</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21"/>
                <w:szCs w:val="21"/>
              </w:rPr>
              <w:t xml:space="preserve">70,73%</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94,49%</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F4C3A"/>
                <w:sz w:val="21"/>
                <w:szCs w:val="21"/>
              </w:rPr>
              <w:t xml:space="preserve">+ 23,76 pts</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BFEM</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21"/>
                <w:szCs w:val="21"/>
              </w:rPr>
              <w:t xml:space="preserve">78,90%</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83,05%</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F4C3A"/>
                <w:sz w:val="21"/>
                <w:szCs w:val="21"/>
              </w:rPr>
              <w:t xml:space="preserve">+ 4,15 pts</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Baccalauréat</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21"/>
                <w:szCs w:val="21"/>
              </w:rPr>
              <w:t xml:space="preserve">47,62%</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55,02%</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F4C3A"/>
                <w:sz w:val="21"/>
                <w:szCs w:val="21"/>
              </w:rPr>
              <w:t xml:space="preserve">+ 7,40 pts</w:t>
            </w:r>
          </w:p>
        </w:tc>
      </w:tr>
    </w:tbl>
    <w:p>
      <w:pPr>
        <w:spacing w:after="200" w:before="100"/>
      </w:pPr>
    </w:p>
    <w:p>
      <w:pPr>
        <w:spacing w:after="160"/>
        <w:jc w:val="both"/>
      </w:pPr>
      <w:r>
        <w:rPr>
          <w:rFonts w:ascii="Times New Roman" w:cs="Times New Roman" w:eastAsia="Times New Roman" w:hAnsi="Times New Roman"/>
          <w:b w:val="false"/>
          <w:bCs w:val="false"/>
          <w:i/>
          <w:iCs/>
          <w:color w:val="555555"/>
          <w:sz w:val="21"/>
          <w:szCs w:val="21"/>
        </w:rPr>
        <w:t xml:space="preserve">Sources : Direction des Examens et Concours (Dexco) pour le CFEE et le BFEM, Office du Baccalauréat et Ministère de l'Enseignement supérieur pour le Bac. Taux calculés sur les candidats ayant composé, hors absents.</w:t>
      </w:r>
    </w:p>
    <w:p>
      <w:pPr>
        <w:spacing w:after="160" w:before="260"/>
      </w:pPr>
      <w:r>
        <w:rPr>
          <w:rFonts w:ascii="Times New Roman" w:cs="Times New Roman" w:eastAsia="Times New Roman" w:hAnsi="Times New Roman"/>
          <w:b/>
          <w:bCs/>
          <w:i w:val="false"/>
          <w:iCs w:val="false"/>
          <w:color w:val="0F4C3A"/>
          <w:sz w:val="27"/>
          <w:szCs w:val="27"/>
        </w:rPr>
        <w:t xml:space="preserve">2. Cinq années de recul, une tout autre lecture</w:t>
      </w:r>
    </w:p>
    <w:p>
      <w:pPr>
        <w:spacing w:after="180" w:line="276"/>
        <w:jc w:val="both"/>
      </w:pPr>
      <w:r>
        <w:rPr>
          <w:rFonts w:ascii="Times New Roman" w:cs="Times New Roman" w:eastAsia="Times New Roman" w:hAnsi="Times New Roman"/>
          <w:b w:val="false"/>
          <w:bCs w:val="false"/>
          <w:i w:val="false"/>
          <w:iCs w:val="false"/>
          <w:sz w:val="24"/>
          <w:szCs w:val="24"/>
        </w:rPr>
        <w:t xml:space="preserve">La chronologie de publication mérite d'être précisée, car elle prête facilement à confusion. Le CFEE a livré ses résultats le 29 juin 2026. Le Bac a ouvert le bal des deux autres examens avec son premier tour le 8 juillet, suivi du premier tour du BFEM le 18 juillet. Mais dans l'ordre des résultats définitifs, celui qui compte pour juger une session complète, le BFEM a tranché le premier, le 23 juillet, quand le Bac n'a clôturé sa session, tous groupes confondus, que le 31 juillet. Le Bac ouvre donc la marche au premier tour, le BFEM la referme le premier en définitif.</w:t>
      </w:r>
    </w:p>
    <w:p>
      <w:pPr>
        <w:spacing w:after="180" w:line="276"/>
        <w:jc w:val="both"/>
      </w:pPr>
      <w:r>
        <w:rPr>
          <w:rFonts w:ascii="Times New Roman" w:cs="Times New Roman" w:eastAsia="Times New Roman" w:hAnsi="Times New Roman"/>
          <w:b w:val="false"/>
          <w:bCs w:val="false"/>
          <w:i w:val="false"/>
          <w:iCs w:val="false"/>
          <w:sz w:val="24"/>
          <w:szCs w:val="24"/>
        </w:rPr>
        <w:t xml:space="preserve">Comparer 2026 à la seule année 2025 donne par ailleurs une image trompeuse. Il faut regarder plus loin en arrière pour savoir si cette session confirme une dynamique installée ou si elle rompt, au contraire, avec les années précédentes. La réponse diffère radicalement d'un examen à l'autre.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tblGrid>
      <w:tr>
        <w:tc>
          <w:tcPr>
            <w:tcW w:type="dxa" w:w="16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CFEE</w:t>
            </w:r>
          </w:p>
        </w:tc>
        <w:tc>
          <w:tcPr>
            <w:tcW w:type="dxa" w:w="16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2021</w:t>
            </w:r>
          </w:p>
        </w:tc>
        <w:tc>
          <w:tcPr>
            <w:tcW w:type="dxa" w:w="16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2022</w:t>
            </w:r>
          </w:p>
        </w:tc>
        <w:tc>
          <w:tcPr>
            <w:tcW w:type="dxa" w:w="16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2024</w:t>
            </w:r>
          </w:p>
        </w:tc>
        <w:tc>
          <w:tcPr>
            <w:tcW w:type="dxa" w:w="16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2025</w:t>
            </w:r>
          </w:p>
        </w:tc>
        <w:tc>
          <w:tcPr>
            <w:tcW w:type="dxa" w:w="160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2026</w:t>
            </w:r>
          </w:p>
        </w:tc>
      </w:tr>
      <w:tr>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Taux</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62,15%</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73,80%</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82,08%</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70,73%</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94,49%</w:t>
            </w:r>
          </w:p>
        </w:tc>
      </w:tr>
      <w:tr>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Évolution</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+ 11,65</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+ 8,28</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B00020"/>
                <w:sz w:val="21"/>
                <w:szCs w:val="21"/>
              </w:rPr>
              <w:t xml:space="preserve">- 11,35</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+ 23,76</w:t>
            </w:r>
          </w:p>
        </w:tc>
      </w:tr>
    </w:tbl>
    <w:p>
      <w:pPr>
        <w:spacing w:after="160" w:before="100"/>
      </w:pPr>
    </w:p>
    <w:p>
      <w:pPr>
        <w:spacing w:after="180" w:line="276"/>
        <w:jc w:val="both"/>
      </w:pPr>
      <w:r>
        <w:rPr>
          <w:rFonts w:ascii="Times New Roman" w:cs="Times New Roman" w:eastAsia="Times New Roman" w:hAnsi="Times New Roman"/>
          <w:b w:val="false"/>
          <w:bCs w:val="false"/>
          <w:i w:val="false"/>
          <w:iCs w:val="false"/>
          <w:sz w:val="24"/>
          <w:szCs w:val="24"/>
        </w:rPr>
        <w:t xml:space="preserve">Le CFEE ne suit aucune trajectoire régulière d'une session à l'autre. Après une progression continue entre 2021 et 2024, portée jusqu'à 82,08%, le taux recule à 70,73% en 2025 avant de bondir à 94,49% en 2026, un niveau jamais enregistré. Cette variabilité s'explique en bonne partie par des changements de format d'une session à l'autre, notamment la suppression récente du concours d'entrée en sixième, plutôt que par une instabilité de la qualité des apprentissages eux-mêmes. Elle invite simplement à lire chaque record dans son contexte précis plutôt qu'en valeur absolue.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c>
          <w:tcPr>
            <w:tcW w:type="dxa" w:w="192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BFEM</w:t>
            </w:r>
          </w:p>
        </w:tc>
        <w:tc>
          <w:tcPr>
            <w:tcW w:type="dxa" w:w="192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2023</w:t>
            </w:r>
          </w:p>
        </w:tc>
        <w:tc>
          <w:tcPr>
            <w:tcW w:type="dxa" w:w="192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2024</w:t>
            </w:r>
          </w:p>
        </w:tc>
        <w:tc>
          <w:tcPr>
            <w:tcW w:type="dxa" w:w="192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2025</w:t>
            </w:r>
          </w:p>
        </w:tc>
        <w:tc>
          <w:tcPr>
            <w:tcW w:type="dxa" w:w="1920"/>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2026</w:t>
            </w:r>
          </w:p>
        </w:tc>
      </w:tr>
      <w:tr>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Taux</w:t>
            </w:r>
          </w:p>
        </w:tc>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76,30%</w:t>
            </w:r>
          </w:p>
        </w:tc>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73,94%</w:t>
            </w:r>
          </w:p>
        </w:tc>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78,59%</w:t>
            </w:r>
          </w:p>
        </w:tc>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83,05%</w:t>
            </w:r>
          </w:p>
        </w:tc>
      </w:tr>
      <w:tr>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Évolution</w:t>
            </w:r>
          </w:p>
        </w:tc>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w:r>
          </w:p>
        </w:tc>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B00020"/>
                <w:sz w:val="21"/>
                <w:szCs w:val="21"/>
              </w:rPr>
              <w:t xml:space="preserve">- 2,36</w:t>
            </w:r>
          </w:p>
        </w:tc>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+ 4,65</w:t>
            </w:r>
          </w:p>
        </w:tc>
        <w:tc>
          <w:tcPr>
            <w:tcW w:type="dxa" w:w="192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+ 4,46</w:t>
            </w:r>
          </w:p>
        </w:tc>
      </w:tr>
    </w:tbl>
    <w:p>
      <w:pPr>
        <w:spacing w:after="160" w:before="100"/>
      </w:pPr>
    </w:p>
    <w:p>
      <w:pPr>
        <w:spacing w:after="180" w:line="276"/>
        <w:jc w:val="both"/>
      </w:pPr>
      <w:r>
        <w:rPr>
          <w:rFonts w:ascii="Times New Roman" w:cs="Times New Roman" w:eastAsia="Times New Roman" w:hAnsi="Times New Roman"/>
          <w:b w:val="false"/>
          <w:bCs w:val="false"/>
          <w:i w:val="false"/>
          <w:iCs w:val="false"/>
          <w:sz w:val="24"/>
          <w:szCs w:val="24"/>
        </w:rPr>
        <w:t xml:space="preserve">Le BFEM a un profil différent. Une baisse en 2024, suivie de deux hausses consécutives d'ampleur comparable en 2025 et en 2026, dessine une dynamique plus lisible et plus modérée. C'est, des trois examens, celui dont la progression ressemble le plus à une amélioration installée plutôt qu'à un accident statistique.</w:t>
      </w:r>
    </w:p>
    <w:tbl>
      <w:tblPr>
        <w:tblW w:type="dxa" w:w="9597"/>
        <w:tblBorders>
          <w:top w:val="single" w:color="auto" w:sz="4"/>
          <w:left w:val="single" w:color="auto" w:sz="4"/>
          <w:bottom w:val="single" w:color="auto" w:sz="4"/>
          <w:right w:val="single" w:color="auto" w:sz="4"/>
          <w:insideH w:val="single" w:color="auto" w:sz="4"/>
          <w:insideV w:val="single" w:color="auto" w:sz="4"/>
        </w:tblBorders>
      </w:tblPr>
      <w:tblGrid>
        <w:gridCol w:w="1371"/>
        <w:gridCol w:w="1371"/>
        <w:gridCol w:w="1371"/>
        <w:gridCol w:w="1371"/>
        <w:gridCol w:w="1371"/>
        <w:gridCol w:w="1371"/>
        <w:gridCol w:w="1371"/>
      </w:tblGrid>
      <w:tr>
        <w:tc>
          <w:tcPr>
            <w:tcW w:type="dxa" w:w="1371"/>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Bac</w:t>
            </w:r>
          </w:p>
        </w:tc>
        <w:tc>
          <w:tcPr>
            <w:tcW w:type="dxa" w:w="1371"/>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2021</w:t>
            </w:r>
          </w:p>
        </w:tc>
        <w:tc>
          <w:tcPr>
            <w:tcW w:type="dxa" w:w="1371"/>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2022</w:t>
            </w:r>
          </w:p>
        </w:tc>
        <w:tc>
          <w:tcPr>
            <w:tcW w:type="dxa" w:w="1371"/>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2023</w:t>
            </w:r>
          </w:p>
        </w:tc>
        <w:tc>
          <w:tcPr>
            <w:tcW w:type="dxa" w:w="1371"/>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2024</w:t>
            </w:r>
          </w:p>
        </w:tc>
        <w:tc>
          <w:tcPr>
            <w:tcW w:type="dxa" w:w="1371"/>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2025</w:t>
            </w:r>
          </w:p>
        </w:tc>
        <w:tc>
          <w:tcPr>
            <w:tcW w:type="dxa" w:w="1371"/>
            <w:shd w:fill="0F4C3A"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1"/>
                <w:szCs w:val="21"/>
              </w:rPr>
              <w:t xml:space="preserve">2026</w:t>
            </w:r>
          </w:p>
        </w:tc>
      </w:tr>
      <w:tr>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Taux</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38,13%</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51,99%</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51,61%</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50,50%</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47,62%</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55,02%</w:t>
            </w:r>
          </w:p>
        </w:tc>
      </w:tr>
      <w:tr>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21"/>
                <w:szCs w:val="21"/>
              </w:rPr>
              <w:t xml:space="preserve">Évolution</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+ 13,86</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B00020"/>
                <w:sz w:val="21"/>
                <w:szCs w:val="21"/>
              </w:rPr>
              <w:t xml:space="preserve">- 0,38</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B00020"/>
                <w:sz w:val="21"/>
                <w:szCs w:val="21"/>
              </w:rPr>
              <w:t xml:space="preserve">- 1,11</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B00020"/>
                <w:sz w:val="21"/>
                <w:szCs w:val="21"/>
              </w:rPr>
              <w:t xml:space="preserve">- 2,88</w:t>
            </w:r>
          </w:p>
        </w:tc>
        <w:tc>
          <w:tcPr>
            <w:tcW w:type="dxa" w:w="1371"/>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F4C3A"/>
                <w:sz w:val="21"/>
                <w:szCs w:val="21"/>
              </w:rPr>
              <w:t xml:space="preserve">+ 7,40</w:t>
            </w:r>
          </w:p>
        </w:tc>
      </w:tr>
    </w:tbl>
    <w:p>
      <w:pPr>
        <w:spacing w:after="160" w:before="100"/>
      </w:pPr>
    </w:p>
    <w:p>
      <w:pPr>
        <w:spacing w:after="180" w:line="276"/>
        <w:jc w:val="both"/>
      </w:pPr>
      <w:r>
        <w:rPr>
          <w:rFonts w:ascii="Times New Roman" w:cs="Times New Roman" w:eastAsia="Times New Roman" w:hAnsi="Times New Roman"/>
          <w:b w:val="false"/>
          <w:bCs w:val="false"/>
          <w:i w:val="false"/>
          <w:iCs w:val="false"/>
          <w:sz w:val="24"/>
          <w:szCs w:val="24"/>
        </w:rPr>
        <w:t xml:space="preserve">Le Bac raconte une troisième histoire. Après un bond en 2022, l'examen entame trois années consécutives de baisse, jusqu'à 47,62% en 2025, son niveau le plus faible depuis 2021. La hausse de 2026 n'est donc pas la poursuite d'une tendance mais un rattrapage : elle ramène le taux national à peine au-dessus du pic de 2022, quatre ans plus tôt. Sur les cinq dernières années, le Bac sénégalais a globalement stagné entre 48% et 55%, ce qui doit tempérer le satisfecit d'une progression somme toute modeste ramenée à l'échelle du quinquennat.</w:t>
      </w:r>
    </w:p>
    <w:p>
      <w:pPr>
        <w:spacing w:after="180" w:line="276"/>
        <w:jc w:val="both"/>
      </w:pPr>
      <w:r>
        <w:rPr>
          <w:rFonts w:ascii="Times New Roman" w:cs="Times New Roman" w:eastAsia="Times New Roman" w:hAnsi="Times New Roman"/>
          <w:b w:val="false"/>
          <w:bCs w:val="false"/>
          <w:i w:val="false"/>
          <w:iCs w:val="false"/>
          <w:sz w:val="24"/>
          <w:szCs w:val="24"/>
        </w:rPr>
        <w:t xml:space="preserve">Au total, aucun des trois examens ne progresse de façon linéaire depuis plusieurs années. Le BFEM s'en rapproche le plus, avec deux hausses consécutives qui traduisent un travail de fond engagé depuis 2024. Le Bac se redresse après un recul prolongé, porté par les réformes récentes de sécurisation et d'accompagnement. Le CFEE, avec son bond de 2026, marque une rupture positive nette qu'il reste utile de documenter précisément, pour capitaliser sur ce qui a fonctionné et le reproduire les années suivantes.</w:t>
      </w:r>
    </w:p>
    <w:p>
      <w:pPr>
        <w:spacing w:after="160" w:before="260"/>
      </w:pPr>
      <w:r>
        <w:rPr>
          <w:rFonts w:ascii="Times New Roman" w:cs="Times New Roman" w:eastAsia="Times New Roman" w:hAnsi="Times New Roman"/>
          <w:b/>
          <w:bCs/>
          <w:i w:val="false"/>
          <w:iCs w:val="false"/>
          <w:color w:val="0F4C3A"/>
          <w:sz w:val="27"/>
          <w:szCs w:val="27"/>
        </w:rPr>
        <w:t xml:space="preserve">3. Le CFEE : un record qui s'explique</w:t>
      </w:r>
    </w:p>
    <w:p>
      <w:pPr>
        <w:spacing w:after="180" w:line="276"/>
        <w:jc w:val="both"/>
      </w:pPr>
      <w:r>
        <w:rPr>
          <w:rFonts w:ascii="Times New Roman" w:cs="Times New Roman" w:eastAsia="Times New Roman" w:hAnsi="Times New Roman"/>
          <w:b w:val="false"/>
          <w:bCs w:val="false"/>
          <w:i w:val="false"/>
          <w:iCs w:val="false"/>
          <w:sz w:val="24"/>
          <w:szCs w:val="24"/>
        </w:rPr>
        <w:t xml:space="preserve">Sur 306 484 élèves inscrits, 302 809 ont composé les 17 et 18 juin, soit un taux de présence de 98,80%. Parmi eux, 286 131 ont obtenu leur diplôme, portant le taux national à 94,49%.</w:t>
      </w:r>
    </w:p>
    <w:p>
      <w:pPr>
        <w:spacing w:after="180" w:line="276"/>
        <w:jc w:val="both"/>
      </w:pPr>
      <w:r>
        <w:rPr>
          <w:rFonts w:ascii="Times New Roman" w:cs="Times New Roman" w:eastAsia="Times New Roman" w:hAnsi="Times New Roman"/>
          <w:b w:val="false"/>
          <w:bCs w:val="false"/>
          <w:i w:val="false"/>
          <w:iCs w:val="false"/>
          <w:sz w:val="24"/>
          <w:szCs w:val="24"/>
        </w:rPr>
        <w:t xml:space="preserve">Ce chiffre national masque cependant de vrais écarts entre académies. Sédhiou ferme la marche avec 89,55%, suivie de Diourbel (91,04%) et Louga (91,31%), tandis que Matam culmine à 98,56%, devant Kolda (97,65%) et Tambacounda (97,32%). Près de 9 points séparent donc l'académie la plus faible de la plus forte, la même année, sur le même examen, ce qui montre que le CFEE conserve toute sa valeur comme outil de pilotage territorial, y compris dans une session record.</w:t>
      </w:r>
    </w:p>
    <w:p>
      <w:pPr>
        <w:spacing w:after="180" w:line="276"/>
        <w:jc w:val="both"/>
      </w:pPr>
      <w:r>
        <w:rPr>
          <w:rFonts w:ascii="Times New Roman" w:cs="Times New Roman" w:eastAsia="Times New Roman" w:hAnsi="Times New Roman"/>
          <w:b w:val="false"/>
          <w:bCs w:val="false"/>
          <w:i w:val="false"/>
          <w:iCs w:val="false"/>
          <w:sz w:val="24"/>
          <w:szCs w:val="24"/>
        </w:rPr>
        <w:t xml:space="preserve">Trois facteurs bien documentés permettent d'expliquer cette progression. Le premier tient à une distinction de fond que la réforme a clarifiée plutôt qu'estompée : la suppression du concours d'entrée en sixième retire au CFEE sa fonction de sélection, mais ne retire rien à sa fonction de certification, qui reste entière. Le directeur des Examens et Concours, Papa Baba Diassé, résume cette clarification sans détour, une incohérence existait à organiser simultanément un examen de certification et un concours de sélection au sein du même dispositif.</w:t>
      </w:r>
    </w:p>
    <w:p>
      <w:pPr>
        <w:spacing w:after="180" w:line="276"/>
        <w:jc w:val="both"/>
      </w:pPr>
      <w:r>
        <w:rPr>
          <w:rFonts w:ascii="Times New Roman" w:cs="Times New Roman" w:eastAsia="Times New Roman" w:hAnsi="Times New Roman"/>
          <w:b w:val="false"/>
          <w:bCs w:val="false"/>
          <w:i w:val="false"/>
          <w:iCs w:val="false"/>
          <w:sz w:val="24"/>
          <w:szCs w:val="24"/>
        </w:rPr>
        <w:t xml:space="preserve">Le deuxième facteur est organisationnel. La session 2026 a généralisé le dispositif CFEE dans le centre, qui décentralise la correction et la délibération dans chacun des 2 081 centres d'examen, via la plateforme numérique Anadole et une authentification par code QR. Le processus, auparavant centralisé et étalé sur près d'un mois, tient désormais en moins de dix jours, ce qui renforce la traçabilité plutôt que de relâcher l'exigence.</w:t>
      </w:r>
    </w:p>
    <w:p>
      <w:pPr>
        <w:spacing w:after="180" w:line="276"/>
        <w:jc w:val="both"/>
      </w:pPr>
      <w:r>
        <w:rPr>
          <w:rFonts w:ascii="Times New Roman" w:cs="Times New Roman" w:eastAsia="Times New Roman" w:hAnsi="Times New Roman"/>
          <w:b w:val="false"/>
          <w:bCs w:val="false"/>
          <w:i w:val="false"/>
          <w:iCs w:val="false"/>
          <w:sz w:val="24"/>
          <w:szCs w:val="24"/>
        </w:rPr>
        <w:t xml:space="preserve">Le troisième facteur est le plus directement chiffrable, et le plus transparent : une mesure technique transitoire de la Dexco, propre à cette seule session, a abaissé le seuil de repêchage à 4 sur 10 de moyenne générale, sans exiger la moyenne en Langue et Communication ou en Mathématiques, alors que le seuil habituel est de 5 sur 10 avec cette exigence de domaine. Documentée et limitée à 2026, cette mesure explique une part identifiable de la hausse, distincte de la réforme structurelle elle-même.</w:t>
      </w:r>
    </w:p>
    <w:p>
      <w:pPr>
        <w:spacing w:after="180" w:line="276"/>
        <w:jc w:val="both"/>
      </w:pPr>
      <w:r>
        <w:rPr>
          <w:rFonts w:ascii="Times New Roman" w:cs="Times New Roman" w:eastAsia="Times New Roman" w:hAnsi="Times New Roman"/>
          <w:b w:val="false"/>
          <w:bCs w:val="false"/>
          <w:i w:val="false"/>
          <w:iCs w:val="false"/>
          <w:sz w:val="24"/>
          <w:szCs w:val="24"/>
        </w:rPr>
        <w:t xml:space="preserve">La Coalition des organisations en synergie pour la défense de l'éducation publique (Cosydep) a salué ce résultat, tout en invitant le ministère à documenter précisément ses leviers, une démarche constructive à laquelle ces trois facteurs répondent déjà largement. Un précédent régional éclaire d'ailleurs ce débat : en Côte d'Ivoire, le taux de réussite au Certificat d'études primaires élémentaires est passé d'environ 52% en 2021 à plus de 85% aujourd'hui, sans que cela ait conduit les acteurs du système à réclamer sa suppression, mais à interroger la calibration des épreuves, exactement la voie que trace la Cosydep pour le CFEE sénégalais.</w:t>
      </w:r>
    </w:p>
    <w:p>
      <w:pPr>
        <w:spacing w:after="160" w:before="260"/>
      </w:pPr>
      <w:r>
        <w:rPr>
          <w:rFonts w:ascii="Times New Roman" w:cs="Times New Roman" w:eastAsia="Times New Roman" w:hAnsi="Times New Roman"/>
          <w:b/>
          <w:bCs/>
          <w:i w:val="false"/>
          <w:iCs w:val="false"/>
          <w:color w:val="0F4C3A"/>
          <w:sz w:val="27"/>
          <w:szCs w:val="27"/>
        </w:rPr>
        <w:t xml:space="preserve">4. Le BFEM, ou la revanche des académies rurales</w:t>
      </w:r>
    </w:p>
    <w:p>
      <w:pPr>
        <w:spacing w:after="180" w:line="276"/>
        <w:jc w:val="both"/>
      </w:pPr>
      <w:r>
        <w:rPr>
          <w:rFonts w:ascii="Times New Roman" w:cs="Times New Roman" w:eastAsia="Times New Roman" w:hAnsi="Times New Roman"/>
          <w:b w:val="false"/>
          <w:bCs w:val="false"/>
          <w:i w:val="false"/>
          <w:iCs w:val="false"/>
          <w:sz w:val="24"/>
          <w:szCs w:val="24"/>
        </w:rPr>
        <w:t xml:space="preserve">Sur 195 664 candidats inscrits, 192 856 ont composé, soit un taux de présence de 98,56%. Au terme des deux groupes d'épreuves, 160 180 candidats ont obtenu leur diplôme, pour un taux national de 83,05%.</w:t>
      </w:r>
    </w:p>
    <w:p>
      <w:pPr>
        <w:spacing w:after="180" w:line="276"/>
        <w:jc w:val="both"/>
      </w:pPr>
      <w:r>
        <w:rPr>
          <w:rFonts w:ascii="Times New Roman" w:cs="Times New Roman" w:eastAsia="Times New Roman" w:hAnsi="Times New Roman"/>
          <w:b w:val="false"/>
          <w:bCs w:val="false"/>
          <w:i w:val="false"/>
          <w:iCs w:val="false"/>
          <w:sz w:val="24"/>
          <w:szCs w:val="24"/>
        </w:rPr>
        <w:t xml:space="preserve">Le classement des académies fait apparaître un basculement net vers l'intérieur du pays. Kédougou termine première du classement national avec 96,20% de réussite, devant Kolda et Matam. L'écart est considérable : plus de 21 points séparent Kédougou, en tête, de Rufisque, dernière académie avec 75,01%. Pikine-Guédiawaye (76,21%) et Thiès (76,56%) referment le bas du classement. Fait notable, l'académie de Dakar elle-même, avec un taux définitif de 78,23%, reste sous la moyenne nationale.</w:t>
      </w:r>
    </w:p>
    <w:p>
      <w:pPr>
        <w:spacing w:after="180" w:line="276"/>
        <w:jc w:val="both"/>
      </w:pPr>
      <w:r>
        <w:rPr>
          <w:rFonts w:ascii="Times New Roman" w:cs="Times New Roman" w:eastAsia="Times New Roman" w:hAnsi="Times New Roman"/>
          <w:b w:val="false"/>
          <w:bCs w:val="false"/>
          <w:i w:val="false"/>
          <w:iCs w:val="false"/>
          <w:sz w:val="24"/>
          <w:szCs w:val="24"/>
        </w:rPr>
        <w:t xml:space="preserve">Ce paradoxe urbain mérite d'être souligné. Les grandes académies concentrent les effectifs les plus importants du pays, ce qui devrait en théorie leur permettre de mutualiser des moyens d'encadrement supérieurs à ceux des académies rurales. Or, au BFEM 2026, ce sont plusieurs académies de l'intérieur qui tirent les résultats nationaux vers le haut, pendant que Dakar, Rufisque, Pikine-Guédiawaye et Thiès peinent à dépasser la moyenne.</w:t>
      </w:r>
    </w:p>
    <w:p>
      <w:pPr>
        <w:spacing w:after="160" w:before="260"/>
      </w:pPr>
      <w:r>
        <w:rPr>
          <w:rFonts w:ascii="Times New Roman" w:cs="Times New Roman" w:eastAsia="Times New Roman" w:hAnsi="Times New Roman"/>
          <w:b/>
          <w:bCs/>
          <w:i w:val="false"/>
          <w:iCs w:val="false"/>
          <w:color w:val="0F4C3A"/>
          <w:sz w:val="27"/>
          <w:szCs w:val="27"/>
        </w:rPr>
        <w:t xml:space="preserve">5. Le Bac garde ses portes étroites</w:t>
      </w:r>
    </w:p>
    <w:p>
      <w:pPr>
        <w:spacing w:after="180" w:line="276"/>
        <w:jc w:val="both"/>
      </w:pPr>
      <w:r>
        <w:rPr>
          <w:rFonts w:ascii="Times New Roman" w:cs="Times New Roman" w:eastAsia="Times New Roman" w:hAnsi="Times New Roman"/>
          <w:b w:val="false"/>
          <w:bCs w:val="false"/>
          <w:i w:val="false"/>
          <w:iCs w:val="false"/>
          <w:sz w:val="24"/>
          <w:szCs w:val="24"/>
        </w:rPr>
        <w:t xml:space="preserve">Sur 180 797 candidats inscrits, 175 676 ont composé et 96 652 ont été déclarés admis, soit un taux national de 55,02%. Le Bac demeure de très loin l'examen le moins généreux des trois : à peine plus d'un candidat sur deux obtient son diplôme, contre plus de quatre sur cinq au CFEE et au BFEM.</w:t>
      </w:r>
    </w:p>
    <w:p>
      <w:pPr>
        <w:spacing w:after="180" w:line="276"/>
        <w:jc w:val="both"/>
      </w:pPr>
      <w:r>
        <w:rPr>
          <w:rFonts w:ascii="Times New Roman" w:cs="Times New Roman" w:eastAsia="Times New Roman" w:hAnsi="Times New Roman"/>
          <w:b w:val="false"/>
          <w:bCs w:val="false"/>
          <w:i w:val="false"/>
          <w:iCs w:val="false"/>
          <w:sz w:val="24"/>
          <w:szCs w:val="24"/>
        </w:rPr>
        <w:t xml:space="preserve">Cette sélectivité se lit dès le premier tour. Sur les 172 443 candidats ayant composé au premier groupe, seuls 45 614 ont été admis d'office, soit un taux de 26,45%. Autrement dit, plus de la moitié des admis définitifs de 2026 doivent leur diplôme au second tour.</w:t>
      </w:r>
    </w:p>
    <w:p>
      <w:pPr>
        <w:spacing w:after="180" w:line="276"/>
        <w:jc w:val="both"/>
      </w:pPr>
      <w:r>
        <w:rPr>
          <w:rFonts w:ascii="Times New Roman" w:cs="Times New Roman" w:eastAsia="Times New Roman" w:hAnsi="Times New Roman"/>
          <w:b w:val="false"/>
          <w:bCs w:val="false"/>
          <w:i w:val="false"/>
          <w:iCs w:val="false"/>
          <w:sz w:val="24"/>
          <w:szCs w:val="24"/>
        </w:rPr>
        <w:t xml:space="preserve">Les filles représentent 59,13% des nouveaux bacheliers, contre 40,87% pour les garçons. Les mentions restent rares : sur 96 652 admis, seuls 313 décrochent un Très Bien, 2 239 un Bien et 10 136 un Assez Bien, soit environ 13% des diplômés. Au classement des académies, Dakar conserve la tête avec 67,10%. Kédougou réalise la principale surprise de cette session en s'installant à la deuxième place nationale avec 64,21%, devant Matam, troisième avec 58,23%.</w:t>
      </w:r>
    </w:p>
    <w:p>
      <w:pPr>
        <w:spacing w:after="160" w:before="260"/>
      </w:pPr>
      <w:r>
        <w:rPr>
          <w:rFonts w:ascii="Times New Roman" w:cs="Times New Roman" w:eastAsia="Times New Roman" w:hAnsi="Times New Roman"/>
          <w:b/>
          <w:bCs/>
          <w:i w:val="false"/>
          <w:iCs w:val="false"/>
          <w:color w:val="0F4C3A"/>
          <w:sz w:val="27"/>
          <w:szCs w:val="27"/>
        </w:rPr>
        <w:t xml:space="preserve">6. Aucune académie ne gagne sur tous les tableaux</w:t>
      </w:r>
    </w:p>
    <w:p>
      <w:pPr>
        <w:spacing w:after="180" w:line="276"/>
        <w:jc w:val="both"/>
      </w:pPr>
      <w:r>
        <w:rPr>
          <w:rFonts w:ascii="Times New Roman" w:cs="Times New Roman" w:eastAsia="Times New Roman" w:hAnsi="Times New Roman"/>
          <w:b w:val="false"/>
          <w:bCs w:val="false"/>
          <w:i w:val="false"/>
          <w:iCs w:val="false"/>
          <w:sz w:val="24"/>
          <w:szCs w:val="24"/>
        </w:rPr>
        <w:t xml:space="preserve">Pris à l'échelle des seize académies du pays, aucun territoire ne domine les trois examens à la fois, ce qui invite à lire chaque classement pour ce qu'il mesure plutôt qu'à en tirer un palmarès unique. Matam illustre le mieux cette régularité rare : première au CFEE (98,56%), parmi les trois meilleures académies au BFEM, et troisième au Bac (58,23%). Kolda, deuxième au CFEE (97,65%) et en tête du premier tour du BFEM (74,82%), referme pourtant le classement du premier tour du Bac (18,92%). Tambacounda, troisième au CFEE (97,32%), se retrouve parmi les académies les plus modestes au premier tour du Bac (20,14%). Une académie forte sur un examen ne l'est donc pas mécaniquement sur les deux autres, ce qui traduit des besoins d'accompagnement différents selon le cycle.</w:t>
      </w:r>
    </w:p>
    <w:p>
      <w:pPr>
        <w:spacing w:after="180" w:line="276"/>
        <w:jc w:val="both"/>
      </w:pPr>
      <w:r>
        <w:rPr>
          <w:rFonts w:ascii="Times New Roman" w:cs="Times New Roman" w:eastAsia="Times New Roman" w:hAnsi="Times New Roman"/>
          <w:b w:val="false"/>
          <w:bCs w:val="false"/>
          <w:i w:val="false"/>
          <w:iCs w:val="false"/>
          <w:sz w:val="24"/>
          <w:szCs w:val="24"/>
        </w:rPr>
        <w:t xml:space="preserve">Le paradoxe urbain, une performance des grandes académies inférieure à celle de plusieurs académies rurales, ne se vérifie clairement qu'au BFEM. Rufisque (75,01%), Pikine-Guédiawaye (76,21%) et Thiès (76,56%) referment le classement national à cet examen, et Dakar elle-même reste sous la moyenne nationale avec 78,23%. Ce même paradoxe ne se retrouve pas au CFEE, où Thiès (93,88%) et Pikine-Guédiawaye (94,09%) dépassent largement la moyenne nationale, ni au Bac, où Dakar prend la première place avec 67,10%. Le désavantage des grandes académies urbaines semble donc spécifique au format du BFEM, plutôt qu'une faiblesse généralisée de ces territoires, ce qui ouvre une piste de travail précise plutôt qu'un diagnostic large.</w:t>
      </w:r>
    </w:p>
    <w:p>
      <w:pPr>
        <w:spacing w:after="180" w:line="276"/>
        <w:jc w:val="both"/>
      </w:pPr>
      <w:r>
        <w:rPr>
          <w:rFonts w:ascii="Times New Roman" w:cs="Times New Roman" w:eastAsia="Times New Roman" w:hAnsi="Times New Roman"/>
          <w:b w:val="false"/>
          <w:bCs w:val="false"/>
          <w:i w:val="false"/>
          <w:iCs w:val="false"/>
          <w:sz w:val="24"/>
          <w:szCs w:val="24"/>
        </w:rPr>
        <w:t xml:space="preserve">Un mécanisme plus généralisé, commun au BFEM et au Bac, mérite d'être isolé, celui de la progression entre le premier et le second groupe d'épreuves. Au BFEM 2026, 89 913 candidats étaient éligibles au second groupe après le premier tour ; 57 237 d'entre eux ont obtenu leur diplôme, soit un taux de réussite de 63,66% pour ce seul second groupe, très supérieur au taux du premier tour (53,38%). Au Bac, ce mécanisme est encore plus marqué : sur 55 135 candidats admissibles au second groupe, 51 038 ont été admis, soit un taux de réussite de 92,57%, contre 26,45% au premier tour. Dans les deux cas, le second groupe absorbe la quasi-totalité des candidats admissibles, ce qui montre la capacité du dispositif à donner une seconde chance réelle, au-delà d'un premier tour délibérément sélectif.</w:t>
      </w:r>
    </w:p>
    <w:p>
      <w:pPr>
        <w:spacing w:after="160" w:before="260"/>
      </w:pPr>
      <w:r>
        <w:rPr>
          <w:rFonts w:ascii="Times New Roman" w:cs="Times New Roman" w:eastAsia="Times New Roman" w:hAnsi="Times New Roman"/>
          <w:b/>
          <w:bCs/>
          <w:i w:val="false"/>
          <w:iCs w:val="false"/>
          <w:color w:val="0F4C3A"/>
          <w:sz w:val="27"/>
          <w:szCs w:val="27"/>
        </w:rPr>
        <w:t xml:space="preserve">7. Les vrais leviers de cette session</w:t>
      </w:r>
    </w:p>
    <w:p>
      <w:pPr>
        <w:spacing w:after="180" w:line="276"/>
        <w:jc w:val="both"/>
      </w:pPr>
      <w:r>
        <w:rPr>
          <w:rFonts w:ascii="Times New Roman" w:cs="Times New Roman" w:eastAsia="Times New Roman" w:hAnsi="Times New Roman"/>
          <w:b w:val="false"/>
          <w:bCs w:val="false"/>
          <w:i w:val="false"/>
          <w:iCs w:val="false"/>
          <w:sz w:val="24"/>
          <w:szCs w:val="24"/>
        </w:rPr>
        <w:t xml:space="preserve">Cette session 2026 n'est pas le fruit du hasard. Elle s'appuie sur un ensemble de leviers pédagogiques et organisationnels engagés depuis plusieurs années, dont les effets se conjuguent. Le renforcement des apprentissages fondamentaux en lecture et en mathématiques dès le cycle élémentaire, la généralisation de l'évaluation continue, et un meilleur accompagnement des candidats en amont des épreuves figurent au premier rang des explications avancées par la Direction des Examens et Concours elle-même, et les chiffres leur donnent raison sur l'ensemble des trois examens.</w:t>
      </w:r>
    </w:p>
    <w:p>
      <w:pPr>
        <w:spacing w:after="180" w:line="276"/>
        <w:jc w:val="both"/>
      </w:pPr>
      <w:r>
        <w:rPr>
          <w:rFonts w:ascii="Times New Roman" w:cs="Times New Roman" w:eastAsia="Times New Roman" w:hAnsi="Times New Roman"/>
          <w:b w:val="false"/>
          <w:bCs w:val="false"/>
          <w:i w:val="false"/>
          <w:iCs w:val="false"/>
          <w:sz w:val="24"/>
          <w:szCs w:val="24"/>
        </w:rPr>
        <w:t xml:space="preserve">La digitalisation progressive des examens constitue un second pilier, avec des effets concrets et mesurables : sécurisation renforcée des épreuves, transmission électronique des corrigés, code QR sur les convocations permettant aux candidats de consulter leurs notes et de télécharger leur relevé sans se déplacer. Cette modernisation, engagée depuis plusieurs sessions, a aussi permis de réduire les délais de correction et de publication, un gain organisationnel qui profite à l'ensemble du calendrier scolaire.</w:t>
      </w:r>
    </w:p>
    <w:p>
      <w:pPr>
        <w:spacing w:after="180" w:line="276"/>
        <w:jc w:val="both"/>
      </w:pPr>
      <w:r>
        <w:rPr>
          <w:rFonts w:ascii="Times New Roman" w:cs="Times New Roman" w:eastAsia="Times New Roman" w:hAnsi="Times New Roman"/>
          <w:b w:val="false"/>
          <w:bCs w:val="false"/>
          <w:i w:val="false"/>
          <w:iCs w:val="false"/>
          <w:sz w:val="24"/>
          <w:szCs w:val="24"/>
        </w:rPr>
        <w:t xml:space="preserve">Au niveau local, plusieurs académies documentent des dispositifs de coaching rapproché des enseignants, construits sur plusieurs années et articulés au suivi pédagogique de proximité assuré par les inspections. Quand ils sont maintenus dans la durée, ces dispositifs produisent des progressions mesurables d'une session à l'autre, ce qui plaide pour leur généralisation à un plus grand nombre d'académies plutôt que pour leur seul maintien là où ils existent déjà.</w:t>
      </w:r>
    </w:p>
    <w:p>
      <w:pPr>
        <w:spacing w:after="160" w:before="260"/>
      </w:pPr>
      <w:r>
        <w:rPr>
          <w:rFonts w:ascii="Times New Roman" w:cs="Times New Roman" w:eastAsia="Times New Roman" w:hAnsi="Times New Roman"/>
          <w:b/>
          <w:bCs/>
          <w:i w:val="false"/>
          <w:iCs w:val="false"/>
          <w:color w:val="0F4C3A"/>
          <w:sz w:val="27"/>
          <w:szCs w:val="27"/>
        </w:rPr>
        <w:t xml:space="preserve">8. L'État a mis les moyens derrière les chiffres</w:t>
      </w:r>
    </w:p>
    <w:p>
      <w:pPr>
        <w:spacing w:after="180" w:line="276"/>
        <w:jc w:val="both"/>
      </w:pPr>
      <w:r>
        <w:rPr>
          <w:rFonts w:ascii="Times New Roman" w:cs="Times New Roman" w:eastAsia="Times New Roman" w:hAnsi="Times New Roman"/>
          <w:b w:val="false"/>
          <w:bCs w:val="false"/>
          <w:i w:val="false"/>
          <w:iCs w:val="false"/>
          <w:sz w:val="24"/>
          <w:szCs w:val="24"/>
        </w:rPr>
        <w:t xml:space="preserve">En amont de la session 2026, le gouvernement a adopté 32 mesures lors du Conseil interministériel de préparation de la rentrée 2025-2026, portant sur les infrastructures, la sécurité, le numérique et l'inclusion scolaire. Le bilan des mesures de l'année précédente affichait un taux d'exécution de 83,34% (25 directives sur 30 entièrement mises en œuvre), ce qui donne une indication du sérieux du suivi, sans garantir à lui seul la qualité pédagogique des apprentissages.</w:t>
      </w:r>
    </w:p>
    <w:p>
      <w:pPr>
        <w:spacing w:after="180" w:line="276"/>
        <w:jc w:val="both"/>
      </w:pPr>
      <w:r>
        <w:rPr>
          <w:rFonts w:ascii="Times New Roman" w:cs="Times New Roman" w:eastAsia="Times New Roman" w:hAnsi="Times New Roman"/>
          <w:b w:val="false"/>
          <w:bCs w:val="false"/>
          <w:i w:val="false"/>
          <w:iCs w:val="false"/>
          <w:sz w:val="24"/>
          <w:szCs w:val="24"/>
        </w:rPr>
        <w:t xml:space="preserve">Parmi les chantiers annoncés figurent la construction de 25 nouveaux lycées, 46 collèges et 46 écoles élémentaires, la pose des premières pierres des lycées d'excellence scientifique (Lynaqe) dans six régions dont Kédougou, ainsi que la formation de 105 000 enseignants et personnels administratifs au numérique. Le budget de l'éducation pour 2026 est annoncé à hauteur de 1,75 milliard de dollars. Le concours de recrutement des élèves-maîtres (Crem) a par ailleurs été maintenu pour renouveler le corps enseignant, condition de tout accompagnement durable de ces réformes.</w:t>
      </w:r>
    </w:p>
    <w:p>
      <w:pPr>
        <w:spacing w:after="160" w:before="260"/>
      </w:pPr>
      <w:r>
        <w:rPr>
          <w:rFonts w:ascii="Times New Roman" w:cs="Times New Roman" w:eastAsia="Times New Roman" w:hAnsi="Times New Roman"/>
          <w:b/>
          <w:bCs/>
          <w:i w:val="false"/>
          <w:iCs w:val="false"/>
          <w:color w:val="0F4C3A"/>
          <w:sz w:val="27"/>
          <w:szCs w:val="27"/>
        </w:rPr>
        <w:t xml:space="preserve">9. Trois angles morts qui persistent</w:t>
      </w:r>
    </w:p>
    <w:p>
      <w:pPr>
        <w:spacing w:after="180" w:line="276"/>
        <w:jc w:val="both"/>
      </w:pPr>
      <w:r>
        <w:rPr>
          <w:rFonts w:ascii="Times New Roman" w:cs="Times New Roman" w:eastAsia="Times New Roman" w:hAnsi="Times New Roman"/>
          <w:b w:val="false"/>
          <w:bCs w:val="false"/>
          <w:i w:val="false"/>
          <w:iCs w:val="false"/>
          <w:sz w:val="24"/>
          <w:szCs w:val="24"/>
        </w:rPr>
        <w:t xml:space="preserve">Trois types de difficultés reviennent, quel que soit l'examen considéré. La première est organisationnelle et matérielle : plusieurs académies signalent des moyens insuffisants pour administrer les épreuves dans de bonnes conditions à l'ensemble des candidats, une contrainte déjà documentée dans les rapports trimestriels des IEF eux-mêmes. La deuxième tient au format de certains examens. Le directeur des Examens et Concours a lui-même critiqué la lourdeur du BFEM, dix jours d'épreuves et treize disciplines pour l'option française, ainsi que l'absence de lien entre le premier et le second tour, un candidat proche de la moyenne étant traité au second tour de la même manière qu'un candidat très éloigné du seuil.</w:t>
      </w:r>
    </w:p>
    <w:p>
      <w:pPr>
        <w:spacing w:after="180" w:line="276"/>
        <w:jc w:val="both"/>
      </w:pPr>
      <w:r>
        <w:rPr>
          <w:rFonts w:ascii="Times New Roman" w:cs="Times New Roman" w:eastAsia="Times New Roman" w:hAnsi="Times New Roman"/>
          <w:b w:val="false"/>
          <w:bCs w:val="false"/>
          <w:i w:val="false"/>
          <w:iCs w:val="false"/>
          <w:sz w:val="24"/>
          <w:szCs w:val="24"/>
        </w:rPr>
        <w:t xml:space="preserve">La troisième difficulté touche à l'intégrité des examens. Des cas de fuite ont été signalés dans six académies lors de la session 2025 du BFEM, ce qui a conduit le gouvernement à renforcer la sécurisation des épreuves pour 2026, malles sécurisées à cadenas codés et transmission électronique des corrigés uniquement après l'administration complète de chaque épreuve. Cela est d'autant plus sensible que la crédibilité d'un taux de réussite record, comme celui du CFEE 2026, dépend directement de la fiabilité du processus qui l'a produit.</w:t>
      </w:r>
    </w:p>
    <w:p>
      <w:pPr>
        <w:spacing w:after="160" w:before="260"/>
      </w:pPr>
      <w:r>
        <w:rPr>
          <w:rFonts w:ascii="Times New Roman" w:cs="Times New Roman" w:eastAsia="Times New Roman" w:hAnsi="Times New Roman"/>
          <w:b/>
          <w:bCs/>
          <w:i w:val="false"/>
          <w:iCs w:val="false"/>
          <w:color w:val="0F4C3A"/>
          <w:sz w:val="27"/>
          <w:szCs w:val="27"/>
        </w:rPr>
        <w:t xml:space="preserve">10. Le vrai test aura lieu en 2027</w:t>
      </w:r>
    </w:p>
    <w:p>
      <w:pPr>
        <w:spacing w:after="180" w:line="276"/>
        <w:jc w:val="both"/>
      </w:pPr>
      <w:r>
        <w:rPr>
          <w:rFonts w:ascii="Times New Roman" w:cs="Times New Roman" w:eastAsia="Times New Roman" w:hAnsi="Times New Roman"/>
          <w:b w:val="false"/>
          <w:bCs w:val="false"/>
          <w:i w:val="false"/>
          <w:iCs w:val="false"/>
          <w:sz w:val="24"/>
          <w:szCs w:val="24"/>
        </w:rPr>
        <w:t xml:space="preserve">Maintenir ces résultats, ou les consolider là où ils restent fragiles, suppose de traiter séparément ce qui relève de chaque examen plutôt que de célébrer une dynamique unique qui n'existe pas dans les chiffres.</w:t>
      </w:r>
    </w:p>
    <w:p>
      <w:pPr>
        <w:spacing w:after="90"/>
        <w:ind w:left="300"/>
        <w:jc w:val="both"/>
      </w:pPr>
      <w:r>
        <w:rPr>
          <w:rFonts w:ascii="Times New Roman" w:cs="Times New Roman" w:eastAsia="Times New Roman" w:hAnsi="Times New Roman"/>
          <w:b w:val="false"/>
          <w:bCs w:val="false"/>
          <w:i w:val="false"/>
          <w:iCs w:val="false"/>
          <w:sz w:val="24"/>
          <w:szCs w:val="24"/>
        </w:rPr>
        <w:t xml:space="preserve">- Pour le CFEE, documenter précisément la part du nouveau format et celle des efforts pédagogiques dans ce record, afin de capitaliser sur les deux leviers et de reconduire, en 2027, une session au moins aussi réussie ;</w:t>
      </w:r>
    </w:p>
    <w:p>
      <w:pPr>
        <w:spacing w:after="90"/>
        <w:ind w:left="300"/>
        <w:jc w:val="both"/>
      </w:pPr>
      <w:r>
        <w:rPr>
          <w:rFonts w:ascii="Times New Roman" w:cs="Times New Roman" w:eastAsia="Times New Roman" w:hAnsi="Times New Roman"/>
          <w:b w:val="false"/>
          <w:bCs w:val="false"/>
          <w:i w:val="false"/>
          <w:iCs w:val="false"/>
          <w:sz w:val="24"/>
          <w:szCs w:val="24"/>
        </w:rPr>
        <w:t xml:space="preserve">- Pour le BFEM, traiter en priorité le paradoxe urbain, Dakar, Rufisque, Pikine-Guédiawaye et Thiès concentrent une part majeure des candidats du pays et pèsent donc lourdement sur la moyenne nationale malgré des moyens matériels supérieurs à ceux des académies rurales ;</w:t>
      </w:r>
    </w:p>
    <w:p>
      <w:pPr>
        <w:spacing w:after="90"/>
        <w:ind w:left="300"/>
        <w:jc w:val="both"/>
      </w:pPr>
      <w:r>
        <w:rPr>
          <w:rFonts w:ascii="Times New Roman" w:cs="Times New Roman" w:eastAsia="Times New Roman" w:hAnsi="Times New Roman"/>
          <w:b w:val="false"/>
          <w:bCs w:val="false"/>
          <w:i w:val="false"/>
          <w:iCs w:val="false"/>
          <w:sz w:val="24"/>
          <w:szCs w:val="24"/>
        </w:rPr>
        <w:t xml:space="preserve">- Pour le Bac, ne pas confondre le rattrapage de 2026 avec une tendance durable : cinq années de quasi-stagnation entre 48% et 55% appellent une action de fond sur la préparation en amont, pas seulement sur l'organisation de la session elle-même ;</w:t>
      </w:r>
    </w:p>
    <w:p>
      <w:pPr>
        <w:spacing w:after="90"/>
        <w:ind w:left="300"/>
        <w:jc w:val="both"/>
      </w:pPr>
      <w:r>
        <w:rPr>
          <w:rFonts w:ascii="Times New Roman" w:cs="Times New Roman" w:eastAsia="Times New Roman" w:hAnsi="Times New Roman"/>
          <w:b w:val="false"/>
          <w:bCs w:val="false"/>
          <w:i w:val="false"/>
          <w:iCs w:val="false"/>
          <w:sz w:val="24"/>
          <w:szCs w:val="24"/>
        </w:rPr>
        <w:t xml:space="preserve">- Pour les trois examens, sécuriser davantage le processus lui-même, à la lumière des fuites enregistrées en 2025, pour que la hausse des taux ne soit jamais mise en doute pour des raisons de forme plutôt que de fond ;</w:t>
      </w:r>
    </w:p>
    <w:p>
      <w:pPr>
        <w:spacing w:after="90"/>
        <w:ind w:left="300"/>
        <w:jc w:val="both"/>
      </w:pPr>
      <w:r>
        <w:rPr>
          <w:rFonts w:ascii="Times New Roman" w:cs="Times New Roman" w:eastAsia="Times New Roman" w:hAnsi="Times New Roman"/>
          <w:b w:val="false"/>
          <w:bCs w:val="false"/>
          <w:i w:val="false"/>
          <w:iCs w:val="false"/>
          <w:sz w:val="24"/>
          <w:szCs w:val="24"/>
        </w:rPr>
        <w:t xml:space="preserve">- Documenter systématiquement les redressements locaux spectaculaires observés au second groupe dans plusieurs académies, qui contiennent probablement des enseignements transférables aux académies encore en difficulté.</w:t>
      </w:r>
    </w:p>
    <w:p>
      <w:pPr>
        <w:spacing w:after="180" w:line="276"/>
        <w:jc w:val="both"/>
      </w:pPr>
      <w:r>
        <w:rPr>
          <w:rFonts w:ascii="Times New Roman" w:cs="Times New Roman" w:eastAsia="Times New Roman" w:hAnsi="Times New Roman"/>
          <w:b w:val="false"/>
          <w:bCs w:val="false"/>
          <w:i w:val="false"/>
          <w:iCs w:val="false"/>
          <w:sz w:val="24"/>
          <w:szCs w:val="24"/>
        </w:rPr>
        <w:t xml:space="preserve">C'est cette discipline d'analyse, examen par examen, académie par académie, plutôt qu'un satisfecit global, qui permettra de savoir si 2026 marque un vrai tournant ou une session simplement plus favorable que les autres.</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2026-08-06T13:12:13.166Z</dcterms:created>
  <dcterms:modified xsi:type="dcterms:W3CDTF">2026-08-06T13:12:13.179Z</dcterms:modified>
</cp:coreProperties>
</file>

<file path=docProps/custom.xml><?xml version="1.0" encoding="utf-8"?>
<Properties xmlns="http://schemas.openxmlformats.org/officeDocument/2006/custom-properties" xmlns:vt="http://schemas.openxmlformats.org/officeDocument/2006/docPropsVTypes"/>
</file>