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b w:val="0"/>
          <w:bCs w:val="0"/>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84.8"/>
        <w:gridCol w:w="1872"/>
        <w:gridCol w:w="1123.1999999999998"/>
        <w:gridCol w:w="4680"/>
        <w:tblGridChange w:id="0">
          <w:tblGrid>
            <w:gridCol w:w="1684.8"/>
            <w:gridCol w:w="1872"/>
            <w:gridCol w:w="1123.1999999999998"/>
            <w:gridCol w:w="4680"/>
          </w:tblGrid>
        </w:tblGridChange>
      </w:tblGrid>
      <w:tr>
        <w:trPr>
          <w:cantSplit w:val="0"/>
          <w:tblHeader w:val="1"/>
        </w:trPr>
        <w:tc>
          <w:tcPr>
            <w:shd w:fill="f2f4f8" w:val="clear"/>
            <w:tcMar>
              <w:top w:w="120.0" w:type="dxa"/>
              <w:left w:w="120.0" w:type="dxa"/>
              <w:bottom w:w="120.0" w:type="dxa"/>
              <w:right w:w="12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shd w:fill="auto" w:val="clear"/>
                <w:rtl w:val="0"/>
              </w:rPr>
              <w:t xml:space="preserve">Tầng Kiến Trúc / Hạng Mục</w:t>
            </w:r>
          </w:p>
        </w:tc>
        <w:tc>
          <w:tcPr>
            <w:shd w:fill="f2f4f8" w:val="clear"/>
            <w:tcMar>
              <w:top w:w="120.0" w:type="dxa"/>
              <w:left w:w="120.0" w:type="dxa"/>
              <w:bottom w:w="120.0" w:type="dxa"/>
              <w:right w:w="12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shd w:fill="auto" w:val="clear"/>
                <w:rtl w:val="0"/>
              </w:rPr>
              <w:t xml:space="preserve">Công Nghệ Chốt</w:t>
            </w:r>
          </w:p>
        </w:tc>
        <w:tc>
          <w:tcPr>
            <w:shd w:fill="f2f4f8" w:val="clear"/>
            <w:tcMar>
              <w:top w:w="120.0" w:type="dxa"/>
              <w:left w:w="120.0" w:type="dxa"/>
              <w:bottom w:w="120.0" w:type="dxa"/>
              <w:right w:w="12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shd w:fill="auto" w:val="clear"/>
                <w:rtl w:val="0"/>
              </w:rPr>
              <w:t xml:space="preserve">Phiên Bản</w:t>
            </w:r>
          </w:p>
        </w:tc>
        <w:tc>
          <w:tcPr>
            <w:shd w:fill="f2f4f8" w:val="clear"/>
            <w:tcMar>
              <w:top w:w="120.0" w:type="dxa"/>
              <w:left w:w="120.0" w:type="dxa"/>
              <w:bottom w:w="120.0" w:type="dxa"/>
              <w:right w:w="12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shd w:fill="auto" w:val="clear"/>
              </w:rPr>
            </w:pPr>
            <w:r w:rsidDel="00000000" w:rsidR="00000000" w:rsidRPr="00000000">
              <w:rPr>
                <w:shd w:fill="auto" w:val="clear"/>
                <w:rtl w:val="0"/>
              </w:rPr>
              <w:t xml:space="preserve">Vai Trò &amp; Căn Cứ Kỹ Thuật Nghiệp Vụ Trong SRS</w:t>
            </w:r>
          </w:p>
        </w:tc>
      </w:tr>
      <w:tr>
        <w:trPr>
          <w:cantSplit w:val="0"/>
          <w:trHeight w:val="2265" w:hRule="atLeast"/>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Frontend Framework</w:t>
            </w:r>
          </w:p>
        </w:tc>
        <w:tc>
          <w:tcPr>
            <w:shd w:fill="auto"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Angular</w:t>
            </w:r>
          </w:p>
        </w:tc>
        <w:tc>
          <w:tcPr>
            <w:shd w:fill="auto"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v18.x</w:t>
            </w:r>
          </w:p>
        </w:tc>
        <w:tc>
          <w:tcPr>
            <w:shd w:fill="auto"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Xây dựng ứng dụng Single Page Application (SPA) đồng nhất cho cả 4 phân hệ: Bệnh nhân (Patient), Bác sĩ (Doctor), Lễ tân (Receptionist), Quản trị (Admin). Khai thác Standalone Components, Signal phản ứng nhanh và Reactive Forms phục vụ form đặt lịch, buồng khám EMR.</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UI Component Library</w:t>
            </w:r>
          </w:p>
        </w:tc>
        <w:tc>
          <w:tcPr>
            <w:shd w:fill="auto"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Angular Material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v18.x</w:t>
            </w:r>
          </w:p>
        </w:tc>
        <w:tc>
          <w:tcPr>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Cung cấp sẵn bộ Stepper (chuẩn hóa quy trình đặt lịch 4 bước theo NFR-UX-01), Data Table (danh sách bệnh nhân, hàng đợi), Modal/Dialog và Datepicker chuẩn giao diện y tế Clean UI, đáp ứng tiêu chuẩn tiếp cận WCAG 2.1 AA.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CSS Styling Utility</w:t>
            </w:r>
          </w:p>
        </w:tc>
        <w:tc>
          <w:tcPr>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TailwindCSS</w:t>
            </w:r>
          </w:p>
        </w:tc>
        <w:tc>
          <w:tcPr>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v3.4+</w:t>
            </w:r>
          </w:p>
        </w:tc>
        <w:tc>
          <w:tcPr>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Xử lý kiểu dáng giao diện tốc độ cao, thiết lập bảng màu nhận diện y tế (Medical Clean UI) và chuẩn hóa điểm ngắt Responsive đa màn hình: Mobile (≥ 360px), Tablet (768px - 1024px), Desktop (≥ 1366px) theo Section 2.4 &amp; NFR-UX-02.</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State &amp; Data Stream</w:t>
            </w:r>
          </w:p>
        </w:tc>
        <w:tc>
          <w:tcPr>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RxJS</w:t>
            </w:r>
          </w:p>
        </w:tc>
        <w:tc>
          <w:tcPr>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v7.8+ (Built-in)</w:t>
            </w:r>
          </w:p>
        </w:tc>
        <w:tc>
          <w:tcPr>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Quản lý luồng dữ liệu phản ứng (Reactive Data Stream), kết hợp Angular HttpClient Interceptor tự động gắn Access Token và tự làm mới qua HttpOnly Cookie (SameSite=Strict) theo SRS-AUTH-02 &amp; NFR-SEC-02.</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Backend Runtime Framework</w:t>
            </w:r>
          </w:p>
        </w:tc>
        <w:tc>
          <w:tcPr>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NestJS</w:t>
            </w:r>
          </w:p>
        </w:tc>
        <w:tc>
          <w:tcPr>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v10.x</w:t>
            </w:r>
          </w:p>
        </w:tc>
        <w:tc>
          <w:tcPr>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Xây dựng kiến trúc Modular Monolith chuẩn Clean Architecture / DDD bằng ngôn ngữ TypeScript, giúp cả 6 thành viên Fullstack dùng chung 1 ngôn ngữ với Angular, tái sử dụng DTO, Interface và chia tách 5 module độc lập (Auth, Patient, Doctor, Reception, Admin).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Cơ Sở Dữ Liệu Chính (RDBMS)</w:t>
            </w:r>
          </w:p>
        </w:tc>
        <w:tc>
          <w:tcPr>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PostgreSQL</w:t>
            </w:r>
          </w:p>
        </w:tc>
        <w:tc>
          <w:tcPr>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v16.x</w:t>
            </w:r>
          </w:p>
        </w:tc>
        <w:tc>
          <w:tcPr>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Cơ sở dữ liệu quan hệ ACID quản lý 10 thực thể cốt lõi. Hỗ trợ mã hóa cột nhạy cảm bằng hàm pgcrypto (AES-256) cho clinical_notes và vital_signs (NFR-SEC-01), đánh B-Tree Index cho tìm kiếm, hỗ trợ khóa dòng giao dịch SELECT ... FOR UPDATE.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Object-Relational Mapping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TypeORM</w:t>
            </w:r>
          </w:p>
        </w:tc>
        <w:tc>
          <w:tcPr>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v0.3.x</w:t>
            </w:r>
          </w:p>
        </w:tc>
        <w:tc>
          <w:tcPr>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Quản lý Database Schema Migration cho các bảng theo Section 6.2, kiểm soát Versioning trường version trên bảng DOCTOR_SCHEDULES để xử lý khóa lạc quan (Optimistic Locking) và chống SQL Injection theo NFR-SEC-03.</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In-Memory &amp; Khóa Phân Tán</w:t>
            </w:r>
          </w:p>
        </w:tc>
        <w:tc>
          <w:tcPr>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Redis (Redis Stack)</w:t>
            </w:r>
          </w:p>
        </w:tc>
        <w:tc>
          <w:tcPr>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v7.2+</w:t>
            </w:r>
          </w:p>
        </w:tc>
        <w:tc>
          <w:tcPr>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Đảm nhiệm cơ chế khóa phân tán chống đặt trùng slot (Section 5.1 &amp; SRS-PAT-02) bằng lệnh nguyên tử SET lock:doctor:{dId}:slot:{sId} {uId} NX EX 600 (TTL 10 phút). Caching danh mục Bác sĩ/Chuyên khoa đạt tỷ lệ Cache Hit ≥ 85% (NFR-PERF-03).</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Giao Tiếp Realtime</w:t>
            </w:r>
          </w:p>
        </w:tc>
        <w:tc>
          <w:tcPr>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Socket.io</w:t>
            </w:r>
          </w:p>
        </w:tc>
        <w:tc>
          <w:tcPr>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v4.7+</w:t>
            </w:r>
          </w:p>
        </w:tc>
        <w:tc>
          <w:tcPr>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Thiết lập kênh truyền WebSocket hai chiều đồng bộ danh sách hàng đợi tức thời giữa bàn Lễ tân và buồng khám Bác sĩ khi tiếp nhận Check-in và gọi số khám (SRS-REC-01, SRS-DOC-02 &amp; Section 3.4).</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Cổng Thanh Toán Điện Tử</w:t>
            </w:r>
          </w:p>
        </w:tc>
        <w:tc>
          <w:tcPr>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VNPAY API</w:t>
            </w:r>
          </w:p>
        </w:tc>
        <w:tc>
          <w:tcPr>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v2.1 (Sandbox)</w:t>
            </w:r>
          </w:p>
        </w:tc>
        <w:tc>
          <w:tcPr>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Tích hợp cổng thanh toán trực tuyến nội địa theo Section 3.3 &amp; SRS-PAT-03: Khởi tạo URL giao dịch kèm mã hóa chữ ký điện tử HMAC-SHA512 checksum và xây dựng Endpoint Webhook IPN xử lý chốt giao dịch tự động.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Xác Thực Danh Tính (IAM)</w:t>
            </w:r>
          </w:p>
        </w:tc>
        <w:tc>
          <w:tcPr>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Passport.js + Google OAuth2</w:t>
            </w:r>
          </w:p>
        </w:tc>
        <w:tc>
          <w:tcPr>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v0.7+</w:t>
            </w:r>
          </w:p>
        </w:tc>
        <w:tc>
          <w:tcPr>
            <w:shd w:fill="auto"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Hỗ trợ đăng ký/đăng nhập mật khẩu kết hợp Google Identity Services (OpenID Connect / OAuth 2.0), quản lý phiên làm việc JWT phân quyền RBAC (4 vai trò: Patient, Doctor, Receptionist, Admin) theo SRS-AUTH-01, 02.</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Dịch Vụ Thông Báo</w:t>
            </w:r>
          </w:p>
        </w:tc>
        <w:tc>
          <w:tcPr>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Nodemailer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v6.9+</w:t>
            </w:r>
          </w:p>
        </w:tc>
        <w:tc>
          <w:tcPr>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Xử lý gửi email xác thực mã OTP đăng ký (TTL 3 phút) và kết hợp NestJS Cron Job gửi thông báo nhắc lịch khám tự động tại các mốc T-24 giờ và T-2 giờ (SRS-PAT-05).</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Xuất Bản Tài Liệu / Bệnh Án</w:t>
            </w:r>
          </w:p>
        </w:tc>
        <w:tc>
          <w:tcPr>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PDFKit + SheetJS (xlsx)</w:t>
            </w:r>
          </w:p>
        </w:tc>
        <w:tc>
          <w:tcPr>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Mới nhất</w:t>
            </w:r>
          </w:p>
        </w:tc>
        <w:tc>
          <w:tcPr>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Sinh tệp PDF Đơn thuốc điện tử và Bệnh án có mã ICD-10 (SRS-PAT-04); kết xuất báo cáo thống kê KPI doanh thu và tỷ lệ No-Show sang file Excel định dạng .xlsx cho Quản trị viên (SRS-ADM-03).</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Hạ Tầng Ảo Hóa &amp; Môi Trường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Docker &amp; Docker Compose</w:t>
            </w:r>
          </w:p>
        </w:tc>
        <w:tc>
          <w:tcPr>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v2.x</w:t>
            </w:r>
          </w:p>
        </w:tc>
        <w:tc>
          <w:tcPr>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Đóng gói và vận hành đồng bộ môi trường phát triển (Postgres 16, Redis 7.2, NestJS API, Angular Web) trên hệ điều hành chuẩn Ubuntu LTS 22.04+, múi giờ UTC+7 theo Section 2.4.</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Web Server &amp; Reverse Proxy</w:t>
            </w:r>
          </w:p>
        </w:tc>
        <w:tc>
          <w:tcPr>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Nginx</w:t>
            </w:r>
          </w:p>
        </w:tc>
        <w:tc>
          <w:tcPr>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Mainline</w:t>
            </w:r>
          </w:p>
        </w:tc>
        <w:tc>
          <w:tcPr>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Định tuyến Gateway, giải mã SSL/TLS 1.3 Termination (NFR-SEC-01) và cấu hình giới hạn tần suất Rate Limiting 60 requests/phút trên mỗi địa chỉ IP (NFR-SEC-03).</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Kiểm Thử Hiệu Năng &amp; Đồng Thời</w:t>
            </w:r>
          </w:p>
        </w:tc>
        <w:tc>
          <w:tcPr>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k6</w:t>
            </w:r>
          </w:p>
        </w:tc>
        <w:tc>
          <w:tcPr>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v0.50+</w:t>
            </w:r>
          </w:p>
        </w:tc>
        <w:tc>
          <w:tcPr>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Viết kịch bản kiểm thử tải bằng JavaScript giả lập 100 CCU đồng thời gửi yêu cầu tranh chấp 1 khung giờ slot để xác minh mã lỗi HTTP 409 Conflict và kiểm tra tải 500 CCU theo SLA Section 7.1.</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Kiểm Thử Đơn Vị (Unit Testing)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Jest (BE) &amp; Jasmine/Karma (FE)</w:t>
            </w:r>
          </w:p>
        </w:tc>
        <w:tc>
          <w:tcPr>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Mặc định CLI</w:t>
            </w:r>
          </w:p>
        </w:tc>
        <w:tc>
          <w:tcPr>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Thực thi Unit Test cho các Service nghiệp vụ tính liều thuốc, kiểm tra dị ứng, mã hóa AES-256 và các Component giao diện Angular.</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