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FD399" w14:textId="77777777" w:rsidR="006862F7" w:rsidRDefault="00000000">
      <w:pPr>
        <w:pStyle w:val="Heading1"/>
      </w:pPr>
      <w:r>
        <w:t>Introduction to Applied Meta-Analysis</w:t>
      </w:r>
    </w:p>
    <w:p w14:paraId="7CE55551" w14:textId="77777777" w:rsidR="006862F7" w:rsidRDefault="00000000">
      <w:pPr>
        <w:pStyle w:val="Heading2"/>
      </w:pPr>
      <w:r>
        <w:t>1. What is an Effect Size?</w:t>
      </w:r>
    </w:p>
    <w:p w14:paraId="0507023D" w14:textId="617C050C" w:rsidR="006862F7" w:rsidRDefault="00000000">
      <w:r>
        <w:br/>
        <w:t>In applied meta-analysis, we often need a standardized way to compare results from different studies. Effect sizes (ES) serve this role — they summarize the magnitude and direction of a treatment effect, independent of the scale of measurement. One common type is the Standardized Mean Difference (SMD).</w:t>
      </w:r>
      <w:r>
        <w:br/>
      </w:r>
    </w:p>
    <w:p w14:paraId="78ED814C" w14:textId="77777777" w:rsidR="006862F7" w:rsidRDefault="00000000">
      <w:pPr>
        <w:pStyle w:val="Heading2"/>
      </w:pPr>
      <w:r>
        <w:t>2. t-score vs. Effect Size</w:t>
      </w:r>
    </w:p>
    <w:p w14:paraId="4A864814" w14:textId="18E77AF9" w:rsidR="006862F7" w:rsidRDefault="00000000">
      <w:r>
        <w:br/>
        <w:t xml:space="preserve">A t-score tells you whether the difference between two groups is statistically significant, </w:t>
      </w:r>
      <w:r>
        <w:br/>
        <w:t xml:space="preserve">taking into account sample size and variance. It reflects how likely the observed difference </w:t>
      </w:r>
      <w:r>
        <w:br/>
        <w:t>could occur by chance under the null hypothesis.</w:t>
      </w:r>
      <w:r>
        <w:br/>
      </w:r>
      <w:r>
        <w:br/>
        <w:t xml:space="preserve">An effect size, by contrast, tells you how large that difference </w:t>
      </w:r>
      <w:proofErr w:type="gramStart"/>
      <w:r>
        <w:t>actually is</w:t>
      </w:r>
      <w:proofErr w:type="gramEnd"/>
      <w:r>
        <w:t xml:space="preserve"> in standardized units. </w:t>
      </w:r>
      <w:r w:rsidR="00C229C9">
        <w:t xml:space="preserve"> </w:t>
      </w:r>
      <w:r>
        <w:t xml:space="preserve">While a t-test answers “Is there a difference?”, an effect size </w:t>
      </w:r>
      <w:proofErr w:type="gramStart"/>
      <w:r>
        <w:t>answers</w:t>
      </w:r>
      <w:proofErr w:type="gramEnd"/>
      <w:r>
        <w:t xml:space="preserve"> “How big is the difference?”.</w:t>
      </w:r>
      <w:r>
        <w:br/>
      </w:r>
    </w:p>
    <w:p w14:paraId="1C8810B1" w14:textId="77777777" w:rsidR="006862F7" w:rsidRDefault="00000000">
      <w:pPr>
        <w:pStyle w:val="Heading2"/>
      </w:pPr>
      <w:r>
        <w:t>3. Cohen’s d</w:t>
      </w:r>
    </w:p>
    <w:p w14:paraId="2AF51F95" w14:textId="77777777" w:rsidR="006862F7" w:rsidRDefault="00000000">
      <w:r>
        <w:br/>
        <w:t>Cohen’s d is the most common standardized mean difference (SMD). It is calculated as:</w:t>
      </w:r>
      <w:r>
        <w:br/>
      </w:r>
    </w:p>
    <w:p w14:paraId="18C96355" w14:textId="77777777" w:rsidR="006862F7" w:rsidRDefault="00000000">
      <w:r>
        <w:t>d = (M₁ − M₂) / SDₚₒₒₗₑd</w:t>
      </w:r>
    </w:p>
    <w:p w14:paraId="00F4834F" w14:textId="77777777" w:rsidR="006862F7" w:rsidRDefault="00000000">
      <w:r>
        <w:br/>
        <w:t>Where:</w:t>
      </w:r>
      <w:r>
        <w:br/>
        <w:t xml:space="preserve">    M₁ = Mean of the treatment group</w:t>
      </w:r>
      <w:r>
        <w:br/>
        <w:t xml:space="preserve">    M₂ = Mean of the control group</w:t>
      </w:r>
      <w:r>
        <w:br/>
        <w:t xml:space="preserve">    SDₚₒₒₗₑd = sqrt( (SD₁² + SD₂²) / 2 )</w:t>
      </w:r>
      <w:r>
        <w:br/>
      </w:r>
    </w:p>
    <w:p w14:paraId="3F5E0F7E" w14:textId="77777777" w:rsidR="006862F7" w:rsidRDefault="00000000">
      <w:pPr>
        <w:pStyle w:val="Heading3"/>
      </w:pPr>
      <w:r>
        <w:t>Example:</w:t>
      </w:r>
    </w:p>
    <w:p w14:paraId="16852B8B" w14:textId="77777777" w:rsidR="006862F7" w:rsidRDefault="00000000">
      <w:r>
        <w:br/>
        <w:t>Treatment group: M₁ = 80, SD₁ = 10 (n₁ = 25)</w:t>
      </w:r>
      <w:r>
        <w:br/>
        <w:t>Control group: M₂ = 70, SD₂ = 12 (n₂ = 25)</w:t>
      </w:r>
      <w:r>
        <w:br/>
      </w:r>
      <w:r>
        <w:br/>
        <w:t>Step 1. Compute pooled SD:</w:t>
      </w:r>
      <w:r>
        <w:br/>
        <w:t>SDₚₒₒₗₑd = sqrt((10² + 12²)/2) = sqrt((100 + 144)/2) = sqrt(122) = 11.05</w:t>
      </w:r>
      <w:r>
        <w:br/>
      </w:r>
      <w:r>
        <w:br/>
      </w:r>
      <w:r>
        <w:lastRenderedPageBreak/>
        <w:t>Step 2. Compute d:</w:t>
      </w:r>
      <w:r>
        <w:br/>
        <w:t>d = (80 − 70) / 11.05 = 0.905</w:t>
      </w:r>
      <w:r>
        <w:br/>
      </w:r>
      <w:r>
        <w:br/>
        <w:t>Interpretation: d = 0.9 is a large effect (Cohen’s benchmarks: 0.2 = small, 0.5 = medium, 0.8 = large).</w:t>
      </w:r>
      <w:r>
        <w:br/>
      </w:r>
    </w:p>
    <w:p w14:paraId="0DE43F7A" w14:textId="77777777" w:rsidR="006862F7" w:rsidRDefault="00000000">
      <w:pPr>
        <w:pStyle w:val="Heading2"/>
      </w:pPr>
      <w:r>
        <w:t>4. Hedges’ g (Small Sample Correction)</w:t>
      </w:r>
    </w:p>
    <w:p w14:paraId="0863E5D8" w14:textId="77777777" w:rsidR="006862F7" w:rsidRDefault="00000000">
      <w:r>
        <w:br/>
        <w:t xml:space="preserve">Cohen’s d slightly overestimates the population effect size when sample sizes are small. </w:t>
      </w:r>
      <w:r>
        <w:br/>
        <w:t>Hedges’ g applies a correction factor (J) to adjust for bias:</w:t>
      </w:r>
      <w:r>
        <w:br/>
      </w:r>
    </w:p>
    <w:p w14:paraId="7B753D9F" w14:textId="77777777" w:rsidR="006862F7" w:rsidRDefault="00000000">
      <w:r>
        <w:t>g = J × d, where J = 1 − (3 / (4N − 9))</w:t>
      </w:r>
    </w:p>
    <w:p w14:paraId="5BC9F8C4" w14:textId="77777777" w:rsidR="006862F7" w:rsidRDefault="00000000">
      <w:r>
        <w:br/>
        <w:t>Using the same data:</w:t>
      </w:r>
      <w:r>
        <w:br/>
        <w:t xml:space="preserve">    N = n₁ + n₂ = 50</w:t>
      </w:r>
      <w:r>
        <w:br/>
        <w:t xml:space="preserve">    J = 1 − (3 / (4×50 − 9)) = 1 − (3 / 191) = 0.984</w:t>
      </w:r>
      <w:r>
        <w:br/>
        <w:t xml:space="preserve">    g = 0.984 × 0.905 = 0.89</w:t>
      </w:r>
      <w:r>
        <w:br/>
      </w:r>
      <w:r>
        <w:br/>
        <w:t>Interpretation: Hedges’ g ≈ 0.89, only slightly smaller than Cohen’s d, but more accurate for small samples.</w:t>
      </w:r>
      <w:r>
        <w:br/>
      </w:r>
    </w:p>
    <w:p w14:paraId="6E5968B8" w14:textId="77777777" w:rsidR="006862F7" w:rsidRDefault="00000000">
      <w:pPr>
        <w:pStyle w:val="Heading2"/>
      </w:pPr>
      <w:r>
        <w:t>5. Glass’s Δ (Using Control SD Only)</w:t>
      </w:r>
    </w:p>
    <w:p w14:paraId="77133BCC" w14:textId="77777777" w:rsidR="006862F7" w:rsidRDefault="00000000">
      <w:r>
        <w:br/>
        <w:t xml:space="preserve">Glass suggested that in some situations, the control group’s standard deviation may better represent </w:t>
      </w:r>
      <w:r>
        <w:br/>
        <w:t>the baseline variation. Glass’s Δ uses the control SD instead of a pooled SD:</w:t>
      </w:r>
      <w:r>
        <w:br/>
      </w:r>
    </w:p>
    <w:p w14:paraId="37EA031C" w14:textId="77777777" w:rsidR="006862F7" w:rsidRDefault="00000000">
      <w:r>
        <w:t>Δ = (M₁ − M₂) / SDcontrol</w:t>
      </w:r>
    </w:p>
    <w:p w14:paraId="278628B5" w14:textId="77777777" w:rsidR="006862F7" w:rsidRDefault="00000000">
      <w:r>
        <w:br/>
        <w:t>Δ = (80 − 70) / 12 = 0.83</w:t>
      </w:r>
      <w:r>
        <w:br/>
      </w:r>
      <w:r>
        <w:br/>
        <w:t>Interpretation: Glass’s Δ = 0.83, slightly smaller than d or g because the control group had higher variability.</w:t>
      </w:r>
      <w:r>
        <w:br/>
      </w:r>
    </w:p>
    <w:p w14:paraId="60D471EE" w14:textId="77777777" w:rsidR="006862F7" w:rsidRDefault="00000000">
      <w:pPr>
        <w:pStyle w:val="Heading2"/>
      </w:pPr>
      <w:r>
        <w:t>6. Comparison 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862F7" w14:paraId="2316EF6E" w14:textId="77777777">
        <w:tc>
          <w:tcPr>
            <w:tcW w:w="2160" w:type="dxa"/>
          </w:tcPr>
          <w:p w14:paraId="5123B0EB" w14:textId="77777777" w:rsidR="006862F7" w:rsidRDefault="00000000">
            <w:r>
              <w:t>Estimator</w:t>
            </w:r>
          </w:p>
        </w:tc>
        <w:tc>
          <w:tcPr>
            <w:tcW w:w="2160" w:type="dxa"/>
          </w:tcPr>
          <w:p w14:paraId="61471211" w14:textId="77777777" w:rsidR="006862F7" w:rsidRDefault="00000000">
            <w:r>
              <w:t>Formula</w:t>
            </w:r>
          </w:p>
        </w:tc>
        <w:tc>
          <w:tcPr>
            <w:tcW w:w="2160" w:type="dxa"/>
          </w:tcPr>
          <w:p w14:paraId="7E8D0930" w14:textId="77777777" w:rsidR="006862F7" w:rsidRDefault="00000000">
            <w:r>
              <w:t>Use Case</w:t>
            </w:r>
          </w:p>
        </w:tc>
        <w:tc>
          <w:tcPr>
            <w:tcW w:w="2160" w:type="dxa"/>
          </w:tcPr>
          <w:p w14:paraId="03A66FAD" w14:textId="77777777" w:rsidR="006862F7" w:rsidRDefault="00000000">
            <w:r>
              <w:t>Example Result</w:t>
            </w:r>
          </w:p>
        </w:tc>
      </w:tr>
      <w:tr w:rsidR="006862F7" w14:paraId="74F095B5" w14:textId="77777777">
        <w:tc>
          <w:tcPr>
            <w:tcW w:w="2160" w:type="dxa"/>
          </w:tcPr>
          <w:p w14:paraId="41EC0F8D" w14:textId="77777777" w:rsidR="006862F7" w:rsidRDefault="00000000">
            <w:r>
              <w:lastRenderedPageBreak/>
              <w:t>Cohen’s d</w:t>
            </w:r>
          </w:p>
        </w:tc>
        <w:tc>
          <w:tcPr>
            <w:tcW w:w="2160" w:type="dxa"/>
          </w:tcPr>
          <w:p w14:paraId="181D5DBB" w14:textId="77777777" w:rsidR="006862F7" w:rsidRDefault="00000000">
            <w:r>
              <w:t>(M₁ − M₂) / SDpooled</w:t>
            </w:r>
          </w:p>
        </w:tc>
        <w:tc>
          <w:tcPr>
            <w:tcW w:w="2160" w:type="dxa"/>
          </w:tcPr>
          <w:p w14:paraId="39A189AE" w14:textId="77777777" w:rsidR="006862F7" w:rsidRDefault="00000000">
            <w:r>
              <w:t>Default SMD</w:t>
            </w:r>
          </w:p>
        </w:tc>
        <w:tc>
          <w:tcPr>
            <w:tcW w:w="2160" w:type="dxa"/>
          </w:tcPr>
          <w:p w14:paraId="052B9B47" w14:textId="77777777" w:rsidR="006862F7" w:rsidRDefault="00000000">
            <w:r>
              <w:t>0.91</w:t>
            </w:r>
          </w:p>
        </w:tc>
      </w:tr>
      <w:tr w:rsidR="006862F7" w14:paraId="652B1CC3" w14:textId="77777777">
        <w:tc>
          <w:tcPr>
            <w:tcW w:w="2160" w:type="dxa"/>
          </w:tcPr>
          <w:p w14:paraId="4CAC3352" w14:textId="77777777" w:rsidR="006862F7" w:rsidRDefault="00000000">
            <w:r>
              <w:t>Hedges’ g</w:t>
            </w:r>
          </w:p>
        </w:tc>
        <w:tc>
          <w:tcPr>
            <w:tcW w:w="2160" w:type="dxa"/>
          </w:tcPr>
          <w:p w14:paraId="0539A04B" w14:textId="77777777" w:rsidR="006862F7" w:rsidRDefault="00000000">
            <w:r>
              <w:t>J × d</w:t>
            </w:r>
          </w:p>
        </w:tc>
        <w:tc>
          <w:tcPr>
            <w:tcW w:w="2160" w:type="dxa"/>
          </w:tcPr>
          <w:p w14:paraId="0EC70603" w14:textId="77777777" w:rsidR="006862F7" w:rsidRDefault="00000000">
            <w:r>
              <w:t>Small sample correction</w:t>
            </w:r>
          </w:p>
        </w:tc>
        <w:tc>
          <w:tcPr>
            <w:tcW w:w="2160" w:type="dxa"/>
          </w:tcPr>
          <w:p w14:paraId="043E4D60" w14:textId="77777777" w:rsidR="006862F7" w:rsidRDefault="00000000">
            <w:r>
              <w:t>0.89</w:t>
            </w:r>
          </w:p>
        </w:tc>
      </w:tr>
      <w:tr w:rsidR="006862F7" w14:paraId="0E2C0B95" w14:textId="77777777">
        <w:tc>
          <w:tcPr>
            <w:tcW w:w="2160" w:type="dxa"/>
          </w:tcPr>
          <w:p w14:paraId="41FB4A38" w14:textId="77777777" w:rsidR="006862F7" w:rsidRDefault="00000000">
            <w:r>
              <w:t>Glass’s Δ</w:t>
            </w:r>
          </w:p>
        </w:tc>
        <w:tc>
          <w:tcPr>
            <w:tcW w:w="2160" w:type="dxa"/>
          </w:tcPr>
          <w:p w14:paraId="605B16F7" w14:textId="77777777" w:rsidR="006862F7" w:rsidRDefault="00000000">
            <w:r>
              <w:t>(M₁ − M₂) / SDcontrol</w:t>
            </w:r>
          </w:p>
        </w:tc>
        <w:tc>
          <w:tcPr>
            <w:tcW w:w="2160" w:type="dxa"/>
          </w:tcPr>
          <w:p w14:paraId="218CECA8" w14:textId="77777777" w:rsidR="006862F7" w:rsidRDefault="00000000">
            <w:r>
              <w:t>Unequal variances</w:t>
            </w:r>
          </w:p>
        </w:tc>
        <w:tc>
          <w:tcPr>
            <w:tcW w:w="2160" w:type="dxa"/>
          </w:tcPr>
          <w:p w14:paraId="365FA43A" w14:textId="77777777" w:rsidR="006862F7" w:rsidRDefault="00000000">
            <w:r>
              <w:t>0.83</w:t>
            </w:r>
          </w:p>
        </w:tc>
      </w:tr>
    </w:tbl>
    <w:p w14:paraId="4AC503AF" w14:textId="6DDA81D6" w:rsidR="006862F7" w:rsidRDefault="00000000">
      <w:r>
        <w:br/>
        <w:t>Key Takeaway: Effect sizes provide a common language for comparing results across studies. Understanding Cohen’s d, Hedges’ g, and Glass’s Δ is the foundation for meta-analysis.</w:t>
      </w:r>
      <w:r>
        <w:br/>
      </w:r>
    </w:p>
    <w:sectPr w:rsidR="006862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9230595">
    <w:abstractNumId w:val="8"/>
  </w:num>
  <w:num w:numId="2" w16cid:durableId="1801612054">
    <w:abstractNumId w:val="6"/>
  </w:num>
  <w:num w:numId="3" w16cid:durableId="1199392185">
    <w:abstractNumId w:val="5"/>
  </w:num>
  <w:num w:numId="4" w16cid:durableId="846403070">
    <w:abstractNumId w:val="4"/>
  </w:num>
  <w:num w:numId="5" w16cid:durableId="1191189570">
    <w:abstractNumId w:val="7"/>
  </w:num>
  <w:num w:numId="6" w16cid:durableId="1030574654">
    <w:abstractNumId w:val="3"/>
  </w:num>
  <w:num w:numId="7" w16cid:durableId="402216684">
    <w:abstractNumId w:val="2"/>
  </w:num>
  <w:num w:numId="8" w16cid:durableId="722948040">
    <w:abstractNumId w:val="1"/>
  </w:num>
  <w:num w:numId="9" w16cid:durableId="429275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2401"/>
    <w:rsid w:val="00326F90"/>
    <w:rsid w:val="00366C7B"/>
    <w:rsid w:val="006862F7"/>
    <w:rsid w:val="00AA1D8D"/>
    <w:rsid w:val="00B47730"/>
    <w:rsid w:val="00C229C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3657DB"/>
  <w14:defaultImageDpi w14:val="300"/>
  <w15:docId w15:val="{743D386E-03AC-47EE-B0A5-5948929A2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404</Words>
  <Characters>2291</Characters>
  <Application>Microsoft Office Word</Application>
  <DocSecurity>0</DocSecurity>
  <Lines>79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Jesse Lecy</cp:lastModifiedBy>
  <cp:revision>2</cp:revision>
  <dcterms:created xsi:type="dcterms:W3CDTF">2013-12-23T23:15:00Z</dcterms:created>
  <dcterms:modified xsi:type="dcterms:W3CDTF">2026-02-03T21:17:00Z</dcterms:modified>
  <cp:category/>
</cp:coreProperties>
</file>