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E13FF" w14:textId="77777777" w:rsidR="00212941" w:rsidRDefault="00000000">
      <w:pPr>
        <w:spacing w:before="80" w:after="200"/>
      </w:pPr>
      <w:r>
        <w:rPr>
          <w:i/>
          <w:iCs/>
          <w:color w:val="888888"/>
          <w:sz w:val="15"/>
          <w:szCs w:val="15"/>
        </w:rPr>
        <w:t xml:space="preserve">Series 2  ·  The Garden of Forking Paths (Tier 2a :: Fragile </w:t>
      </w:r>
      <w:proofErr w:type="gramStart"/>
      <w:r>
        <w:rPr>
          <w:i/>
          <w:iCs/>
          <w:color w:val="888888"/>
          <w:sz w:val="15"/>
          <w:szCs w:val="15"/>
        </w:rPr>
        <w:t xml:space="preserve">Findings)  · </w:t>
      </w:r>
      <w:proofErr w:type="gramEnd"/>
      <w:r>
        <w:rPr>
          <w:i/>
          <w:iCs/>
          <w:color w:val="888888"/>
          <w:sz w:val="15"/>
          <w:szCs w:val="15"/>
        </w:rPr>
        <w:t xml:space="preserve"> Research Integrity Detection Tool Guides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266"/>
        <w:gridCol w:w="7506"/>
      </w:tblGrid>
      <w:tr w:rsidR="00212941" w14:paraId="6EFB0420" w14:textId="77777777">
        <w:tc>
          <w:tcPr>
            <w:tcW w:w="1588" w:type="dxa"/>
            <w:vMerge w:val="restart"/>
            <w:tcBorders>
              <w:top w:val="none" w:sz="0" w:space="0" w:color="FFFFFF"/>
              <w:left w:val="none" w:sz="0" w:space="0" w:color="FFFFFF"/>
              <w:bottom w:val="none" w:sz="0" w:space="0" w:color="FFFFFF"/>
              <w:right w:val="single" w:sz="6" w:space="0" w:color="111111"/>
            </w:tcBorders>
            <w:shd w:val="clear" w:color="auto" w:fill="FFFFFF"/>
            <w:tcMar>
              <w:top w:w="0" w:type="dxa"/>
              <w:left w:w="0" w:type="dxa"/>
              <w:bottom w:w="0" w:type="dxa"/>
              <w:right w:w="160" w:type="dxa"/>
            </w:tcMar>
          </w:tcPr>
          <w:p w14:paraId="5201DA67" w14:textId="77777777" w:rsidR="00212941" w:rsidRDefault="00000000">
            <w:pPr>
              <w:spacing w:after="120"/>
              <w:jc w:val="right"/>
            </w:pPr>
            <w:r>
              <w:rPr>
                <w:rFonts w:ascii="Segoe UI Black" w:eastAsia="Segoe UI Black" w:hAnsi="Segoe UI Black" w:cs="Segoe UI Black"/>
                <w:color w:val="111111"/>
              </w:rPr>
              <w:t>THE GARDEN OF FORKING PATHS</w:t>
            </w:r>
          </w:p>
          <w:p w14:paraId="2C24872C" w14:textId="77777777" w:rsidR="00212941" w:rsidRDefault="00000000">
            <w:pPr>
              <w:spacing w:after="80"/>
              <w:jc w:val="right"/>
            </w:pPr>
            <w:r>
              <w:rPr>
                <w:b/>
                <w:bCs/>
                <w:color w:val="222222"/>
                <w:sz w:val="18"/>
                <w:szCs w:val="18"/>
              </w:rPr>
              <w:t>Multiverse Analysis  ·  Specification Curve Analysis  ·  Vibration of Effects</w:t>
            </w:r>
          </w:p>
        </w:tc>
        <w:tc>
          <w:tcPr>
            <w:tcW w:w="266" w:type="dxa"/>
            <w:vMerge w:val="restart"/>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0627017" w14:textId="77777777" w:rsidR="00212941" w:rsidRDefault="00212941"/>
        </w:tc>
        <w:tc>
          <w:tcPr>
            <w:tcW w:w="7506"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2B72D250" w14:textId="77777777" w:rsidR="00212941" w:rsidRDefault="00000000">
            <w:proofErr w:type="gramStart"/>
            <w:r>
              <w:rPr>
                <w:b/>
                <w:bCs/>
                <w:color w:val="222222"/>
              </w:rPr>
              <w:t>At a glance</w:t>
            </w:r>
            <w:proofErr w:type="gramEnd"/>
            <w:r>
              <w:rPr>
                <w:b/>
                <w:bCs/>
                <w:color w:val="222222"/>
              </w:rPr>
              <w:t xml:space="preserve">:  </w:t>
            </w:r>
            <w:r w:rsidRPr="000F7748">
              <w:rPr>
                <w:color w:val="222222"/>
              </w:rPr>
              <w:t>These three tools share a common purpose: making visible how much a published finding depends on analytic choices the researcher made — choices that are rarely disclosed, often arbitrary, and collectively capable of turning a null result into a significant one, or vice versa.</w:t>
            </w:r>
          </w:p>
        </w:tc>
      </w:tr>
      <w:tr w:rsidR="00212941" w14:paraId="6940E25F" w14:textId="77777777">
        <w:tc>
          <w:tcPr>
            <w:tcW w:w="0" w:type="auto"/>
            <w:vMerge/>
            <w:tcBorders>
              <w:top w:val="none" w:sz="0" w:space="0" w:color="FFFFFF"/>
              <w:left w:val="none" w:sz="0" w:space="0" w:color="FFFFFF"/>
              <w:bottom w:val="none" w:sz="0" w:space="0" w:color="FFFFFF"/>
              <w:right w:val="single" w:sz="6" w:space="0" w:color="111111"/>
            </w:tcBorders>
          </w:tcPr>
          <w:p w14:paraId="2EDA4141"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06061762"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2BBC9FE" w14:textId="77777777" w:rsidR="00212941" w:rsidRDefault="00212941">
            <w:pPr>
              <w:spacing w:after="60"/>
            </w:pPr>
          </w:p>
        </w:tc>
      </w:tr>
      <w:tr w:rsidR="00212941" w14:paraId="71E00B83" w14:textId="77777777">
        <w:tc>
          <w:tcPr>
            <w:tcW w:w="0" w:type="auto"/>
            <w:vMerge/>
            <w:tcBorders>
              <w:top w:val="none" w:sz="0" w:space="0" w:color="FFFFFF"/>
              <w:left w:val="none" w:sz="0" w:space="0" w:color="FFFFFF"/>
              <w:bottom w:val="none" w:sz="0" w:space="0" w:color="FFFFFF"/>
              <w:right w:val="single" w:sz="6" w:space="0" w:color="111111"/>
            </w:tcBorders>
          </w:tcPr>
          <w:p w14:paraId="79395330"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739623C" w14:textId="77777777" w:rsidR="00212941" w:rsidRDefault="00212941"/>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5F7A4CC5" w14:textId="77777777" w:rsidR="00212941" w:rsidRDefault="00000000">
            <w:pPr>
              <w:spacing w:after="60"/>
            </w:pPr>
            <w:r>
              <w:rPr>
                <w:b/>
                <w:bCs/>
                <w:color w:val="111111"/>
                <w:sz w:val="24"/>
                <w:szCs w:val="24"/>
              </w:rPr>
              <w:t>1.  The Shared Problem: Analytical Fragility</w:t>
            </w:r>
          </w:p>
        </w:tc>
      </w:tr>
      <w:tr w:rsidR="00212941" w14:paraId="16B2B0D5" w14:textId="77777777">
        <w:tc>
          <w:tcPr>
            <w:tcW w:w="0" w:type="auto"/>
            <w:vMerge/>
            <w:tcBorders>
              <w:top w:val="none" w:sz="0" w:space="0" w:color="FFFFFF"/>
              <w:left w:val="none" w:sz="0" w:space="0" w:color="FFFFFF"/>
              <w:bottom w:val="none" w:sz="0" w:space="0" w:color="FFFFFF"/>
              <w:right w:val="single" w:sz="6" w:space="0" w:color="111111"/>
            </w:tcBorders>
          </w:tcPr>
          <w:p w14:paraId="3B269AA6"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5307A819"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7C8A018" w14:textId="6E009DCD" w:rsidR="00212941" w:rsidRDefault="00000000">
            <w:r>
              <w:t xml:space="preserve">Every empirical study involves dozens of decisions that are never fully pre-specified: which cases to exclude, which covariates to </w:t>
            </w:r>
            <w:proofErr w:type="gramStart"/>
            <w:r>
              <w:t>control for</w:t>
            </w:r>
            <w:proofErr w:type="gramEnd"/>
            <w:r>
              <w:t xml:space="preserve">, how to </w:t>
            </w:r>
            <w:r w:rsidR="00BF759D">
              <w:t>operationalize</w:t>
            </w:r>
            <w:r>
              <w:t xml:space="preserve"> the key variables, which model family to use, what to do with outliers. </w:t>
            </w:r>
            <w:proofErr w:type="gramStart"/>
            <w:r>
              <w:t>Taken</w:t>
            </w:r>
            <w:proofErr w:type="gramEnd"/>
            <w:r>
              <w:t xml:space="preserve"> individually, each choice seems reasonable. </w:t>
            </w:r>
            <w:proofErr w:type="gramStart"/>
            <w:r>
              <w:t>But taken</w:t>
            </w:r>
            <w:proofErr w:type="gramEnd"/>
            <w:r>
              <w:t xml:space="preserve"> collectively they form what Andrew Gelman and Eric Loken described in 2014 as a 'garden of forking paths': a branching decision tree where the researcher, consciously or not, tends to follow the path that yields significance.</w:t>
            </w:r>
          </w:p>
        </w:tc>
      </w:tr>
      <w:tr w:rsidR="00212941" w14:paraId="78495F84" w14:textId="77777777">
        <w:tc>
          <w:tcPr>
            <w:tcW w:w="0" w:type="auto"/>
            <w:vMerge/>
            <w:tcBorders>
              <w:top w:val="none" w:sz="0" w:space="0" w:color="FFFFFF"/>
              <w:left w:val="none" w:sz="0" w:space="0" w:color="FFFFFF"/>
              <w:bottom w:val="none" w:sz="0" w:space="0" w:color="FFFFFF"/>
              <w:right w:val="single" w:sz="6" w:space="0" w:color="111111"/>
            </w:tcBorders>
          </w:tcPr>
          <w:p w14:paraId="6036955F"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90D4DFB"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E75624F" w14:textId="77777777" w:rsidR="00212941" w:rsidRDefault="00000000">
            <w:r>
              <w:t>The problem is not that researchers are dishonest. It is that the garden is invisible in the published paper. Readers see one path — the one that reached significance — with no indication of how many equally valid paths were never reported, or what they would have shown. This selective presentation inflates the false-positive rate in the literature without any individual act of fraud.</w:t>
            </w:r>
          </w:p>
        </w:tc>
      </w:tr>
      <w:tr w:rsidR="00212941" w14:paraId="08E5F8C7" w14:textId="77777777">
        <w:tc>
          <w:tcPr>
            <w:tcW w:w="0" w:type="auto"/>
            <w:vMerge/>
            <w:tcBorders>
              <w:top w:val="none" w:sz="0" w:space="0" w:color="FFFFFF"/>
              <w:left w:val="none" w:sz="0" w:space="0" w:color="FFFFFF"/>
              <w:bottom w:val="none" w:sz="0" w:space="0" w:color="FFFFFF"/>
              <w:right w:val="single" w:sz="6" w:space="0" w:color="111111"/>
            </w:tcBorders>
          </w:tcPr>
          <w:p w14:paraId="31E23DAB"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F64A68E"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35682D4" w14:textId="77777777" w:rsidR="00212941" w:rsidRDefault="00000000">
            <w:r>
              <w:t>The three tools described in this guide all operate by making the rest of the garden visible. They differ in how they do this, what data they require, and what quantity they ultimately estimate.</w:t>
            </w:r>
          </w:p>
        </w:tc>
      </w:tr>
      <w:tr w:rsidR="00212941" w14:paraId="76C3B98D" w14:textId="77777777">
        <w:tc>
          <w:tcPr>
            <w:tcW w:w="0" w:type="auto"/>
            <w:vMerge/>
            <w:tcBorders>
              <w:top w:val="none" w:sz="0" w:space="0" w:color="FFFFFF"/>
              <w:left w:val="none" w:sz="0" w:space="0" w:color="FFFFFF"/>
              <w:bottom w:val="none" w:sz="0" w:space="0" w:color="FFFFFF"/>
              <w:right w:val="single" w:sz="6" w:space="0" w:color="111111"/>
            </w:tcBorders>
          </w:tcPr>
          <w:p w14:paraId="7985A422"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16F6B540"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1940656" w14:textId="77777777" w:rsidR="00212941" w:rsidRDefault="00212941">
            <w:pPr>
              <w:spacing w:after="60"/>
            </w:pPr>
          </w:p>
        </w:tc>
      </w:tr>
      <w:tr w:rsidR="00212941" w14:paraId="1FF700D4" w14:textId="77777777">
        <w:tc>
          <w:tcPr>
            <w:tcW w:w="0" w:type="auto"/>
            <w:vMerge/>
            <w:tcBorders>
              <w:top w:val="none" w:sz="0" w:space="0" w:color="FFFFFF"/>
              <w:left w:val="none" w:sz="0" w:space="0" w:color="FFFFFF"/>
              <w:bottom w:val="none" w:sz="0" w:space="0" w:color="FFFFFF"/>
              <w:right w:val="single" w:sz="6" w:space="0" w:color="111111"/>
            </w:tcBorders>
          </w:tcPr>
          <w:p w14:paraId="4DB24BC9"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C1237B5" w14:textId="77777777" w:rsidR="00212941" w:rsidRDefault="00212941"/>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1F004DA" w14:textId="77777777" w:rsidR="00212941" w:rsidRDefault="00000000">
            <w:pPr>
              <w:spacing w:after="60"/>
            </w:pPr>
            <w:r>
              <w:rPr>
                <w:b/>
                <w:bCs/>
                <w:color w:val="111111"/>
                <w:sz w:val="24"/>
                <w:szCs w:val="24"/>
              </w:rPr>
              <w:t>2.  At-a-Glance Comparison</w:t>
            </w:r>
          </w:p>
        </w:tc>
      </w:tr>
      <w:tr w:rsidR="00212941" w14:paraId="5D87ABE9" w14:textId="77777777">
        <w:tc>
          <w:tcPr>
            <w:tcW w:w="0" w:type="auto"/>
            <w:vMerge/>
            <w:tcBorders>
              <w:top w:val="none" w:sz="0" w:space="0" w:color="FFFFFF"/>
              <w:left w:val="none" w:sz="0" w:space="0" w:color="FFFFFF"/>
              <w:bottom w:val="none" w:sz="0" w:space="0" w:color="FFFFFF"/>
              <w:right w:val="single" w:sz="6" w:space="0" w:color="111111"/>
            </w:tcBorders>
          </w:tcPr>
          <w:p w14:paraId="61E79291"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0BEE9E72"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212941" w14:paraId="512D23FA"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C411FC1" w14:textId="77777777" w:rsidR="00212941" w:rsidRDefault="00000000">
                  <w:r>
                    <w:rPr>
                      <w:b/>
                      <w:bCs/>
                      <w:color w:val="111111"/>
                    </w:rPr>
                    <w:t>Core question</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96C0CA0" w14:textId="77777777" w:rsidR="00212941" w:rsidRDefault="00000000">
                  <w:r>
                    <w:rPr>
                      <w:color w:val="444444"/>
                      <w:sz w:val="16"/>
                      <w:szCs w:val="16"/>
                    </w:rPr>
                    <w:t>Which results are possible across all defensible specifications?  |  What is the distribution across all valid specs with inferential tests?  |  How sensitive is the effect to covariate choice?</w:t>
                  </w:r>
                </w:p>
              </w:tc>
            </w:tr>
            <w:tr w:rsidR="00212941" w14:paraId="466B02FB"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BC9FD18" w14:textId="77777777" w:rsidR="00212941" w:rsidRDefault="00000000">
                  <w:r>
                    <w:rPr>
                      <w:b/>
                      <w:bCs/>
                      <w:color w:val="111111"/>
                    </w:rPr>
                    <w:t>Primary output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EFF624E" w14:textId="77777777" w:rsidR="00212941" w:rsidRDefault="00000000">
                  <w:r>
                    <w:rPr>
                      <w:color w:val="444444"/>
                      <w:sz w:val="16"/>
                      <w:szCs w:val="16"/>
                    </w:rPr>
                    <w:t>Distribution of effect sizes across all specification combinations</w:t>
                  </w:r>
                </w:p>
              </w:tc>
            </w:tr>
            <w:tr w:rsidR="00212941" w14:paraId="22904EA8"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25E3D50" w14:textId="77777777" w:rsidR="00212941" w:rsidRDefault="00000000">
                  <w:r>
                    <w:rPr>
                      <w:b/>
                      <w:bCs/>
                      <w:color w:val="111111"/>
                    </w:rPr>
                    <w:t>Disciplines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462EFA4" w14:textId="77777777" w:rsidR="00212941" w:rsidRDefault="00000000">
                  <w:r>
                    <w:rPr>
                      <w:color w:val="444444"/>
                      <w:sz w:val="16"/>
                      <w:szCs w:val="16"/>
                    </w:rPr>
                    <w:t>Psychology, sociology, political science; economics (SCA); epidemiology (</w:t>
                  </w:r>
                  <w:proofErr w:type="spellStart"/>
                  <w:r>
                    <w:rPr>
                      <w:color w:val="444444"/>
                      <w:sz w:val="16"/>
                      <w:szCs w:val="16"/>
                    </w:rPr>
                    <w:t>VoE</w:t>
                  </w:r>
                  <w:proofErr w:type="spellEnd"/>
                  <w:r>
                    <w:rPr>
                      <w:color w:val="444444"/>
                      <w:sz w:val="16"/>
                      <w:szCs w:val="16"/>
                    </w:rPr>
                    <w:t>)</w:t>
                  </w:r>
                </w:p>
              </w:tc>
            </w:tr>
            <w:tr w:rsidR="00212941" w14:paraId="44269C37"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52641F9" w14:textId="77777777" w:rsidR="00212941" w:rsidRDefault="00000000">
                  <w:r>
                    <w:rPr>
                      <w:b/>
                      <w:bCs/>
                      <w:color w:val="111111"/>
                    </w:rPr>
                    <w:t>Raw data needed?</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7BDB71C" w14:textId="77777777" w:rsidR="00212941" w:rsidRDefault="00000000">
                  <w:r>
                    <w:rPr>
                      <w:color w:val="444444"/>
                      <w:sz w:val="16"/>
                      <w:szCs w:val="16"/>
                    </w:rPr>
                    <w:t>Yes — all three require individual-level data to re-run analyses from scratch</w:t>
                  </w:r>
                </w:p>
              </w:tc>
            </w:tr>
            <w:tr w:rsidR="00212941" w14:paraId="31CAB3D3"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843CB51" w14:textId="77777777" w:rsidR="00212941" w:rsidRDefault="00000000">
                  <w:r>
                    <w:rPr>
                      <w:b/>
                      <w:bCs/>
                      <w:color w:val="111111"/>
                    </w:rPr>
                    <w:t>Introduced</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BDB9406" w14:textId="77777777" w:rsidR="00212941" w:rsidRDefault="00000000">
                  <w:r>
                    <w:rPr>
                      <w:color w:val="444444"/>
                      <w:sz w:val="16"/>
                      <w:szCs w:val="16"/>
                    </w:rPr>
                    <w:t xml:space="preserve">Multiverse: </w:t>
                  </w:r>
                  <w:proofErr w:type="spellStart"/>
                  <w:r>
                    <w:rPr>
                      <w:color w:val="444444"/>
                      <w:sz w:val="16"/>
                      <w:szCs w:val="16"/>
                    </w:rPr>
                    <w:t>Steegen</w:t>
                  </w:r>
                  <w:proofErr w:type="spellEnd"/>
                  <w:r>
                    <w:rPr>
                      <w:color w:val="444444"/>
                      <w:sz w:val="16"/>
                      <w:szCs w:val="16"/>
                    </w:rPr>
                    <w:t xml:space="preserve"> et al. 2016  ·  Specification Curve: </w:t>
                  </w:r>
                  <w:proofErr w:type="spellStart"/>
                  <w:r>
                    <w:rPr>
                      <w:color w:val="444444"/>
                      <w:sz w:val="16"/>
                      <w:szCs w:val="16"/>
                    </w:rPr>
                    <w:t>Simonsohn</w:t>
                  </w:r>
                  <w:proofErr w:type="spellEnd"/>
                  <w:r>
                    <w:rPr>
                      <w:color w:val="444444"/>
                      <w:sz w:val="16"/>
                      <w:szCs w:val="16"/>
                    </w:rPr>
                    <w:t xml:space="preserve"> et al. 2020  ·  Vibration of Effects: Patel et al. 2015</w:t>
                  </w:r>
                </w:p>
              </w:tc>
            </w:tr>
          </w:tbl>
          <w:p w14:paraId="4861730E" w14:textId="77777777" w:rsidR="00212941" w:rsidRDefault="00212941"/>
        </w:tc>
      </w:tr>
      <w:tr w:rsidR="00212941" w14:paraId="2C94222F" w14:textId="77777777">
        <w:tc>
          <w:tcPr>
            <w:tcW w:w="0" w:type="auto"/>
            <w:vMerge/>
            <w:tcBorders>
              <w:top w:val="none" w:sz="0" w:space="0" w:color="FFFFFF"/>
              <w:left w:val="none" w:sz="0" w:space="0" w:color="FFFFFF"/>
              <w:bottom w:val="none" w:sz="0" w:space="0" w:color="FFFFFF"/>
              <w:right w:val="single" w:sz="6" w:space="0" w:color="111111"/>
            </w:tcBorders>
          </w:tcPr>
          <w:p w14:paraId="38DB02F4"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50D2767"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4AD6F50" w14:textId="77777777" w:rsidR="00212941" w:rsidRDefault="00212941">
            <w:pPr>
              <w:spacing w:after="60"/>
            </w:pPr>
          </w:p>
        </w:tc>
      </w:tr>
      <w:tr w:rsidR="00212941" w14:paraId="7229787E" w14:textId="77777777">
        <w:tc>
          <w:tcPr>
            <w:tcW w:w="0" w:type="auto"/>
            <w:vMerge/>
            <w:tcBorders>
              <w:top w:val="none" w:sz="0" w:space="0" w:color="FFFFFF"/>
              <w:left w:val="none" w:sz="0" w:space="0" w:color="FFFFFF"/>
              <w:bottom w:val="none" w:sz="0" w:space="0" w:color="FFFFFF"/>
              <w:right w:val="single" w:sz="6" w:space="0" w:color="111111"/>
            </w:tcBorders>
          </w:tcPr>
          <w:p w14:paraId="49F041E9"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11D6382" w14:textId="77777777" w:rsidR="00212941" w:rsidRDefault="00212941"/>
        </w:tc>
        <w:tc>
          <w:tcPr>
            <w:tcW w:w="7506" w:type="dxa"/>
            <w:tcBorders>
              <w:top w:val="single" w:sz="6" w:space="0" w:color="111111"/>
              <w:left w:val="none" w:sz="0" w:space="0" w:color="FFFFFF"/>
              <w:bottom w:val="none" w:sz="0" w:space="0" w:color="FFFFFF"/>
              <w:right w:val="none" w:sz="0" w:space="0" w:color="FFFFFF"/>
            </w:tcBorders>
            <w:shd w:val="clear" w:color="auto" w:fill="FFFFFF"/>
            <w:tcMar>
              <w:top w:w="120" w:type="dxa"/>
              <w:left w:w="0" w:type="dxa"/>
              <w:bottom w:w="100" w:type="dxa"/>
              <w:right w:w="0" w:type="dxa"/>
            </w:tcMar>
          </w:tcPr>
          <w:p w14:paraId="7F7F4039" w14:textId="77777777" w:rsidR="00212941" w:rsidRPr="00F4248A" w:rsidRDefault="00000000">
            <w:pPr>
              <w:spacing w:after="50"/>
              <w:rPr>
                <w:sz w:val="22"/>
                <w:szCs w:val="22"/>
              </w:rPr>
            </w:pPr>
            <w:r w:rsidRPr="00F4248A">
              <w:rPr>
                <w:color w:val="888888"/>
                <w:sz w:val="22"/>
                <w:szCs w:val="22"/>
              </w:rPr>
              <w:t xml:space="preserve">Tool A  ·  </w:t>
            </w:r>
            <w:r w:rsidRPr="00F4248A">
              <w:rPr>
                <w:b/>
                <w:bCs/>
                <w:color w:val="111111"/>
                <w:sz w:val="28"/>
                <w:szCs w:val="28"/>
              </w:rPr>
              <w:t>Multiverse Analysis</w:t>
            </w:r>
          </w:p>
          <w:p w14:paraId="4FCFCE48" w14:textId="77777777" w:rsidR="00212941" w:rsidRDefault="00000000">
            <w:r>
              <w:rPr>
                <w:i/>
                <w:iCs/>
                <w:color w:val="444444"/>
                <w:sz w:val="16"/>
                <w:szCs w:val="16"/>
              </w:rPr>
              <w:t>Running all defensible specifications and displaying the full distribution of results</w:t>
            </w:r>
          </w:p>
        </w:tc>
      </w:tr>
      <w:tr w:rsidR="00212941" w14:paraId="03A28170" w14:textId="77777777">
        <w:tc>
          <w:tcPr>
            <w:tcW w:w="0" w:type="auto"/>
            <w:vMerge/>
            <w:tcBorders>
              <w:top w:val="none" w:sz="0" w:space="0" w:color="FFFFFF"/>
              <w:left w:val="none" w:sz="0" w:space="0" w:color="FFFFFF"/>
              <w:bottom w:val="none" w:sz="0" w:space="0" w:color="FFFFFF"/>
              <w:right w:val="single" w:sz="6" w:space="0" w:color="111111"/>
            </w:tcBorders>
          </w:tcPr>
          <w:p w14:paraId="3C007FE5"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A37536C"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7885144" w14:textId="77777777" w:rsidR="00212941" w:rsidRDefault="00212941">
            <w:pPr>
              <w:spacing w:after="40"/>
            </w:pPr>
          </w:p>
        </w:tc>
      </w:tr>
      <w:tr w:rsidR="00212941" w14:paraId="1FDFE0E3" w14:textId="77777777">
        <w:tc>
          <w:tcPr>
            <w:tcW w:w="0" w:type="auto"/>
            <w:vMerge/>
            <w:tcBorders>
              <w:top w:val="none" w:sz="0" w:space="0" w:color="FFFFFF"/>
              <w:left w:val="none" w:sz="0" w:space="0" w:color="FFFFFF"/>
              <w:bottom w:val="none" w:sz="0" w:space="0" w:color="FFFFFF"/>
              <w:right w:val="single" w:sz="6" w:space="0" w:color="111111"/>
            </w:tcBorders>
          </w:tcPr>
          <w:p w14:paraId="0C4C501A"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6A9A193"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14A88415" w14:textId="77777777" w:rsidR="00212941" w:rsidRDefault="00000000">
            <w:r>
              <w:rPr>
                <w:b/>
                <w:bCs/>
                <w:color w:val="111111"/>
              </w:rPr>
              <w:t>Overview</w:t>
            </w:r>
          </w:p>
        </w:tc>
      </w:tr>
      <w:tr w:rsidR="00212941" w14:paraId="404EB828" w14:textId="77777777">
        <w:tc>
          <w:tcPr>
            <w:tcW w:w="0" w:type="auto"/>
            <w:vMerge/>
            <w:tcBorders>
              <w:top w:val="none" w:sz="0" w:space="0" w:color="FFFFFF"/>
              <w:left w:val="none" w:sz="0" w:space="0" w:color="FFFFFF"/>
              <w:bottom w:val="none" w:sz="0" w:space="0" w:color="FFFFFF"/>
              <w:right w:val="single" w:sz="6" w:space="0" w:color="111111"/>
            </w:tcBorders>
          </w:tcPr>
          <w:p w14:paraId="6AC33456"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5DBBB935"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5BD0AA9" w14:textId="77777777" w:rsidR="00212941" w:rsidRDefault="00000000">
            <w:r>
              <w:t xml:space="preserve">Multiverse analysis, introduced by Sara </w:t>
            </w:r>
            <w:proofErr w:type="spellStart"/>
            <w:r>
              <w:t>Steegen</w:t>
            </w:r>
            <w:proofErr w:type="spellEnd"/>
            <w:r>
              <w:t xml:space="preserve"> and colleagues in 2016, takes the position that there is rarely a single correct specification of a statistical model — there is instead a set of equally defensible choices. Rather than choosing one and reporting it as 'the' result, multiverse analysis runs all of them and presents the entire distribution of effect sizes and significance decisions as the finding.</w:t>
            </w:r>
          </w:p>
        </w:tc>
      </w:tr>
      <w:tr w:rsidR="00212941" w14:paraId="02098509" w14:textId="77777777">
        <w:tc>
          <w:tcPr>
            <w:tcW w:w="0" w:type="auto"/>
            <w:vMerge/>
            <w:tcBorders>
              <w:top w:val="none" w:sz="0" w:space="0" w:color="FFFFFF"/>
              <w:left w:val="none" w:sz="0" w:space="0" w:color="FFFFFF"/>
              <w:bottom w:val="none" w:sz="0" w:space="0" w:color="FFFFFF"/>
              <w:right w:val="single" w:sz="6" w:space="0" w:color="111111"/>
            </w:tcBorders>
          </w:tcPr>
          <w:p w14:paraId="26FBAA4E"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1FC128A9"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041A952" w14:textId="77777777" w:rsidR="00212941" w:rsidRDefault="00212941">
            <w:pPr>
              <w:spacing w:after="40"/>
            </w:pPr>
          </w:p>
        </w:tc>
      </w:tr>
      <w:tr w:rsidR="00212941" w14:paraId="61FFB7B9" w14:textId="77777777">
        <w:tc>
          <w:tcPr>
            <w:tcW w:w="0" w:type="auto"/>
            <w:vMerge/>
            <w:tcBorders>
              <w:top w:val="none" w:sz="0" w:space="0" w:color="FFFFFF"/>
              <w:left w:val="none" w:sz="0" w:space="0" w:color="FFFFFF"/>
              <w:bottom w:val="none" w:sz="0" w:space="0" w:color="FFFFFF"/>
              <w:right w:val="single" w:sz="6" w:space="0" w:color="111111"/>
            </w:tcBorders>
          </w:tcPr>
          <w:p w14:paraId="4241605E"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11AD588"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D7EBC03" w14:textId="77777777" w:rsidR="00212941" w:rsidRDefault="00000000">
            <w:r>
              <w:rPr>
                <w:b/>
                <w:bCs/>
                <w:color w:val="111111"/>
              </w:rPr>
              <w:t>Methodological Overview</w:t>
            </w:r>
          </w:p>
        </w:tc>
      </w:tr>
      <w:tr w:rsidR="00212941" w14:paraId="0181AFAA" w14:textId="77777777">
        <w:tc>
          <w:tcPr>
            <w:tcW w:w="0" w:type="auto"/>
            <w:vMerge/>
            <w:tcBorders>
              <w:top w:val="none" w:sz="0" w:space="0" w:color="FFFFFF"/>
              <w:left w:val="none" w:sz="0" w:space="0" w:color="FFFFFF"/>
              <w:bottom w:val="none" w:sz="0" w:space="0" w:color="FFFFFF"/>
              <w:right w:val="single" w:sz="6" w:space="0" w:color="111111"/>
            </w:tcBorders>
          </w:tcPr>
          <w:p w14:paraId="2A381EFB"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60956CE"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F53EB95" w14:textId="77777777" w:rsidR="00212941" w:rsidRDefault="00000000">
            <w:r>
              <w:t>The analyst begins by enumerating every analytic decision point where multiple choices would be scientifically defensible. Common decision nodes include:</w:t>
            </w:r>
          </w:p>
        </w:tc>
      </w:tr>
      <w:tr w:rsidR="00212941" w14:paraId="5B061DA1" w14:textId="77777777">
        <w:tc>
          <w:tcPr>
            <w:tcW w:w="0" w:type="auto"/>
            <w:vMerge/>
            <w:tcBorders>
              <w:top w:val="none" w:sz="0" w:space="0" w:color="FFFFFF"/>
              <w:left w:val="none" w:sz="0" w:space="0" w:color="FFFFFF"/>
              <w:bottom w:val="none" w:sz="0" w:space="0" w:color="FFFFFF"/>
              <w:right w:val="single" w:sz="6" w:space="0" w:color="111111"/>
            </w:tcBorders>
          </w:tcPr>
          <w:p w14:paraId="673CBC09"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00696B7"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7D0A992" w14:textId="77777777" w:rsidR="00212941" w:rsidRDefault="00000000">
            <w:pPr>
              <w:ind w:left="320"/>
            </w:pPr>
            <w:r>
              <w:t>•  Outlier exclusion rules (e.g., ±2 SD vs. ±3 SD vs. no exclusion)</w:t>
            </w:r>
          </w:p>
        </w:tc>
      </w:tr>
      <w:tr w:rsidR="00212941" w14:paraId="24EE9F52" w14:textId="77777777">
        <w:tc>
          <w:tcPr>
            <w:tcW w:w="0" w:type="auto"/>
            <w:vMerge/>
            <w:tcBorders>
              <w:top w:val="none" w:sz="0" w:space="0" w:color="FFFFFF"/>
              <w:left w:val="none" w:sz="0" w:space="0" w:color="FFFFFF"/>
              <w:bottom w:val="none" w:sz="0" w:space="0" w:color="FFFFFF"/>
              <w:right w:val="single" w:sz="6" w:space="0" w:color="111111"/>
            </w:tcBorders>
          </w:tcPr>
          <w:p w14:paraId="14AB904B"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14CB48D1"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5B53CE9" w14:textId="07E32E80" w:rsidR="00212941" w:rsidRDefault="00000000">
            <w:pPr>
              <w:ind w:left="320"/>
            </w:pPr>
            <w:r>
              <w:t xml:space="preserve">•  Variable </w:t>
            </w:r>
            <w:r w:rsidR="00BF759D">
              <w:t>operationalization</w:t>
            </w:r>
            <w:r>
              <w:t xml:space="preserve"> (e.g., </w:t>
            </w:r>
            <w:proofErr w:type="gramStart"/>
            <w:r>
              <w:t>scale total</w:t>
            </w:r>
            <w:proofErr w:type="gramEnd"/>
            <w:r>
              <w:t xml:space="preserve"> vs. mean; raw vs. log-transformed)</w:t>
            </w:r>
          </w:p>
        </w:tc>
      </w:tr>
      <w:tr w:rsidR="00212941" w14:paraId="51239AF0" w14:textId="77777777">
        <w:tc>
          <w:tcPr>
            <w:tcW w:w="0" w:type="auto"/>
            <w:vMerge/>
            <w:tcBorders>
              <w:top w:val="none" w:sz="0" w:space="0" w:color="FFFFFF"/>
              <w:left w:val="none" w:sz="0" w:space="0" w:color="FFFFFF"/>
              <w:bottom w:val="none" w:sz="0" w:space="0" w:color="FFFFFF"/>
              <w:right w:val="single" w:sz="6" w:space="0" w:color="111111"/>
            </w:tcBorders>
          </w:tcPr>
          <w:p w14:paraId="7162DD1C"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8C97095"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2F0F63E" w14:textId="77777777" w:rsidR="00212941" w:rsidRDefault="00000000">
            <w:pPr>
              <w:ind w:left="320"/>
            </w:pPr>
            <w:r>
              <w:t>•  Covariate inclusion (e.g., include age, exclude age, include age and gender)</w:t>
            </w:r>
          </w:p>
        </w:tc>
      </w:tr>
      <w:tr w:rsidR="00212941" w14:paraId="57F918A7" w14:textId="77777777">
        <w:tc>
          <w:tcPr>
            <w:tcW w:w="0" w:type="auto"/>
            <w:vMerge/>
            <w:tcBorders>
              <w:top w:val="none" w:sz="0" w:space="0" w:color="FFFFFF"/>
              <w:left w:val="none" w:sz="0" w:space="0" w:color="FFFFFF"/>
              <w:bottom w:val="none" w:sz="0" w:space="0" w:color="FFFFFF"/>
              <w:right w:val="single" w:sz="6" w:space="0" w:color="111111"/>
            </w:tcBorders>
          </w:tcPr>
          <w:p w14:paraId="5DFBD109"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08F3D08"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22531ED" w14:textId="77777777" w:rsidR="00212941" w:rsidRDefault="00000000">
            <w:pPr>
              <w:ind w:left="320"/>
            </w:pPr>
            <w:r>
              <w:t>•  Subsample restrictions (e.g., full sample vs. participants meeting an attention check)</w:t>
            </w:r>
          </w:p>
        </w:tc>
      </w:tr>
      <w:tr w:rsidR="00212941" w14:paraId="37B9A69A" w14:textId="77777777">
        <w:tc>
          <w:tcPr>
            <w:tcW w:w="0" w:type="auto"/>
            <w:vMerge/>
            <w:tcBorders>
              <w:top w:val="none" w:sz="0" w:space="0" w:color="FFFFFF"/>
              <w:left w:val="none" w:sz="0" w:space="0" w:color="FFFFFF"/>
              <w:bottom w:val="none" w:sz="0" w:space="0" w:color="FFFFFF"/>
              <w:right w:val="single" w:sz="6" w:space="0" w:color="111111"/>
            </w:tcBorders>
          </w:tcPr>
          <w:p w14:paraId="0A33AA6B"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B1D85FC"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6AA20D0" w14:textId="77777777" w:rsidR="00212941" w:rsidRDefault="00000000">
            <w:pPr>
              <w:ind w:left="320"/>
            </w:pPr>
            <w:r>
              <w:t>•  Model family (e.g., OLS vs. robust regression vs. mixed effects)</w:t>
            </w:r>
          </w:p>
        </w:tc>
      </w:tr>
      <w:tr w:rsidR="00212941" w14:paraId="42DE3EB1" w14:textId="77777777">
        <w:tc>
          <w:tcPr>
            <w:tcW w:w="0" w:type="auto"/>
            <w:vMerge/>
            <w:tcBorders>
              <w:top w:val="none" w:sz="0" w:space="0" w:color="FFFFFF"/>
              <w:left w:val="none" w:sz="0" w:space="0" w:color="FFFFFF"/>
              <w:bottom w:val="none" w:sz="0" w:space="0" w:color="FFFFFF"/>
              <w:right w:val="single" w:sz="6" w:space="0" w:color="111111"/>
            </w:tcBorders>
          </w:tcPr>
          <w:p w14:paraId="68393005"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4F413FE"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2AFF1DB" w14:textId="0BC0B413" w:rsidR="00212941" w:rsidRDefault="00000000">
            <w:r>
              <w:t xml:space="preserve">Each unique combination of one choice at each node constitutes a 'specification'. If there are 3 outlier rules, 2 </w:t>
            </w:r>
            <w:r w:rsidR="00BF759D">
              <w:t>operationalization</w:t>
            </w:r>
            <w:r>
              <w:t xml:space="preserve">, 3 covariate sets, and 2 subsamples, there are 3 × 2 × 3 × 2 = 36 specifications. The </w:t>
            </w:r>
            <w:r>
              <w:lastRenderedPageBreak/>
              <w:t>multiverse runs all 36 and records the effect size and p-value for each. Results are displayed as a two-panel figure: effect size estimates sorted by magnitude (top panel), and a grid showing which analytic choices produced which estimates (bottom panel).</w:t>
            </w:r>
          </w:p>
        </w:tc>
      </w:tr>
      <w:tr w:rsidR="00212941" w14:paraId="1CF80EF8" w14:textId="77777777">
        <w:tc>
          <w:tcPr>
            <w:tcW w:w="0" w:type="auto"/>
            <w:vMerge/>
            <w:tcBorders>
              <w:top w:val="none" w:sz="0" w:space="0" w:color="FFFFFF"/>
              <w:left w:val="none" w:sz="0" w:space="0" w:color="FFFFFF"/>
              <w:bottom w:val="none" w:sz="0" w:space="0" w:color="FFFFFF"/>
              <w:right w:val="single" w:sz="6" w:space="0" w:color="111111"/>
            </w:tcBorders>
          </w:tcPr>
          <w:p w14:paraId="6317E7DD"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726E1C7"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9B056A1" w14:textId="77777777" w:rsidR="00212941" w:rsidRDefault="00212941">
            <w:pPr>
              <w:spacing w:after="40"/>
            </w:pPr>
          </w:p>
        </w:tc>
      </w:tr>
      <w:tr w:rsidR="00212941" w14:paraId="6F569375" w14:textId="77777777">
        <w:tc>
          <w:tcPr>
            <w:tcW w:w="0" w:type="auto"/>
            <w:vMerge/>
            <w:tcBorders>
              <w:top w:val="none" w:sz="0" w:space="0" w:color="FFFFFF"/>
              <w:left w:val="none" w:sz="0" w:space="0" w:color="FFFFFF"/>
              <w:bottom w:val="none" w:sz="0" w:space="0" w:color="FFFFFF"/>
              <w:right w:val="single" w:sz="6" w:space="0" w:color="111111"/>
            </w:tcBorders>
          </w:tcPr>
          <w:p w14:paraId="73630793"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3926772F"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13B70564" w14:textId="77777777" w:rsidR="00212941" w:rsidRDefault="00000000">
            <w:r>
              <w:rPr>
                <w:b/>
                <w:bCs/>
                <w:color w:val="111111"/>
              </w:rPr>
              <w:t>Example Application</w:t>
            </w:r>
          </w:p>
        </w:tc>
      </w:tr>
      <w:tr w:rsidR="00212941" w14:paraId="053E3DA7" w14:textId="77777777">
        <w:tc>
          <w:tcPr>
            <w:tcW w:w="0" w:type="auto"/>
            <w:vMerge/>
            <w:tcBorders>
              <w:top w:val="none" w:sz="0" w:space="0" w:color="FFFFFF"/>
              <w:left w:val="none" w:sz="0" w:space="0" w:color="FFFFFF"/>
              <w:bottom w:val="none" w:sz="0" w:space="0" w:color="FFFFFF"/>
              <w:right w:val="single" w:sz="6" w:space="0" w:color="111111"/>
            </w:tcBorders>
          </w:tcPr>
          <w:p w14:paraId="6763F04E"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0006C378"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E8591FC" w14:textId="6159B840" w:rsidR="00212941" w:rsidRDefault="00000000">
            <w:r>
              <w:t xml:space="preserve">Oswald et al. conducted a multiverse-style re-analysis of studies on whether implicit racial bias (IAT scores) predicted discriminatory </w:t>
            </w:r>
            <w:r w:rsidR="00BF759D">
              <w:t>behavior</w:t>
            </w:r>
            <w:r>
              <w:t xml:space="preserve">. Using different inclusion criteria, moderator sets, and outcome </w:t>
            </w:r>
            <w:r w:rsidR="00BF759D">
              <w:t>operationalizations</w:t>
            </w:r>
            <w:r>
              <w:t xml:space="preserve">, the distribution of effect sizes across specifications ranged from near-zero to substantial — with the original published estimate sitting at the positive tail of the plausible range, not the </w:t>
            </w:r>
            <w:r w:rsidR="00BF759D">
              <w:t>center</w:t>
            </w:r>
            <w:r>
              <w:t xml:space="preserve">. The multiverse </w:t>
            </w:r>
            <w:proofErr w:type="gramStart"/>
            <w:r>
              <w:t>made</w:t>
            </w:r>
            <w:proofErr w:type="gramEnd"/>
            <w:r>
              <w:t xml:space="preserve"> visible that the headline estimate was among the most </w:t>
            </w:r>
            <w:r w:rsidR="00BF759D">
              <w:t>favorable</w:t>
            </w:r>
            <w:r>
              <w:t xml:space="preserve"> of all defensible results.</w:t>
            </w:r>
          </w:p>
        </w:tc>
      </w:tr>
      <w:tr w:rsidR="00212941" w14:paraId="2F6EDEB3" w14:textId="77777777">
        <w:tc>
          <w:tcPr>
            <w:tcW w:w="0" w:type="auto"/>
            <w:vMerge/>
            <w:tcBorders>
              <w:top w:val="none" w:sz="0" w:space="0" w:color="FFFFFF"/>
              <w:left w:val="none" w:sz="0" w:space="0" w:color="FFFFFF"/>
              <w:bottom w:val="none" w:sz="0" w:space="0" w:color="FFFFFF"/>
              <w:right w:val="single" w:sz="6" w:space="0" w:color="111111"/>
            </w:tcBorders>
          </w:tcPr>
          <w:p w14:paraId="3FCFED42"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6CDE2A8"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37D0D2A" w14:textId="77777777" w:rsidR="00212941" w:rsidRDefault="00212941">
            <w:pPr>
              <w:spacing w:after="40"/>
            </w:pPr>
          </w:p>
        </w:tc>
      </w:tr>
      <w:tr w:rsidR="00212941" w14:paraId="51DA6B0F" w14:textId="77777777">
        <w:tc>
          <w:tcPr>
            <w:tcW w:w="0" w:type="auto"/>
            <w:vMerge/>
            <w:tcBorders>
              <w:top w:val="none" w:sz="0" w:space="0" w:color="FFFFFF"/>
              <w:left w:val="none" w:sz="0" w:space="0" w:color="FFFFFF"/>
              <w:bottom w:val="none" w:sz="0" w:space="0" w:color="FFFFFF"/>
              <w:right w:val="single" w:sz="6" w:space="0" w:color="111111"/>
            </w:tcBorders>
          </w:tcPr>
          <w:p w14:paraId="4B6235B8"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11B3B2A2"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5D89BB6" w14:textId="77777777" w:rsidR="00212941" w:rsidRDefault="00000000">
            <w:r>
              <w:rPr>
                <w:b/>
                <w:bCs/>
                <w:color w:val="111111"/>
              </w:rPr>
              <w:t>Requirements</w:t>
            </w:r>
          </w:p>
        </w:tc>
      </w:tr>
      <w:tr w:rsidR="00212941" w14:paraId="031F57F0" w14:textId="77777777">
        <w:tc>
          <w:tcPr>
            <w:tcW w:w="0" w:type="auto"/>
            <w:vMerge/>
            <w:tcBorders>
              <w:top w:val="none" w:sz="0" w:space="0" w:color="FFFFFF"/>
              <w:left w:val="none" w:sz="0" w:space="0" w:color="FFFFFF"/>
              <w:bottom w:val="none" w:sz="0" w:space="0" w:color="FFFFFF"/>
              <w:right w:val="single" w:sz="6" w:space="0" w:color="111111"/>
            </w:tcBorders>
          </w:tcPr>
          <w:p w14:paraId="434A0567"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09BE09ED"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212941" w14:paraId="78D102AF"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A8F83D7" w14:textId="77777777" w:rsidR="00212941" w:rsidRDefault="00000000">
                  <w:r>
                    <w:rPr>
                      <w:b/>
                      <w:bCs/>
                      <w:color w:val="111111"/>
                    </w:rPr>
                    <w:t>Raw data</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EC1B887" w14:textId="77777777" w:rsidR="00212941" w:rsidRDefault="00000000">
                  <w:r>
                    <w:rPr>
                      <w:color w:val="444444"/>
                      <w:sz w:val="16"/>
                      <w:szCs w:val="16"/>
                    </w:rPr>
                    <w:t>Required. The multiverse re-runs the analysis from scratch under each specification. Published summary statistics alone are not sufficient.</w:t>
                  </w:r>
                </w:p>
              </w:tc>
            </w:tr>
            <w:tr w:rsidR="00212941" w14:paraId="015A76E5"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560E625" w14:textId="77777777" w:rsidR="00212941" w:rsidRDefault="00000000">
                  <w:r>
                    <w:rPr>
                      <w:b/>
                      <w:bCs/>
                      <w:color w:val="111111"/>
                    </w:rPr>
                    <w:t>Code access</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169C293" w14:textId="77777777" w:rsidR="00212941" w:rsidRDefault="00000000">
                  <w:r>
                    <w:rPr>
                      <w:color w:val="444444"/>
                      <w:sz w:val="16"/>
                      <w:szCs w:val="16"/>
                    </w:rPr>
                    <w:t>Highly beneficial. Reproducible analysis code (R, Python, Stata) allows automated re-running. Without code, each specification must be run manually.</w:t>
                  </w:r>
                </w:p>
              </w:tc>
            </w:tr>
            <w:tr w:rsidR="00212941" w14:paraId="51531A21"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68FDB7A" w14:textId="77777777" w:rsidR="00212941" w:rsidRDefault="00000000">
                  <w:r>
                    <w:rPr>
                      <w:b/>
                      <w:bCs/>
                      <w:color w:val="111111"/>
                    </w:rPr>
                    <w:t>Decision enumeration</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7E39835" w14:textId="77777777" w:rsidR="00212941" w:rsidRDefault="00000000">
                  <w:r>
                    <w:rPr>
                      <w:color w:val="444444"/>
                      <w:sz w:val="16"/>
                      <w:szCs w:val="16"/>
                    </w:rPr>
                    <w:t>The researcher must explicitly specify all choice nodes and defensible options at each. This requires domain knowledge — there is no automated way to enumerate valid choices.</w:t>
                  </w:r>
                </w:p>
              </w:tc>
            </w:tr>
            <w:tr w:rsidR="00212941" w14:paraId="646A9D92"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C1E3BA7" w14:textId="77777777" w:rsidR="00212941" w:rsidRDefault="00000000">
                  <w:r>
                    <w:rPr>
                      <w:b/>
                      <w:bCs/>
                      <w:color w:val="111111"/>
                    </w:rPr>
                    <w:t>R package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EE36370" w14:textId="77777777" w:rsidR="00212941" w:rsidRDefault="00000000">
                  <w:r>
                    <w:rPr>
                      <w:color w:val="444444"/>
                      <w:sz w:val="16"/>
                      <w:szCs w:val="16"/>
                    </w:rPr>
                    <w:t>The multiverse R package (</w:t>
                  </w:r>
                  <w:proofErr w:type="spellStart"/>
                  <w:r>
                    <w:rPr>
                      <w:color w:val="444444"/>
                      <w:sz w:val="16"/>
                      <w:szCs w:val="16"/>
                    </w:rPr>
                    <w:t>Steegen</w:t>
                  </w:r>
                  <w:proofErr w:type="spellEnd"/>
                  <w:r>
                    <w:rPr>
                      <w:color w:val="444444"/>
                      <w:sz w:val="16"/>
                      <w:szCs w:val="16"/>
                    </w:rPr>
                    <w:t xml:space="preserve"> et al.) automates specification enumeration and running. </w:t>
                  </w:r>
                  <w:proofErr w:type="spellStart"/>
                  <w:r>
                    <w:rPr>
                      <w:color w:val="444444"/>
                      <w:sz w:val="16"/>
                      <w:szCs w:val="16"/>
                    </w:rPr>
                    <w:t>specr</w:t>
                  </w:r>
                  <w:proofErr w:type="spellEnd"/>
                  <w:r>
                    <w:rPr>
                      <w:color w:val="444444"/>
                      <w:sz w:val="16"/>
                      <w:szCs w:val="16"/>
                    </w:rPr>
                    <w:t xml:space="preserve"> is an alternative with a tidy interface.</w:t>
                  </w:r>
                </w:p>
              </w:tc>
            </w:tr>
            <w:tr w:rsidR="00212941" w14:paraId="24919E30"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92BDABB" w14:textId="77777777" w:rsidR="00212941" w:rsidRDefault="00000000">
                  <w:r>
                    <w:rPr>
                      <w:b/>
                      <w:bCs/>
                      <w:color w:val="111111"/>
                    </w:rPr>
                    <w:t>Interpretive rule</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27318F7" w14:textId="77777777" w:rsidR="00212941" w:rsidRDefault="00000000">
                  <w:r>
                    <w:rPr>
                      <w:color w:val="444444"/>
                      <w:sz w:val="16"/>
                      <w:szCs w:val="16"/>
                    </w:rPr>
                    <w:t>Results require a decision rule for 'robust': proportion of significant specs, sign consistency, or the width of the effect size distribution across the full multiverse.</w:t>
                  </w:r>
                </w:p>
              </w:tc>
            </w:tr>
          </w:tbl>
          <w:p w14:paraId="016E64D8" w14:textId="77777777" w:rsidR="00212941" w:rsidRDefault="00212941"/>
        </w:tc>
      </w:tr>
      <w:tr w:rsidR="00212941" w14:paraId="7A850B1E" w14:textId="77777777">
        <w:tc>
          <w:tcPr>
            <w:tcW w:w="0" w:type="auto"/>
            <w:vMerge/>
            <w:tcBorders>
              <w:top w:val="none" w:sz="0" w:space="0" w:color="FFFFFF"/>
              <w:left w:val="none" w:sz="0" w:space="0" w:color="FFFFFF"/>
              <w:bottom w:val="none" w:sz="0" w:space="0" w:color="FFFFFF"/>
              <w:right w:val="single" w:sz="6" w:space="0" w:color="111111"/>
            </w:tcBorders>
          </w:tcPr>
          <w:p w14:paraId="647D3EC5"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33DDF3D4"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4DFD897" w14:textId="77777777" w:rsidR="00212941" w:rsidRDefault="00212941">
            <w:pPr>
              <w:spacing w:after="80"/>
            </w:pPr>
          </w:p>
        </w:tc>
      </w:tr>
      <w:tr w:rsidR="00212941" w14:paraId="45E08F4B" w14:textId="77777777">
        <w:tc>
          <w:tcPr>
            <w:tcW w:w="0" w:type="auto"/>
            <w:vMerge/>
            <w:tcBorders>
              <w:top w:val="none" w:sz="0" w:space="0" w:color="FFFFFF"/>
              <w:left w:val="none" w:sz="0" w:space="0" w:color="FFFFFF"/>
              <w:bottom w:val="none" w:sz="0" w:space="0" w:color="FFFFFF"/>
              <w:right w:val="single" w:sz="6" w:space="0" w:color="111111"/>
            </w:tcBorders>
          </w:tcPr>
          <w:p w14:paraId="5D087E2D"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9DD5CFD" w14:textId="77777777" w:rsidR="00212941" w:rsidRDefault="00212941"/>
        </w:tc>
        <w:tc>
          <w:tcPr>
            <w:tcW w:w="7506" w:type="dxa"/>
            <w:tcBorders>
              <w:top w:val="single" w:sz="6" w:space="0" w:color="111111"/>
              <w:left w:val="none" w:sz="0" w:space="0" w:color="FFFFFF"/>
              <w:bottom w:val="none" w:sz="0" w:space="0" w:color="FFFFFF"/>
              <w:right w:val="none" w:sz="0" w:space="0" w:color="FFFFFF"/>
            </w:tcBorders>
            <w:shd w:val="clear" w:color="auto" w:fill="FFFFFF"/>
            <w:tcMar>
              <w:top w:w="120" w:type="dxa"/>
              <w:left w:w="0" w:type="dxa"/>
              <w:bottom w:w="100" w:type="dxa"/>
              <w:right w:w="0" w:type="dxa"/>
            </w:tcMar>
          </w:tcPr>
          <w:p w14:paraId="2C452B2E" w14:textId="77777777" w:rsidR="00212941" w:rsidRPr="00F4248A" w:rsidRDefault="00000000">
            <w:pPr>
              <w:spacing w:after="50"/>
              <w:rPr>
                <w:sz w:val="22"/>
                <w:szCs w:val="22"/>
              </w:rPr>
            </w:pPr>
            <w:r w:rsidRPr="00F4248A">
              <w:rPr>
                <w:color w:val="888888"/>
                <w:sz w:val="22"/>
                <w:szCs w:val="22"/>
              </w:rPr>
              <w:t xml:space="preserve">Tool B  ·  </w:t>
            </w:r>
            <w:r w:rsidRPr="00F4248A">
              <w:rPr>
                <w:b/>
                <w:bCs/>
                <w:color w:val="111111"/>
                <w:sz w:val="28"/>
                <w:szCs w:val="28"/>
              </w:rPr>
              <w:t>Specification Curve Analysis</w:t>
            </w:r>
          </w:p>
          <w:p w14:paraId="7496524F" w14:textId="77777777" w:rsidR="00212941" w:rsidRDefault="00000000">
            <w:r>
              <w:rPr>
                <w:i/>
                <w:iCs/>
                <w:color w:val="444444"/>
                <w:sz w:val="16"/>
                <w:szCs w:val="16"/>
              </w:rPr>
              <w:t>Plotting all valid specifications with inferential permutation tests across the full curve</w:t>
            </w:r>
          </w:p>
        </w:tc>
      </w:tr>
      <w:tr w:rsidR="00212941" w14:paraId="302EE893" w14:textId="77777777">
        <w:tc>
          <w:tcPr>
            <w:tcW w:w="0" w:type="auto"/>
            <w:vMerge/>
            <w:tcBorders>
              <w:top w:val="none" w:sz="0" w:space="0" w:color="FFFFFF"/>
              <w:left w:val="none" w:sz="0" w:space="0" w:color="FFFFFF"/>
              <w:bottom w:val="none" w:sz="0" w:space="0" w:color="FFFFFF"/>
              <w:right w:val="single" w:sz="6" w:space="0" w:color="111111"/>
            </w:tcBorders>
          </w:tcPr>
          <w:p w14:paraId="52E60DFB"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5EB338F0"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C9C3877" w14:textId="77777777" w:rsidR="00212941" w:rsidRDefault="00212941">
            <w:pPr>
              <w:spacing w:after="40"/>
            </w:pPr>
          </w:p>
        </w:tc>
      </w:tr>
      <w:tr w:rsidR="00212941" w14:paraId="741AEB36" w14:textId="77777777">
        <w:tc>
          <w:tcPr>
            <w:tcW w:w="0" w:type="auto"/>
            <w:vMerge/>
            <w:tcBorders>
              <w:top w:val="none" w:sz="0" w:space="0" w:color="FFFFFF"/>
              <w:left w:val="none" w:sz="0" w:space="0" w:color="FFFFFF"/>
              <w:bottom w:val="none" w:sz="0" w:space="0" w:color="FFFFFF"/>
              <w:right w:val="single" w:sz="6" w:space="0" w:color="111111"/>
            </w:tcBorders>
          </w:tcPr>
          <w:p w14:paraId="129D23DA"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31750A82"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220EC6C" w14:textId="77777777" w:rsidR="00212941" w:rsidRDefault="00000000">
            <w:r>
              <w:rPr>
                <w:b/>
                <w:bCs/>
                <w:color w:val="111111"/>
              </w:rPr>
              <w:t>Overview</w:t>
            </w:r>
          </w:p>
        </w:tc>
      </w:tr>
      <w:tr w:rsidR="00212941" w14:paraId="3F6C7912" w14:textId="77777777">
        <w:tc>
          <w:tcPr>
            <w:tcW w:w="0" w:type="auto"/>
            <w:vMerge/>
            <w:tcBorders>
              <w:top w:val="none" w:sz="0" w:space="0" w:color="FFFFFF"/>
              <w:left w:val="none" w:sz="0" w:space="0" w:color="FFFFFF"/>
              <w:bottom w:val="none" w:sz="0" w:space="0" w:color="FFFFFF"/>
              <w:right w:val="single" w:sz="6" w:space="0" w:color="111111"/>
            </w:tcBorders>
          </w:tcPr>
          <w:p w14:paraId="47BE59BF"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C85DA36"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611440C" w14:textId="77777777" w:rsidR="00212941" w:rsidRDefault="00000000">
            <w:r>
              <w:t>Specification curve analysis (SCA), developed by Uri Simonsohn, Joseph Simmons, and Leif Nelson, takes a similar approach to multiverse analysis but adds a formal inferential layer: instead of just displaying the distribution, it tests whether the observed curve is more extreme than would be expected if the null hypothesis were true across all specifications.</w:t>
            </w:r>
          </w:p>
        </w:tc>
      </w:tr>
      <w:tr w:rsidR="00212941" w14:paraId="52CF135C" w14:textId="77777777">
        <w:tc>
          <w:tcPr>
            <w:tcW w:w="0" w:type="auto"/>
            <w:vMerge/>
            <w:tcBorders>
              <w:top w:val="none" w:sz="0" w:space="0" w:color="FFFFFF"/>
              <w:left w:val="none" w:sz="0" w:space="0" w:color="FFFFFF"/>
              <w:bottom w:val="none" w:sz="0" w:space="0" w:color="FFFFFF"/>
              <w:right w:val="single" w:sz="6" w:space="0" w:color="111111"/>
            </w:tcBorders>
          </w:tcPr>
          <w:p w14:paraId="3F6D72EB"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4DE70DE"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49CEA23" w14:textId="3E602555" w:rsidR="00212941" w:rsidRDefault="00000000">
            <w:r>
              <w:t xml:space="preserve">Where multiverse analysis </w:t>
            </w:r>
            <w:proofErr w:type="gramStart"/>
            <w:r>
              <w:t>asks</w:t>
            </w:r>
            <w:proofErr w:type="gramEnd"/>
            <w:r>
              <w:t xml:space="preserve"> 'what do the results look like across the choice space?', SCA asks 'is there genuine signal in the data, or is the pattern of results consistent with chance given the number of choices made?' The specification curve is simultaneously a </w:t>
            </w:r>
            <w:r w:rsidR="00BF759D">
              <w:t>visualization</w:t>
            </w:r>
            <w:r>
              <w:t xml:space="preserve"> tool and a statistical test.</w:t>
            </w:r>
          </w:p>
        </w:tc>
      </w:tr>
      <w:tr w:rsidR="00212941" w14:paraId="7B8A3B25" w14:textId="77777777">
        <w:tc>
          <w:tcPr>
            <w:tcW w:w="0" w:type="auto"/>
            <w:vMerge/>
            <w:tcBorders>
              <w:top w:val="none" w:sz="0" w:space="0" w:color="FFFFFF"/>
              <w:left w:val="none" w:sz="0" w:space="0" w:color="FFFFFF"/>
              <w:bottom w:val="none" w:sz="0" w:space="0" w:color="FFFFFF"/>
              <w:right w:val="single" w:sz="6" w:space="0" w:color="111111"/>
            </w:tcBorders>
          </w:tcPr>
          <w:p w14:paraId="6D2697AC"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C9586DC"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F639CFC" w14:textId="77777777" w:rsidR="00212941" w:rsidRDefault="00212941">
            <w:pPr>
              <w:spacing w:after="40"/>
            </w:pPr>
          </w:p>
        </w:tc>
      </w:tr>
      <w:tr w:rsidR="00212941" w14:paraId="5A4140E0" w14:textId="77777777">
        <w:tc>
          <w:tcPr>
            <w:tcW w:w="0" w:type="auto"/>
            <w:vMerge/>
            <w:tcBorders>
              <w:top w:val="none" w:sz="0" w:space="0" w:color="FFFFFF"/>
              <w:left w:val="none" w:sz="0" w:space="0" w:color="FFFFFF"/>
              <w:bottom w:val="none" w:sz="0" w:space="0" w:color="FFFFFF"/>
              <w:right w:val="single" w:sz="6" w:space="0" w:color="111111"/>
            </w:tcBorders>
          </w:tcPr>
          <w:p w14:paraId="010C0536"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530AB61"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72B7C02" w14:textId="77777777" w:rsidR="00212941" w:rsidRDefault="00000000">
            <w:r>
              <w:rPr>
                <w:b/>
                <w:bCs/>
                <w:color w:val="111111"/>
              </w:rPr>
              <w:t>Methodological Overview</w:t>
            </w:r>
          </w:p>
        </w:tc>
      </w:tr>
      <w:tr w:rsidR="00212941" w14:paraId="36203DF6" w14:textId="77777777">
        <w:tc>
          <w:tcPr>
            <w:tcW w:w="0" w:type="auto"/>
            <w:vMerge/>
            <w:tcBorders>
              <w:top w:val="none" w:sz="0" w:space="0" w:color="FFFFFF"/>
              <w:left w:val="none" w:sz="0" w:space="0" w:color="FFFFFF"/>
              <w:bottom w:val="none" w:sz="0" w:space="0" w:color="FFFFFF"/>
              <w:right w:val="single" w:sz="6" w:space="0" w:color="111111"/>
            </w:tcBorders>
          </w:tcPr>
          <w:p w14:paraId="1462BDCD"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B180E95"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4F42AF1" w14:textId="77777777" w:rsidR="00212941" w:rsidRDefault="00000000">
            <w:r>
              <w:t>SCA proceeds in three steps. First, define the universe of specifications — all combinations of analytic choices that are (a) not clearly wrong and (b) at least defensible given the research question. Second, estimate and plot the specification curve: each specification is run, its effect and significance recorded, results sorted by effect size and plotted as a curve. Third, inferential tests:</w:t>
            </w:r>
          </w:p>
        </w:tc>
      </w:tr>
      <w:tr w:rsidR="00212941" w14:paraId="1A8DB6DA" w14:textId="77777777">
        <w:tc>
          <w:tcPr>
            <w:tcW w:w="0" w:type="auto"/>
            <w:vMerge/>
            <w:tcBorders>
              <w:top w:val="none" w:sz="0" w:space="0" w:color="FFFFFF"/>
              <w:left w:val="none" w:sz="0" w:space="0" w:color="FFFFFF"/>
              <w:bottom w:val="none" w:sz="0" w:space="0" w:color="FFFFFF"/>
              <w:right w:val="single" w:sz="6" w:space="0" w:color="111111"/>
            </w:tcBorders>
          </w:tcPr>
          <w:p w14:paraId="0DF5DB1D"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BE3ABB9"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83F96EC" w14:textId="77777777" w:rsidR="00212941" w:rsidRDefault="00212941">
            <w:pPr>
              <w:spacing w:after="30"/>
            </w:pPr>
          </w:p>
        </w:tc>
      </w:tr>
      <w:tr w:rsidR="00212941" w14:paraId="0F9C5361" w14:textId="77777777">
        <w:tc>
          <w:tcPr>
            <w:tcW w:w="0" w:type="auto"/>
            <w:vMerge/>
            <w:tcBorders>
              <w:top w:val="none" w:sz="0" w:space="0" w:color="FFFFFF"/>
              <w:left w:val="none" w:sz="0" w:space="0" w:color="FFFFFF"/>
              <w:bottom w:val="none" w:sz="0" w:space="0" w:color="FFFFFF"/>
              <w:right w:val="single" w:sz="6" w:space="0" w:color="111111"/>
            </w:tcBorders>
          </w:tcPr>
          <w:p w14:paraId="49AC77E0"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87FAC6E" w14:textId="77777777" w:rsidR="00212941" w:rsidRDefault="00212941"/>
        </w:tc>
        <w:tc>
          <w:tcPr>
            <w:tcW w:w="7506"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5506F2EB" w14:textId="77777777" w:rsidR="00212941" w:rsidRDefault="00000000">
            <w:pPr>
              <w:spacing w:after="60"/>
            </w:pPr>
            <w:r>
              <w:rPr>
                <w:rFonts w:ascii="Courier New" w:eastAsia="Courier New" w:hAnsi="Courier New" w:cs="Courier New"/>
                <w:b/>
                <w:bCs/>
                <w:color w:val="111111"/>
              </w:rPr>
              <w:t>Test 1:  Median β across all specs  vs.  permutation null Test 2:  % specs significant  vs.  chance expectation</w:t>
            </w:r>
          </w:p>
          <w:p w14:paraId="06A1FE10" w14:textId="77777777" w:rsidR="00212941" w:rsidRDefault="00000000">
            <w:r>
              <w:rPr>
                <w:i/>
                <w:iCs/>
                <w:color w:val="444444"/>
                <w:sz w:val="15"/>
                <w:szCs w:val="15"/>
              </w:rPr>
              <w:t>Both tests use permutation: the outcome variable is randomly shuffled many times, the full specification curve is estimated for each shuffle, and the observed curve statistics are compared to the null distribution.</w:t>
            </w:r>
          </w:p>
        </w:tc>
      </w:tr>
      <w:tr w:rsidR="00212941" w14:paraId="29B4DC2F" w14:textId="77777777">
        <w:tc>
          <w:tcPr>
            <w:tcW w:w="0" w:type="auto"/>
            <w:vMerge/>
            <w:tcBorders>
              <w:top w:val="none" w:sz="0" w:space="0" w:color="FFFFFF"/>
              <w:left w:val="none" w:sz="0" w:space="0" w:color="FFFFFF"/>
              <w:bottom w:val="none" w:sz="0" w:space="0" w:color="FFFFFF"/>
              <w:right w:val="single" w:sz="6" w:space="0" w:color="111111"/>
            </w:tcBorders>
          </w:tcPr>
          <w:p w14:paraId="7B37601D"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166F3B5D"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44517F5" w14:textId="77777777" w:rsidR="00212941" w:rsidRDefault="00212941">
            <w:pPr>
              <w:spacing w:after="40"/>
            </w:pPr>
          </w:p>
        </w:tc>
      </w:tr>
      <w:tr w:rsidR="00212941" w14:paraId="359CEDEC" w14:textId="77777777">
        <w:tc>
          <w:tcPr>
            <w:tcW w:w="0" w:type="auto"/>
            <w:vMerge/>
            <w:tcBorders>
              <w:top w:val="none" w:sz="0" w:space="0" w:color="FFFFFF"/>
              <w:left w:val="none" w:sz="0" w:space="0" w:color="FFFFFF"/>
              <w:bottom w:val="none" w:sz="0" w:space="0" w:color="FFFFFF"/>
              <w:right w:val="single" w:sz="6" w:space="0" w:color="111111"/>
            </w:tcBorders>
          </w:tcPr>
          <w:p w14:paraId="1A6FCA2C"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DABBE52"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0B11C71" w14:textId="77777777" w:rsidR="00212941" w:rsidRDefault="00000000">
            <w:r>
              <w:t>A finding is considered robust if (a) the median effect size across all specifications is significantly larger than the permutation null, and (b) the proportion of significant specifications is significantly higher than expected by chance.</w:t>
            </w:r>
          </w:p>
        </w:tc>
      </w:tr>
      <w:tr w:rsidR="00212941" w14:paraId="1211BB86" w14:textId="77777777">
        <w:tc>
          <w:tcPr>
            <w:tcW w:w="0" w:type="auto"/>
            <w:vMerge/>
            <w:tcBorders>
              <w:top w:val="none" w:sz="0" w:space="0" w:color="FFFFFF"/>
              <w:left w:val="none" w:sz="0" w:space="0" w:color="FFFFFF"/>
              <w:bottom w:val="none" w:sz="0" w:space="0" w:color="FFFFFF"/>
              <w:right w:val="single" w:sz="6" w:space="0" w:color="111111"/>
            </w:tcBorders>
          </w:tcPr>
          <w:p w14:paraId="60604C87"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964B00E"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6C30132" w14:textId="77777777" w:rsidR="00212941" w:rsidRDefault="00212941">
            <w:pPr>
              <w:spacing w:after="40"/>
            </w:pPr>
          </w:p>
        </w:tc>
      </w:tr>
      <w:tr w:rsidR="00212941" w14:paraId="79E5AC9D" w14:textId="77777777">
        <w:tc>
          <w:tcPr>
            <w:tcW w:w="0" w:type="auto"/>
            <w:vMerge/>
            <w:tcBorders>
              <w:top w:val="none" w:sz="0" w:space="0" w:color="FFFFFF"/>
              <w:left w:val="none" w:sz="0" w:space="0" w:color="FFFFFF"/>
              <w:bottom w:val="none" w:sz="0" w:space="0" w:color="FFFFFF"/>
              <w:right w:val="single" w:sz="6" w:space="0" w:color="111111"/>
            </w:tcBorders>
          </w:tcPr>
          <w:p w14:paraId="4D53CDC9"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30A6426"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0B0CE42" w14:textId="77777777" w:rsidR="00212941" w:rsidRDefault="00000000">
            <w:r>
              <w:rPr>
                <w:b/>
                <w:bCs/>
                <w:color w:val="111111"/>
              </w:rPr>
              <w:t>Example Application</w:t>
            </w:r>
          </w:p>
        </w:tc>
      </w:tr>
      <w:tr w:rsidR="00212941" w14:paraId="7E1AD44C" w14:textId="77777777">
        <w:tc>
          <w:tcPr>
            <w:tcW w:w="0" w:type="auto"/>
            <w:vMerge/>
            <w:tcBorders>
              <w:top w:val="none" w:sz="0" w:space="0" w:color="FFFFFF"/>
              <w:left w:val="none" w:sz="0" w:space="0" w:color="FFFFFF"/>
              <w:bottom w:val="none" w:sz="0" w:space="0" w:color="FFFFFF"/>
              <w:right w:val="single" w:sz="6" w:space="0" w:color="111111"/>
            </w:tcBorders>
          </w:tcPr>
          <w:p w14:paraId="7B1BFFCA"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C30D2DA"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815F9BE" w14:textId="77777777" w:rsidR="00212941" w:rsidRDefault="00000000">
            <w:r>
              <w:t xml:space="preserve">Orben and Przybylski (2019) applied SCA </w:t>
            </w:r>
            <w:proofErr w:type="gramStart"/>
            <w:r>
              <w:t>to</w:t>
            </w:r>
            <w:proofErr w:type="gramEnd"/>
            <w:r>
              <w:t xml:space="preserve"> whether screen time harms adolescent wellbeing. Using three large longitudinal datasets, they enumerated 43,890 specifications arising from different wellbeing outcomes, screen time measures, covariate sets, and subsamples. The specification curve showed that </w:t>
            </w:r>
            <w:proofErr w:type="gramStart"/>
            <w:r>
              <w:t>the vast majority of</w:t>
            </w:r>
            <w:proofErr w:type="gramEnd"/>
            <w:r>
              <w:t xml:space="preserve"> effect sizes were negative but extremely small — comparable in magnitude to wearing glasses. The inferential tests confirmed that while the association was real, it was far too small to support public discourse claims. The SCA replaced a single contested estimate with a complete picture of the effect landscape.</w:t>
            </w:r>
          </w:p>
        </w:tc>
      </w:tr>
      <w:tr w:rsidR="00212941" w14:paraId="3A99C679" w14:textId="77777777">
        <w:tc>
          <w:tcPr>
            <w:tcW w:w="0" w:type="auto"/>
            <w:vMerge/>
            <w:tcBorders>
              <w:top w:val="none" w:sz="0" w:space="0" w:color="FFFFFF"/>
              <w:left w:val="none" w:sz="0" w:space="0" w:color="FFFFFF"/>
              <w:bottom w:val="none" w:sz="0" w:space="0" w:color="FFFFFF"/>
              <w:right w:val="single" w:sz="6" w:space="0" w:color="111111"/>
            </w:tcBorders>
          </w:tcPr>
          <w:p w14:paraId="664F6590"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0EF82C31"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1C41656" w14:textId="77777777" w:rsidR="00212941" w:rsidRDefault="00212941">
            <w:pPr>
              <w:spacing w:after="40"/>
            </w:pPr>
          </w:p>
        </w:tc>
      </w:tr>
      <w:tr w:rsidR="00212941" w14:paraId="26BB5DEE" w14:textId="77777777">
        <w:tc>
          <w:tcPr>
            <w:tcW w:w="0" w:type="auto"/>
            <w:vMerge/>
            <w:tcBorders>
              <w:top w:val="none" w:sz="0" w:space="0" w:color="FFFFFF"/>
              <w:left w:val="none" w:sz="0" w:space="0" w:color="FFFFFF"/>
              <w:bottom w:val="none" w:sz="0" w:space="0" w:color="FFFFFF"/>
              <w:right w:val="single" w:sz="6" w:space="0" w:color="111111"/>
            </w:tcBorders>
          </w:tcPr>
          <w:p w14:paraId="385FD2A5"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F20D0BE"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8F4E9D5" w14:textId="77777777" w:rsidR="00212941" w:rsidRDefault="00000000">
            <w:r>
              <w:rPr>
                <w:b/>
                <w:bCs/>
                <w:color w:val="111111"/>
              </w:rPr>
              <w:t>Requirements</w:t>
            </w:r>
          </w:p>
        </w:tc>
      </w:tr>
      <w:tr w:rsidR="00212941" w14:paraId="0441B229" w14:textId="77777777">
        <w:tc>
          <w:tcPr>
            <w:tcW w:w="0" w:type="auto"/>
            <w:vMerge/>
            <w:tcBorders>
              <w:top w:val="none" w:sz="0" w:space="0" w:color="FFFFFF"/>
              <w:left w:val="none" w:sz="0" w:space="0" w:color="FFFFFF"/>
              <w:bottom w:val="none" w:sz="0" w:space="0" w:color="FFFFFF"/>
              <w:right w:val="single" w:sz="6" w:space="0" w:color="111111"/>
            </w:tcBorders>
          </w:tcPr>
          <w:p w14:paraId="7D0F4D39"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F1274C6"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212941" w14:paraId="51B1F815"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216AD85" w14:textId="77777777" w:rsidR="00212941" w:rsidRDefault="00000000">
                  <w:r>
                    <w:rPr>
                      <w:b/>
                      <w:bCs/>
                      <w:color w:val="111111"/>
                    </w:rPr>
                    <w:t>Raw data</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B0B75C7" w14:textId="77777777" w:rsidR="00212941" w:rsidRDefault="00000000">
                  <w:r>
                    <w:rPr>
                      <w:color w:val="444444"/>
                      <w:sz w:val="16"/>
                      <w:szCs w:val="16"/>
                    </w:rPr>
                    <w:t>Required. SCA re-estimates the model under every specification from scratch.</w:t>
                  </w:r>
                </w:p>
              </w:tc>
            </w:tr>
            <w:tr w:rsidR="00212941" w14:paraId="4DE2DDB4"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3871E96" w14:textId="77777777" w:rsidR="00212941" w:rsidRDefault="00000000">
                  <w:r>
                    <w:rPr>
                      <w:b/>
                      <w:bCs/>
                      <w:color w:val="111111"/>
                    </w:rPr>
                    <w:t>Reproducible code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1AD3BFA" w14:textId="77777777" w:rsidR="00212941" w:rsidRDefault="00000000">
                  <w:r>
                    <w:rPr>
                      <w:color w:val="444444"/>
                      <w:sz w:val="16"/>
                      <w:szCs w:val="16"/>
                    </w:rPr>
                    <w:t xml:space="preserve">Strongly recommended. The </w:t>
                  </w:r>
                  <w:proofErr w:type="spellStart"/>
                  <w:r>
                    <w:rPr>
                      <w:color w:val="444444"/>
                      <w:sz w:val="16"/>
                      <w:szCs w:val="16"/>
                    </w:rPr>
                    <w:t>specr</w:t>
                  </w:r>
                  <w:proofErr w:type="spellEnd"/>
                  <w:r>
                    <w:rPr>
                      <w:color w:val="444444"/>
                      <w:sz w:val="16"/>
                      <w:szCs w:val="16"/>
                    </w:rPr>
                    <w:t xml:space="preserve"> R package and </w:t>
                  </w:r>
                  <w:proofErr w:type="spellStart"/>
                  <w:r>
                    <w:rPr>
                      <w:color w:val="444444"/>
                      <w:sz w:val="16"/>
                      <w:szCs w:val="16"/>
                    </w:rPr>
                    <w:t>rdfanalysis</w:t>
                  </w:r>
                  <w:proofErr w:type="spellEnd"/>
                  <w:r>
                    <w:rPr>
                      <w:color w:val="444444"/>
                      <w:sz w:val="16"/>
                      <w:szCs w:val="16"/>
                    </w:rPr>
                    <w:t xml:space="preserve"> automate specification enumeration and curve estimation.</w:t>
                  </w:r>
                </w:p>
              </w:tc>
            </w:tr>
            <w:tr w:rsidR="00212941" w14:paraId="102BA337"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3603436" w14:textId="77777777" w:rsidR="00212941" w:rsidRDefault="00000000">
                  <w:r>
                    <w:rPr>
                      <w:b/>
                      <w:bCs/>
                      <w:color w:val="111111"/>
                    </w:rPr>
                    <w:t>Pre-specification</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CBFABB8" w14:textId="77777777" w:rsidR="00212941" w:rsidRDefault="00000000">
                  <w:r>
                    <w:rPr>
                      <w:color w:val="444444"/>
                      <w:sz w:val="16"/>
                      <w:szCs w:val="16"/>
                    </w:rPr>
                    <w:t>Most credible when the universe of valid specifications is defined before looking at results — otherwise the choice of 'valid' specs can itself become a researcher degree of freedom.</w:t>
                  </w:r>
                </w:p>
              </w:tc>
            </w:tr>
            <w:tr w:rsidR="00212941" w14:paraId="7B457793"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52121B6" w14:textId="77777777" w:rsidR="00212941" w:rsidRDefault="00000000">
                  <w:r>
                    <w:rPr>
                      <w:b/>
                      <w:bCs/>
                      <w:color w:val="111111"/>
                    </w:rPr>
                    <w:t>Sample size / spec count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3172DD1" w14:textId="77777777" w:rsidR="00212941" w:rsidRDefault="00000000">
                  <w:r>
                    <w:rPr>
                      <w:color w:val="444444"/>
                      <w:sz w:val="16"/>
                      <w:szCs w:val="16"/>
                    </w:rPr>
                    <w:t>The permutation test gains power with either a large sample or many specifications. With very few specs and a small sample the test may have low power even when a genuine effect exists.</w:t>
                  </w:r>
                </w:p>
              </w:tc>
            </w:tr>
          </w:tbl>
          <w:p w14:paraId="33093BA3" w14:textId="77777777" w:rsidR="00212941" w:rsidRDefault="00212941"/>
        </w:tc>
      </w:tr>
      <w:tr w:rsidR="00212941" w14:paraId="4A4DD2F0" w14:textId="77777777">
        <w:tc>
          <w:tcPr>
            <w:tcW w:w="0" w:type="auto"/>
            <w:vMerge/>
            <w:tcBorders>
              <w:top w:val="none" w:sz="0" w:space="0" w:color="FFFFFF"/>
              <w:left w:val="none" w:sz="0" w:space="0" w:color="FFFFFF"/>
              <w:bottom w:val="none" w:sz="0" w:space="0" w:color="FFFFFF"/>
              <w:right w:val="single" w:sz="6" w:space="0" w:color="111111"/>
            </w:tcBorders>
          </w:tcPr>
          <w:p w14:paraId="675C8F7B"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4F9518D"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BBA6F54" w14:textId="77777777" w:rsidR="00212941" w:rsidRDefault="00212941">
            <w:pPr>
              <w:spacing w:after="80"/>
            </w:pPr>
          </w:p>
        </w:tc>
      </w:tr>
      <w:tr w:rsidR="00212941" w14:paraId="78C100CA" w14:textId="77777777">
        <w:tc>
          <w:tcPr>
            <w:tcW w:w="0" w:type="auto"/>
            <w:vMerge/>
            <w:tcBorders>
              <w:top w:val="none" w:sz="0" w:space="0" w:color="FFFFFF"/>
              <w:left w:val="none" w:sz="0" w:space="0" w:color="FFFFFF"/>
              <w:bottom w:val="none" w:sz="0" w:space="0" w:color="FFFFFF"/>
              <w:right w:val="single" w:sz="6" w:space="0" w:color="111111"/>
            </w:tcBorders>
          </w:tcPr>
          <w:p w14:paraId="26A230D5"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37382795" w14:textId="77777777" w:rsidR="00212941" w:rsidRDefault="00212941"/>
        </w:tc>
        <w:tc>
          <w:tcPr>
            <w:tcW w:w="7506" w:type="dxa"/>
            <w:tcBorders>
              <w:top w:val="single" w:sz="6" w:space="0" w:color="111111"/>
              <w:left w:val="none" w:sz="0" w:space="0" w:color="FFFFFF"/>
              <w:bottom w:val="none" w:sz="0" w:space="0" w:color="FFFFFF"/>
              <w:right w:val="none" w:sz="0" w:space="0" w:color="FFFFFF"/>
            </w:tcBorders>
            <w:shd w:val="clear" w:color="auto" w:fill="FFFFFF"/>
            <w:tcMar>
              <w:top w:w="120" w:type="dxa"/>
              <w:left w:w="0" w:type="dxa"/>
              <w:bottom w:w="100" w:type="dxa"/>
              <w:right w:w="0" w:type="dxa"/>
            </w:tcMar>
          </w:tcPr>
          <w:p w14:paraId="00534E8F" w14:textId="77777777" w:rsidR="00212941" w:rsidRPr="00F4248A" w:rsidRDefault="00000000">
            <w:pPr>
              <w:spacing w:after="50"/>
              <w:rPr>
                <w:sz w:val="22"/>
                <w:szCs w:val="22"/>
              </w:rPr>
            </w:pPr>
            <w:r w:rsidRPr="00F4248A">
              <w:rPr>
                <w:color w:val="888888"/>
                <w:sz w:val="22"/>
                <w:szCs w:val="22"/>
              </w:rPr>
              <w:t xml:space="preserve">Tool C  ·  </w:t>
            </w:r>
            <w:r w:rsidRPr="00F4248A">
              <w:rPr>
                <w:b/>
                <w:bCs/>
                <w:color w:val="111111"/>
                <w:sz w:val="28"/>
                <w:szCs w:val="28"/>
              </w:rPr>
              <w:t>Vibration of Effects (</w:t>
            </w:r>
            <w:proofErr w:type="spellStart"/>
            <w:r w:rsidRPr="00F4248A">
              <w:rPr>
                <w:b/>
                <w:bCs/>
                <w:color w:val="111111"/>
                <w:sz w:val="28"/>
                <w:szCs w:val="28"/>
              </w:rPr>
              <w:t>VoE</w:t>
            </w:r>
            <w:proofErr w:type="spellEnd"/>
            <w:r w:rsidRPr="00F4248A">
              <w:rPr>
                <w:b/>
                <w:bCs/>
                <w:color w:val="111111"/>
                <w:sz w:val="28"/>
                <w:szCs w:val="28"/>
              </w:rPr>
              <w:t>)</w:t>
            </w:r>
          </w:p>
          <w:p w14:paraId="16F965BF" w14:textId="77777777" w:rsidR="00212941" w:rsidRDefault="00000000">
            <w:r>
              <w:rPr>
                <w:i/>
                <w:iCs/>
                <w:color w:val="444444"/>
                <w:sz w:val="16"/>
                <w:szCs w:val="16"/>
              </w:rPr>
              <w:t>Quantifying sensitivity of epidemiological associations to covariate perturbations</w:t>
            </w:r>
          </w:p>
        </w:tc>
      </w:tr>
      <w:tr w:rsidR="00212941" w14:paraId="64CE9059" w14:textId="77777777">
        <w:tc>
          <w:tcPr>
            <w:tcW w:w="0" w:type="auto"/>
            <w:vMerge/>
            <w:tcBorders>
              <w:top w:val="none" w:sz="0" w:space="0" w:color="FFFFFF"/>
              <w:left w:val="none" w:sz="0" w:space="0" w:color="FFFFFF"/>
              <w:bottom w:val="none" w:sz="0" w:space="0" w:color="FFFFFF"/>
              <w:right w:val="single" w:sz="6" w:space="0" w:color="111111"/>
            </w:tcBorders>
          </w:tcPr>
          <w:p w14:paraId="1F483AA1"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30FDF819"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A23A71C" w14:textId="77777777" w:rsidR="00212941" w:rsidRDefault="00212941">
            <w:pPr>
              <w:spacing w:after="40"/>
            </w:pPr>
          </w:p>
        </w:tc>
      </w:tr>
      <w:tr w:rsidR="00212941" w14:paraId="6667D2BE" w14:textId="77777777">
        <w:tc>
          <w:tcPr>
            <w:tcW w:w="0" w:type="auto"/>
            <w:vMerge/>
            <w:tcBorders>
              <w:top w:val="none" w:sz="0" w:space="0" w:color="FFFFFF"/>
              <w:left w:val="none" w:sz="0" w:space="0" w:color="FFFFFF"/>
              <w:bottom w:val="none" w:sz="0" w:space="0" w:color="FFFFFF"/>
              <w:right w:val="single" w:sz="6" w:space="0" w:color="111111"/>
            </w:tcBorders>
          </w:tcPr>
          <w:p w14:paraId="6384827E"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D8F05A5"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22D87E09" w14:textId="77777777" w:rsidR="00212941" w:rsidRDefault="00000000">
            <w:r>
              <w:rPr>
                <w:b/>
                <w:bCs/>
                <w:color w:val="111111"/>
              </w:rPr>
              <w:t>Overview</w:t>
            </w:r>
          </w:p>
        </w:tc>
      </w:tr>
      <w:tr w:rsidR="00212941" w14:paraId="204235A2" w14:textId="77777777">
        <w:tc>
          <w:tcPr>
            <w:tcW w:w="0" w:type="auto"/>
            <w:vMerge/>
            <w:tcBorders>
              <w:top w:val="none" w:sz="0" w:space="0" w:color="FFFFFF"/>
              <w:left w:val="none" w:sz="0" w:space="0" w:color="FFFFFF"/>
              <w:bottom w:val="none" w:sz="0" w:space="0" w:color="FFFFFF"/>
              <w:right w:val="single" w:sz="6" w:space="0" w:color="111111"/>
            </w:tcBorders>
          </w:tcPr>
          <w:p w14:paraId="380CBB0F"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5B7107D6"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A469155" w14:textId="77777777" w:rsidR="00212941" w:rsidRDefault="00000000">
            <w:r>
              <w:t>Vibration of effects, introduced by Chirag Patel and colleagues in 2015, addresses a specific and pervasive form of analytical fragility in epidemiology and clinical research: the sensitivity of a reported association to the choice of adjustment covariates. In fields where researchers routinely control for 'relevant confounders', the choice of which confounders to include is often undisclosed and arbitrary — and it can dramatically change both the magnitude and direction of the reported association.</w:t>
            </w:r>
          </w:p>
        </w:tc>
      </w:tr>
      <w:tr w:rsidR="00212941" w14:paraId="548E768B" w14:textId="77777777">
        <w:tc>
          <w:tcPr>
            <w:tcW w:w="0" w:type="auto"/>
            <w:vMerge/>
            <w:tcBorders>
              <w:top w:val="none" w:sz="0" w:space="0" w:color="FFFFFF"/>
              <w:left w:val="none" w:sz="0" w:space="0" w:color="FFFFFF"/>
              <w:bottom w:val="none" w:sz="0" w:space="0" w:color="FFFFFF"/>
              <w:right w:val="single" w:sz="6" w:space="0" w:color="111111"/>
            </w:tcBorders>
          </w:tcPr>
          <w:p w14:paraId="271053D5"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386CCCE6"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0FD6813" w14:textId="77777777" w:rsidR="00212941" w:rsidRDefault="00212941">
            <w:pPr>
              <w:spacing w:after="40"/>
            </w:pPr>
          </w:p>
        </w:tc>
      </w:tr>
      <w:tr w:rsidR="00212941" w14:paraId="0F9CB906" w14:textId="77777777">
        <w:tc>
          <w:tcPr>
            <w:tcW w:w="0" w:type="auto"/>
            <w:vMerge/>
            <w:tcBorders>
              <w:top w:val="none" w:sz="0" w:space="0" w:color="FFFFFF"/>
              <w:left w:val="none" w:sz="0" w:space="0" w:color="FFFFFF"/>
              <w:bottom w:val="none" w:sz="0" w:space="0" w:color="FFFFFF"/>
              <w:right w:val="single" w:sz="6" w:space="0" w:color="111111"/>
            </w:tcBorders>
          </w:tcPr>
          <w:p w14:paraId="7866A3EF"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14AC082E"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26C28608" w14:textId="77777777" w:rsidR="00212941" w:rsidRDefault="00000000">
            <w:r>
              <w:rPr>
                <w:b/>
                <w:bCs/>
                <w:color w:val="111111"/>
              </w:rPr>
              <w:t>Methodological Overview</w:t>
            </w:r>
          </w:p>
        </w:tc>
      </w:tr>
      <w:tr w:rsidR="00212941" w14:paraId="75584437" w14:textId="77777777">
        <w:tc>
          <w:tcPr>
            <w:tcW w:w="0" w:type="auto"/>
            <w:vMerge/>
            <w:tcBorders>
              <w:top w:val="none" w:sz="0" w:space="0" w:color="FFFFFF"/>
              <w:left w:val="none" w:sz="0" w:space="0" w:color="FFFFFF"/>
              <w:bottom w:val="none" w:sz="0" w:space="0" w:color="FFFFFF"/>
              <w:right w:val="single" w:sz="6" w:space="0" w:color="111111"/>
            </w:tcBorders>
          </w:tcPr>
          <w:p w14:paraId="0A72E609"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4EFAC5A"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9B3E4AB" w14:textId="2E54A57A" w:rsidR="00212941" w:rsidRDefault="00000000">
            <w:r>
              <w:t xml:space="preserve">The analyst begins with a set of k candidate covariates. </w:t>
            </w:r>
            <w:proofErr w:type="spellStart"/>
            <w:r>
              <w:t>VoE</w:t>
            </w:r>
            <w:proofErr w:type="spellEnd"/>
            <w:r>
              <w:t xml:space="preserve"> fits the regression model for every possible subset of those covariates, producing 2^k models in total. For each model, the effect size estimate and its confidence interval are recorded. The resulting distribution is </w:t>
            </w:r>
            <w:r w:rsidR="00BF759D">
              <w:t>summarized</w:t>
            </w:r>
            <w:r>
              <w:t xml:space="preserve"> by three quantities:</w:t>
            </w:r>
          </w:p>
        </w:tc>
      </w:tr>
      <w:tr w:rsidR="00212941" w14:paraId="60DC9090" w14:textId="77777777">
        <w:tc>
          <w:tcPr>
            <w:tcW w:w="0" w:type="auto"/>
            <w:vMerge/>
            <w:tcBorders>
              <w:top w:val="none" w:sz="0" w:space="0" w:color="FFFFFF"/>
              <w:left w:val="none" w:sz="0" w:space="0" w:color="FFFFFF"/>
              <w:bottom w:val="none" w:sz="0" w:space="0" w:color="FFFFFF"/>
              <w:right w:val="single" w:sz="6" w:space="0" w:color="111111"/>
            </w:tcBorders>
          </w:tcPr>
          <w:p w14:paraId="563DF8DA"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2809B3D"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AD0370C" w14:textId="77777777" w:rsidR="00212941" w:rsidRDefault="00212941">
            <w:pPr>
              <w:spacing w:after="30"/>
            </w:pPr>
          </w:p>
        </w:tc>
      </w:tr>
      <w:tr w:rsidR="00212941" w14:paraId="4AFAA010" w14:textId="77777777">
        <w:tc>
          <w:tcPr>
            <w:tcW w:w="0" w:type="auto"/>
            <w:vMerge/>
            <w:tcBorders>
              <w:top w:val="none" w:sz="0" w:space="0" w:color="FFFFFF"/>
              <w:left w:val="none" w:sz="0" w:space="0" w:color="FFFFFF"/>
              <w:bottom w:val="none" w:sz="0" w:space="0" w:color="FFFFFF"/>
              <w:right w:val="single" w:sz="6" w:space="0" w:color="111111"/>
            </w:tcBorders>
          </w:tcPr>
          <w:p w14:paraId="08A2CFEA"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90EF130" w14:textId="77777777" w:rsidR="00212941" w:rsidRDefault="00212941"/>
        </w:tc>
        <w:tc>
          <w:tcPr>
            <w:tcW w:w="7506"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7D47AC94" w14:textId="77777777" w:rsidR="00212941" w:rsidRDefault="00000000">
            <w:pPr>
              <w:spacing w:after="60"/>
            </w:pPr>
            <w:proofErr w:type="spellStart"/>
            <w:r>
              <w:rPr>
                <w:rFonts w:ascii="Courier New" w:eastAsia="Courier New" w:hAnsi="Courier New" w:cs="Courier New"/>
                <w:b/>
                <w:bCs/>
                <w:color w:val="111111"/>
              </w:rPr>
              <w:t>VoE</w:t>
            </w:r>
            <w:proofErr w:type="spellEnd"/>
            <w:r>
              <w:rPr>
                <w:rFonts w:ascii="Courier New" w:eastAsia="Courier New" w:hAnsi="Courier New" w:cs="Courier New"/>
                <w:b/>
                <w:bCs/>
                <w:color w:val="111111"/>
              </w:rPr>
              <w:t xml:space="preserve"> ratio  =  max(|β|) / min(|β|)  across all covariate subsets Sign instability  =  % of models where β changes sign CI overlap  =  % of models where CI excludes zero</w:t>
            </w:r>
          </w:p>
          <w:p w14:paraId="41B4AA6B" w14:textId="77777777" w:rsidR="00212941" w:rsidRDefault="00000000">
            <w:r>
              <w:rPr>
                <w:i/>
                <w:iCs/>
                <w:color w:val="444444"/>
                <w:sz w:val="15"/>
                <w:szCs w:val="15"/>
              </w:rPr>
              <w:t xml:space="preserve">A </w:t>
            </w:r>
            <w:proofErr w:type="spellStart"/>
            <w:r>
              <w:rPr>
                <w:i/>
                <w:iCs/>
                <w:color w:val="444444"/>
                <w:sz w:val="15"/>
                <w:szCs w:val="15"/>
              </w:rPr>
              <w:t>VoE</w:t>
            </w:r>
            <w:proofErr w:type="spellEnd"/>
            <w:r>
              <w:rPr>
                <w:i/>
                <w:iCs/>
                <w:color w:val="444444"/>
                <w:sz w:val="15"/>
                <w:szCs w:val="15"/>
              </w:rPr>
              <w:t xml:space="preserve"> ratio near 1 indicates a robust association. A ratio &gt; 2 indicates substantial covariate sensitivity. Sign instability &gt; 0% is particularly alarming — it means the direction of the association depends on which covariates are included.</w:t>
            </w:r>
          </w:p>
        </w:tc>
      </w:tr>
      <w:tr w:rsidR="00212941" w14:paraId="1605D88F" w14:textId="77777777">
        <w:tc>
          <w:tcPr>
            <w:tcW w:w="0" w:type="auto"/>
            <w:vMerge/>
            <w:tcBorders>
              <w:top w:val="none" w:sz="0" w:space="0" w:color="FFFFFF"/>
              <w:left w:val="none" w:sz="0" w:space="0" w:color="FFFFFF"/>
              <w:bottom w:val="none" w:sz="0" w:space="0" w:color="FFFFFF"/>
              <w:right w:val="single" w:sz="6" w:space="0" w:color="111111"/>
            </w:tcBorders>
          </w:tcPr>
          <w:p w14:paraId="0BDB73D0"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CF6988C"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B473696" w14:textId="77777777" w:rsidR="00212941" w:rsidRDefault="00212941">
            <w:pPr>
              <w:spacing w:after="40"/>
            </w:pPr>
          </w:p>
        </w:tc>
      </w:tr>
      <w:tr w:rsidR="00212941" w14:paraId="04B0D208" w14:textId="77777777">
        <w:tc>
          <w:tcPr>
            <w:tcW w:w="0" w:type="auto"/>
            <w:vMerge/>
            <w:tcBorders>
              <w:top w:val="none" w:sz="0" w:space="0" w:color="FFFFFF"/>
              <w:left w:val="none" w:sz="0" w:space="0" w:color="FFFFFF"/>
              <w:bottom w:val="none" w:sz="0" w:space="0" w:color="FFFFFF"/>
              <w:right w:val="single" w:sz="6" w:space="0" w:color="111111"/>
            </w:tcBorders>
          </w:tcPr>
          <w:p w14:paraId="7951A509"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C354839"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3209996" w14:textId="77777777" w:rsidR="00212941" w:rsidRDefault="00000000">
            <w:r>
              <w:rPr>
                <w:b/>
                <w:bCs/>
                <w:color w:val="111111"/>
              </w:rPr>
              <w:t>Example Application</w:t>
            </w:r>
          </w:p>
        </w:tc>
      </w:tr>
      <w:tr w:rsidR="00212941" w14:paraId="625E5C55" w14:textId="77777777">
        <w:tc>
          <w:tcPr>
            <w:tcW w:w="0" w:type="auto"/>
            <w:vMerge/>
            <w:tcBorders>
              <w:top w:val="none" w:sz="0" w:space="0" w:color="FFFFFF"/>
              <w:left w:val="none" w:sz="0" w:space="0" w:color="FFFFFF"/>
              <w:bottom w:val="none" w:sz="0" w:space="0" w:color="FFFFFF"/>
              <w:right w:val="single" w:sz="6" w:space="0" w:color="111111"/>
            </w:tcBorders>
          </w:tcPr>
          <w:p w14:paraId="0E763BC6"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8DFDD9D"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F45C333" w14:textId="77777777" w:rsidR="00212941" w:rsidRDefault="00000000">
            <w:r>
              <w:t xml:space="preserve">Patel et al. applied </w:t>
            </w:r>
            <w:proofErr w:type="spellStart"/>
            <w:r>
              <w:t>VoE</w:t>
            </w:r>
            <w:proofErr w:type="spellEnd"/>
            <w:r>
              <w:t xml:space="preserve"> to 13 associations between common exposures and health outcomes published in high-impact journals. Most associations showed substantial </w:t>
            </w:r>
            <w:proofErr w:type="gramStart"/>
            <w:r>
              <w:t>vibration —</w:t>
            </w:r>
            <w:proofErr w:type="gramEnd"/>
            <w:r>
              <w:t xml:space="preserve"> some changed </w:t>
            </w:r>
            <w:proofErr w:type="gramStart"/>
            <w:r>
              <w:t>sign</w:t>
            </w:r>
            <w:proofErr w:type="gramEnd"/>
            <w:r>
              <w:t xml:space="preserve"> depending on covariate choice, and many had </w:t>
            </w:r>
            <w:proofErr w:type="spellStart"/>
            <w:r>
              <w:t>VoE</w:t>
            </w:r>
            <w:proofErr w:type="spellEnd"/>
            <w:r>
              <w:t xml:space="preserve"> ratios above 2. The authors concluded that many epidemiological findings are better understood as covariate-dependent rather than reflecting stable causal relationships. The coffee-and-mortality literature is a classic example: studies that </w:t>
            </w:r>
            <w:proofErr w:type="gramStart"/>
            <w:r>
              <w:t>control for</w:t>
            </w:r>
            <w:proofErr w:type="gramEnd"/>
            <w:r>
              <w:t xml:space="preserve"> smoking tend to find a protective effect of coffee; those that do not tend to find null or harmful effects. </w:t>
            </w:r>
            <w:proofErr w:type="spellStart"/>
            <w:r>
              <w:t>VoE</w:t>
            </w:r>
            <w:proofErr w:type="spellEnd"/>
            <w:r>
              <w:t xml:space="preserve"> quantifies this instability formally.</w:t>
            </w:r>
          </w:p>
        </w:tc>
      </w:tr>
      <w:tr w:rsidR="00212941" w14:paraId="76DF0FC1" w14:textId="77777777">
        <w:tc>
          <w:tcPr>
            <w:tcW w:w="0" w:type="auto"/>
            <w:vMerge/>
            <w:tcBorders>
              <w:top w:val="none" w:sz="0" w:space="0" w:color="FFFFFF"/>
              <w:left w:val="none" w:sz="0" w:space="0" w:color="FFFFFF"/>
              <w:bottom w:val="none" w:sz="0" w:space="0" w:color="FFFFFF"/>
              <w:right w:val="single" w:sz="6" w:space="0" w:color="111111"/>
            </w:tcBorders>
          </w:tcPr>
          <w:p w14:paraId="59091CCB"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DA27182"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BE9794A" w14:textId="77777777" w:rsidR="00212941" w:rsidRDefault="00212941">
            <w:pPr>
              <w:spacing w:after="40"/>
            </w:pPr>
          </w:p>
        </w:tc>
      </w:tr>
      <w:tr w:rsidR="00212941" w14:paraId="3B19A9A1" w14:textId="77777777">
        <w:tc>
          <w:tcPr>
            <w:tcW w:w="0" w:type="auto"/>
            <w:vMerge/>
            <w:tcBorders>
              <w:top w:val="none" w:sz="0" w:space="0" w:color="FFFFFF"/>
              <w:left w:val="none" w:sz="0" w:space="0" w:color="FFFFFF"/>
              <w:bottom w:val="none" w:sz="0" w:space="0" w:color="FFFFFF"/>
              <w:right w:val="single" w:sz="6" w:space="0" w:color="111111"/>
            </w:tcBorders>
          </w:tcPr>
          <w:p w14:paraId="666C5353"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4C58CDD"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09B9E1D7" w14:textId="77777777" w:rsidR="00212941" w:rsidRDefault="00000000">
            <w:r>
              <w:rPr>
                <w:b/>
                <w:bCs/>
                <w:color w:val="111111"/>
              </w:rPr>
              <w:t>Requirements</w:t>
            </w:r>
          </w:p>
        </w:tc>
      </w:tr>
      <w:tr w:rsidR="00212941" w14:paraId="12A4AF54" w14:textId="77777777">
        <w:tc>
          <w:tcPr>
            <w:tcW w:w="0" w:type="auto"/>
            <w:vMerge/>
            <w:tcBorders>
              <w:top w:val="none" w:sz="0" w:space="0" w:color="FFFFFF"/>
              <w:left w:val="none" w:sz="0" w:space="0" w:color="FFFFFF"/>
              <w:bottom w:val="none" w:sz="0" w:space="0" w:color="FFFFFF"/>
              <w:right w:val="single" w:sz="6" w:space="0" w:color="111111"/>
            </w:tcBorders>
          </w:tcPr>
          <w:p w14:paraId="628D6BFD"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674B554"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212941" w14:paraId="4BC81BA3"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65D515A" w14:textId="77777777" w:rsidR="00212941" w:rsidRDefault="00000000">
                  <w:r>
                    <w:rPr>
                      <w:b/>
                      <w:bCs/>
                      <w:color w:val="111111"/>
                    </w:rPr>
                    <w:t>Individual-level dataset</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506AA82" w14:textId="77777777" w:rsidR="00212941" w:rsidRDefault="00000000">
                  <w:r>
                    <w:rPr>
                      <w:color w:val="444444"/>
                      <w:sz w:val="16"/>
                      <w:szCs w:val="16"/>
                    </w:rPr>
                    <w:t xml:space="preserve">Required. </w:t>
                  </w:r>
                  <w:proofErr w:type="spellStart"/>
                  <w:r>
                    <w:rPr>
                      <w:color w:val="444444"/>
                      <w:sz w:val="16"/>
                      <w:szCs w:val="16"/>
                    </w:rPr>
                    <w:t>VoE</w:t>
                  </w:r>
                  <w:proofErr w:type="spellEnd"/>
                  <w:r>
                    <w:rPr>
                      <w:color w:val="444444"/>
                      <w:sz w:val="16"/>
                      <w:szCs w:val="16"/>
                    </w:rPr>
                    <w:t xml:space="preserve"> needs access to raw data to re-fit regression models with different covariate subsets. Published summary statistics are insufficient.</w:t>
                  </w:r>
                </w:p>
              </w:tc>
            </w:tr>
            <w:tr w:rsidR="00212941" w14:paraId="3B4D134D"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6D910F5" w14:textId="77777777" w:rsidR="00212941" w:rsidRDefault="00000000">
                  <w:r>
                    <w:rPr>
                      <w:b/>
                      <w:bCs/>
                      <w:color w:val="111111"/>
                    </w:rPr>
                    <w:t>Candidate covariate list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06C718D" w14:textId="77777777" w:rsidR="00212941" w:rsidRDefault="00000000">
                  <w:r>
                    <w:rPr>
                      <w:color w:val="444444"/>
                      <w:sz w:val="16"/>
                      <w:szCs w:val="16"/>
                    </w:rPr>
                    <w:t>A pre-defined set of plausible confounders. Most credible when the candidate set is specified a priori or drawn from a domain consensus list.</w:t>
                  </w:r>
                </w:p>
              </w:tc>
            </w:tr>
            <w:tr w:rsidR="00212941" w14:paraId="00E1E255"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6EA4C17" w14:textId="77777777" w:rsidR="00212941" w:rsidRDefault="00000000">
                  <w:r>
                    <w:rPr>
                      <w:b/>
                      <w:bCs/>
                      <w:color w:val="111111"/>
                    </w:rPr>
                    <w:t>Computational resources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575BD09" w14:textId="77777777" w:rsidR="00212941" w:rsidRDefault="00000000">
                  <w:r>
                    <w:rPr>
                      <w:color w:val="444444"/>
                      <w:sz w:val="16"/>
                      <w:szCs w:val="16"/>
                    </w:rPr>
                    <w:t xml:space="preserve">For k candidate covariates, </w:t>
                  </w:r>
                  <w:proofErr w:type="spellStart"/>
                  <w:r>
                    <w:rPr>
                      <w:color w:val="444444"/>
                      <w:sz w:val="16"/>
                      <w:szCs w:val="16"/>
                    </w:rPr>
                    <w:t>VoE</w:t>
                  </w:r>
                  <w:proofErr w:type="spellEnd"/>
                  <w:r>
                    <w:rPr>
                      <w:color w:val="444444"/>
                      <w:sz w:val="16"/>
                      <w:szCs w:val="16"/>
                    </w:rPr>
                    <w:t xml:space="preserve"> fits 2^k models. For k = 10 this is 1,024 models — manageable. For k = 20 it is over one million, requiring efficient computing. The </w:t>
                  </w:r>
                  <w:proofErr w:type="spellStart"/>
                  <w:r>
                    <w:rPr>
                      <w:color w:val="444444"/>
                      <w:sz w:val="16"/>
                      <w:szCs w:val="16"/>
                    </w:rPr>
                    <w:t>voe</w:t>
                  </w:r>
                  <w:proofErr w:type="spellEnd"/>
                  <w:r>
                    <w:rPr>
                      <w:color w:val="444444"/>
                      <w:sz w:val="16"/>
                      <w:szCs w:val="16"/>
                    </w:rPr>
                    <w:t xml:space="preserve"> R package handles this.</w:t>
                  </w:r>
                </w:p>
              </w:tc>
            </w:tr>
            <w:tr w:rsidR="00212941" w14:paraId="1B5E7485"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4B4851B" w14:textId="77777777" w:rsidR="00212941" w:rsidRDefault="00000000">
                  <w:r>
                    <w:rPr>
                      <w:b/>
                      <w:bCs/>
                      <w:color w:val="111111"/>
                    </w:rPr>
                    <w:t>Consistent outcome &amp; exposure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C635FC9" w14:textId="77777777" w:rsidR="00212941" w:rsidRDefault="00000000">
                  <w:r>
                    <w:rPr>
                      <w:color w:val="444444"/>
                      <w:sz w:val="16"/>
                      <w:szCs w:val="16"/>
                    </w:rPr>
                    <w:t>All models must use the same outcome variable and exposure variable; only the covariate set varies. If outcome or exposure also vary, the tool shades into multiverse territory.</w:t>
                  </w:r>
                </w:p>
              </w:tc>
            </w:tr>
          </w:tbl>
          <w:p w14:paraId="11A8C545" w14:textId="77777777" w:rsidR="00212941" w:rsidRDefault="00212941"/>
        </w:tc>
      </w:tr>
      <w:tr w:rsidR="00212941" w14:paraId="280A5198" w14:textId="77777777">
        <w:tc>
          <w:tcPr>
            <w:tcW w:w="0" w:type="auto"/>
            <w:vMerge/>
            <w:tcBorders>
              <w:top w:val="none" w:sz="0" w:space="0" w:color="FFFFFF"/>
              <w:left w:val="none" w:sz="0" w:space="0" w:color="FFFFFF"/>
              <w:bottom w:val="none" w:sz="0" w:space="0" w:color="FFFFFF"/>
              <w:right w:val="single" w:sz="6" w:space="0" w:color="111111"/>
            </w:tcBorders>
          </w:tcPr>
          <w:p w14:paraId="52E6D306"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C3A7F24"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B2C92D8" w14:textId="77777777" w:rsidR="00212941" w:rsidRDefault="00212941">
            <w:pPr>
              <w:spacing w:after="80"/>
            </w:pPr>
          </w:p>
        </w:tc>
      </w:tr>
      <w:tr w:rsidR="00212941" w14:paraId="163A29AD" w14:textId="77777777">
        <w:tc>
          <w:tcPr>
            <w:tcW w:w="0" w:type="auto"/>
            <w:vMerge/>
            <w:tcBorders>
              <w:top w:val="none" w:sz="0" w:space="0" w:color="FFFFFF"/>
              <w:left w:val="none" w:sz="0" w:space="0" w:color="FFFFFF"/>
              <w:bottom w:val="none" w:sz="0" w:space="0" w:color="FFFFFF"/>
              <w:right w:val="single" w:sz="6" w:space="0" w:color="111111"/>
            </w:tcBorders>
          </w:tcPr>
          <w:p w14:paraId="2EE90811"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3CE73178" w14:textId="77777777" w:rsidR="00212941" w:rsidRDefault="00212941"/>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0C619267" w14:textId="77777777" w:rsidR="00212941" w:rsidRDefault="00000000">
            <w:pPr>
              <w:spacing w:after="60"/>
            </w:pPr>
            <w:r>
              <w:rPr>
                <w:b/>
                <w:bCs/>
                <w:color w:val="111111"/>
                <w:sz w:val="24"/>
                <w:szCs w:val="24"/>
              </w:rPr>
              <w:t>6.  Shared Limitations</w:t>
            </w:r>
          </w:p>
        </w:tc>
      </w:tr>
      <w:tr w:rsidR="00212941" w14:paraId="17FEEBCA" w14:textId="77777777">
        <w:tc>
          <w:tcPr>
            <w:tcW w:w="0" w:type="auto"/>
            <w:vMerge/>
            <w:tcBorders>
              <w:top w:val="none" w:sz="0" w:space="0" w:color="FFFFFF"/>
              <w:left w:val="none" w:sz="0" w:space="0" w:color="FFFFFF"/>
              <w:bottom w:val="none" w:sz="0" w:space="0" w:color="FFFFFF"/>
              <w:right w:val="single" w:sz="6" w:space="0" w:color="111111"/>
            </w:tcBorders>
          </w:tcPr>
          <w:p w14:paraId="505D846C"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EAE1461"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7508B5A" w14:textId="77777777" w:rsidR="00212941" w:rsidRDefault="00000000">
            <w:pPr>
              <w:ind w:left="320"/>
            </w:pPr>
            <w:r>
              <w:t>•  All three tools require access to individual-level raw data. They cannot be applied post-publication without data sharing by the original authors — making them primarily useful as prospective methods or in re-analysis contexts where data are available.</w:t>
            </w:r>
          </w:p>
        </w:tc>
      </w:tr>
      <w:tr w:rsidR="00212941" w14:paraId="3D849F23" w14:textId="77777777">
        <w:tc>
          <w:tcPr>
            <w:tcW w:w="0" w:type="auto"/>
            <w:vMerge/>
            <w:tcBorders>
              <w:top w:val="none" w:sz="0" w:space="0" w:color="FFFFFF"/>
              <w:left w:val="none" w:sz="0" w:space="0" w:color="FFFFFF"/>
              <w:bottom w:val="none" w:sz="0" w:space="0" w:color="FFFFFF"/>
              <w:right w:val="single" w:sz="6" w:space="0" w:color="111111"/>
            </w:tcBorders>
          </w:tcPr>
          <w:p w14:paraId="29A87409"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3E7833F8"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46E7B80" w14:textId="77777777" w:rsidR="00212941" w:rsidRDefault="00000000">
            <w:pPr>
              <w:ind w:left="320"/>
            </w:pPr>
            <w:r>
              <w:t>•  The definition of 'valid' or 'defensible' specifications is itself a researcher choice. Pre-registration of the specification universe is the only guard against this becoming a new researcher degree of freedom.</w:t>
            </w:r>
          </w:p>
        </w:tc>
      </w:tr>
      <w:tr w:rsidR="00212941" w14:paraId="20E2419E" w14:textId="77777777">
        <w:tc>
          <w:tcPr>
            <w:tcW w:w="0" w:type="auto"/>
            <w:vMerge/>
            <w:tcBorders>
              <w:top w:val="none" w:sz="0" w:space="0" w:color="FFFFFF"/>
              <w:left w:val="none" w:sz="0" w:space="0" w:color="FFFFFF"/>
              <w:bottom w:val="none" w:sz="0" w:space="0" w:color="FFFFFF"/>
              <w:right w:val="single" w:sz="6" w:space="0" w:color="111111"/>
            </w:tcBorders>
          </w:tcPr>
          <w:p w14:paraId="23D9E00D"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875207F"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06C96CE" w14:textId="77777777" w:rsidR="00212941" w:rsidRDefault="00000000">
            <w:pPr>
              <w:ind w:left="320"/>
            </w:pPr>
            <w:r>
              <w:t>•  A finding that is fragile across the specification space is not necessarily wrong. There may be theoretical reasons to prefer one specification over others. These tools diagnose instability; they do not determine the truth.</w:t>
            </w:r>
          </w:p>
        </w:tc>
      </w:tr>
      <w:tr w:rsidR="00212941" w14:paraId="28DD60D0" w14:textId="77777777">
        <w:tc>
          <w:tcPr>
            <w:tcW w:w="0" w:type="auto"/>
            <w:vMerge/>
            <w:tcBorders>
              <w:top w:val="none" w:sz="0" w:space="0" w:color="FFFFFF"/>
              <w:left w:val="none" w:sz="0" w:space="0" w:color="FFFFFF"/>
              <w:bottom w:val="none" w:sz="0" w:space="0" w:color="FFFFFF"/>
              <w:right w:val="single" w:sz="6" w:space="0" w:color="111111"/>
            </w:tcBorders>
          </w:tcPr>
          <w:p w14:paraId="22FC09A4"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3A0A97BE"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36C3295" w14:textId="77777777" w:rsidR="00212941" w:rsidRDefault="00000000">
            <w:pPr>
              <w:ind w:left="320"/>
            </w:pPr>
            <w:r>
              <w:t xml:space="preserve">•  Computational burden scales quickly. Multiverse and SCA become expensive for large datasets with many choice nodes; </w:t>
            </w:r>
            <w:proofErr w:type="spellStart"/>
            <w:r>
              <w:t>VoE</w:t>
            </w:r>
            <w:proofErr w:type="spellEnd"/>
            <w:r>
              <w:t xml:space="preserve"> becomes expensive for large covariate sets. Published R packages (multiverse, </w:t>
            </w:r>
            <w:proofErr w:type="spellStart"/>
            <w:r>
              <w:t>specr</w:t>
            </w:r>
            <w:proofErr w:type="spellEnd"/>
            <w:r>
              <w:t xml:space="preserve">, </w:t>
            </w:r>
            <w:proofErr w:type="spellStart"/>
            <w:r>
              <w:t>voe</w:t>
            </w:r>
            <w:proofErr w:type="spellEnd"/>
            <w:r>
              <w:t>) mitigate but do not eliminate this.</w:t>
            </w:r>
          </w:p>
        </w:tc>
      </w:tr>
      <w:tr w:rsidR="00212941" w14:paraId="54912DB5" w14:textId="77777777">
        <w:tc>
          <w:tcPr>
            <w:tcW w:w="0" w:type="auto"/>
            <w:vMerge/>
            <w:tcBorders>
              <w:top w:val="none" w:sz="0" w:space="0" w:color="FFFFFF"/>
              <w:left w:val="none" w:sz="0" w:space="0" w:color="FFFFFF"/>
              <w:bottom w:val="none" w:sz="0" w:space="0" w:color="FFFFFF"/>
              <w:right w:val="single" w:sz="6" w:space="0" w:color="111111"/>
            </w:tcBorders>
          </w:tcPr>
          <w:p w14:paraId="4FD7C781"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40D85B1"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5CEAB5F" w14:textId="517A1903" w:rsidR="00212941" w:rsidRDefault="00000000">
            <w:pPr>
              <w:ind w:left="320"/>
            </w:pPr>
            <w:r>
              <w:t xml:space="preserve">•  These tools are not primarily fraud-detection tools — they detect fragility, which is usually the product of normal researcher </w:t>
            </w:r>
            <w:r w:rsidR="00BF759D">
              <w:t>behavior</w:t>
            </w:r>
            <w:r>
              <w:t xml:space="preserve"> rather than misconduct. Their primary value is epistemic: they tell us how confident we should be in a finding.</w:t>
            </w:r>
          </w:p>
        </w:tc>
      </w:tr>
      <w:tr w:rsidR="00212941" w14:paraId="3B82438A" w14:textId="77777777">
        <w:tc>
          <w:tcPr>
            <w:tcW w:w="0" w:type="auto"/>
            <w:vMerge/>
            <w:tcBorders>
              <w:top w:val="none" w:sz="0" w:space="0" w:color="FFFFFF"/>
              <w:left w:val="none" w:sz="0" w:space="0" w:color="FFFFFF"/>
              <w:bottom w:val="none" w:sz="0" w:space="0" w:color="FFFFFF"/>
              <w:right w:val="single" w:sz="6" w:space="0" w:color="111111"/>
            </w:tcBorders>
          </w:tcPr>
          <w:p w14:paraId="60935C8F"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1052B1B2"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F77A1AD" w14:textId="77777777" w:rsidR="00212941" w:rsidRDefault="00212941">
            <w:pPr>
              <w:spacing w:after="60"/>
            </w:pPr>
          </w:p>
        </w:tc>
      </w:tr>
      <w:tr w:rsidR="00212941" w14:paraId="5FA7B2A5" w14:textId="77777777">
        <w:tc>
          <w:tcPr>
            <w:tcW w:w="0" w:type="auto"/>
            <w:vMerge/>
            <w:tcBorders>
              <w:top w:val="none" w:sz="0" w:space="0" w:color="FFFFFF"/>
              <w:left w:val="none" w:sz="0" w:space="0" w:color="FFFFFF"/>
              <w:bottom w:val="none" w:sz="0" w:space="0" w:color="FFFFFF"/>
              <w:right w:val="single" w:sz="6" w:space="0" w:color="111111"/>
            </w:tcBorders>
          </w:tcPr>
          <w:p w14:paraId="0F65C8DF"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ED7CE48" w14:textId="77777777" w:rsidR="00212941" w:rsidRDefault="00212941"/>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8116DA2" w14:textId="77777777" w:rsidR="00212941" w:rsidRDefault="00000000">
            <w:pPr>
              <w:spacing w:after="60"/>
            </w:pPr>
            <w:r>
              <w:rPr>
                <w:b/>
                <w:bCs/>
                <w:color w:val="111111"/>
                <w:sz w:val="24"/>
                <w:szCs w:val="24"/>
              </w:rPr>
              <w:t>7.  Related Tools</w:t>
            </w:r>
          </w:p>
        </w:tc>
      </w:tr>
      <w:tr w:rsidR="00212941" w14:paraId="16BE8928" w14:textId="77777777">
        <w:tc>
          <w:tcPr>
            <w:tcW w:w="0" w:type="auto"/>
            <w:vMerge/>
            <w:tcBorders>
              <w:top w:val="none" w:sz="0" w:space="0" w:color="FFFFFF"/>
              <w:left w:val="none" w:sz="0" w:space="0" w:color="FFFFFF"/>
              <w:bottom w:val="none" w:sz="0" w:space="0" w:color="FFFFFF"/>
              <w:right w:val="single" w:sz="6" w:space="0" w:color="111111"/>
            </w:tcBorders>
          </w:tcPr>
          <w:p w14:paraId="3F7D5921"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46D12420"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tblGrid>
            <w:tr w:rsidR="00212941" w14:paraId="29C248AA"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6063B0FF" w14:textId="77777777" w:rsidR="00212941" w:rsidRDefault="00000000">
                  <w:r>
                    <w:rPr>
                      <w:b/>
                      <w:bCs/>
                      <w:color w:val="111111"/>
                    </w:rPr>
                    <w:t>p-curve</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6B8A0A84" w14:textId="77777777" w:rsidR="00212941" w:rsidRDefault="00000000">
                  <w:r>
                    <w:rPr>
                      <w:color w:val="444444"/>
                      <w:sz w:val="15"/>
                      <w:szCs w:val="15"/>
                    </w:rPr>
                    <w:t>Tests whether a literature shows genuine evidential value; can detect p-hacking at the study-set level but does not reveal which analytic choices produced the significant results.</w:t>
                  </w:r>
                </w:p>
              </w:tc>
            </w:tr>
          </w:tbl>
          <w:p w14:paraId="1D6A6C04" w14:textId="77777777" w:rsidR="00212941" w:rsidRDefault="00212941"/>
        </w:tc>
      </w:tr>
      <w:tr w:rsidR="00212941" w14:paraId="7D4E31E6" w14:textId="77777777">
        <w:tc>
          <w:tcPr>
            <w:tcW w:w="0" w:type="auto"/>
            <w:vMerge/>
            <w:tcBorders>
              <w:top w:val="none" w:sz="0" w:space="0" w:color="FFFFFF"/>
              <w:left w:val="none" w:sz="0" w:space="0" w:color="FFFFFF"/>
              <w:bottom w:val="none" w:sz="0" w:space="0" w:color="FFFFFF"/>
              <w:right w:val="single" w:sz="6" w:space="0" w:color="111111"/>
            </w:tcBorders>
          </w:tcPr>
          <w:p w14:paraId="26A083BF"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6EB0369"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tblGrid>
            <w:tr w:rsidR="00212941" w14:paraId="314929EF"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30EEC8DC" w14:textId="77777777" w:rsidR="00212941" w:rsidRDefault="00000000">
                  <w:r>
                    <w:rPr>
                      <w:b/>
                      <w:bCs/>
                      <w:color w:val="111111"/>
                    </w:rPr>
                    <w:t>z-curve 2.0</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539C612F" w14:textId="77777777" w:rsidR="00212941" w:rsidRDefault="00000000">
                  <w:r>
                    <w:rPr>
                      <w:color w:val="444444"/>
                      <w:sz w:val="15"/>
                      <w:szCs w:val="15"/>
                    </w:rPr>
                    <w:t>Estimates the expected replication rate from published z-values; complements specification curve by quantifying how much of a literature's signal is likely to survive replication.</w:t>
                  </w:r>
                </w:p>
              </w:tc>
            </w:tr>
          </w:tbl>
          <w:p w14:paraId="5EDA71D7" w14:textId="77777777" w:rsidR="00212941" w:rsidRDefault="00212941"/>
        </w:tc>
      </w:tr>
      <w:tr w:rsidR="00212941" w14:paraId="5D0FF799" w14:textId="77777777">
        <w:tc>
          <w:tcPr>
            <w:tcW w:w="0" w:type="auto"/>
            <w:vMerge/>
            <w:tcBorders>
              <w:top w:val="none" w:sz="0" w:space="0" w:color="FFFFFF"/>
              <w:left w:val="none" w:sz="0" w:space="0" w:color="FFFFFF"/>
              <w:bottom w:val="none" w:sz="0" w:space="0" w:color="FFFFFF"/>
              <w:right w:val="single" w:sz="6" w:space="0" w:color="111111"/>
            </w:tcBorders>
          </w:tcPr>
          <w:p w14:paraId="3BDD3ADE"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3128294C"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tblGrid>
            <w:tr w:rsidR="00212941" w14:paraId="4840C2A7"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6CC5097F" w14:textId="77777777" w:rsidR="00212941" w:rsidRDefault="00000000">
                  <w:r>
                    <w:rPr>
                      <w:b/>
                      <w:bCs/>
                      <w:color w:val="111111"/>
                    </w:rPr>
                    <w:t>SPRITE / GRIM</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5E0A3283" w14:textId="77777777" w:rsidR="00212941" w:rsidRDefault="00000000">
                  <w:r>
                    <w:rPr>
                      <w:color w:val="444444"/>
                      <w:sz w:val="15"/>
                      <w:szCs w:val="15"/>
                    </w:rPr>
                    <w:t>Operate at the single-study level on reported summary statistics; complementary to the three tools here, which operate on the raw analytic pipeline.</w:t>
                  </w:r>
                </w:p>
              </w:tc>
            </w:tr>
          </w:tbl>
          <w:p w14:paraId="77784C31" w14:textId="77777777" w:rsidR="00212941" w:rsidRDefault="00212941"/>
        </w:tc>
      </w:tr>
      <w:tr w:rsidR="00212941" w14:paraId="235CFD3B" w14:textId="77777777">
        <w:tc>
          <w:tcPr>
            <w:tcW w:w="0" w:type="auto"/>
            <w:vMerge/>
            <w:tcBorders>
              <w:top w:val="none" w:sz="0" w:space="0" w:color="FFFFFF"/>
              <w:left w:val="none" w:sz="0" w:space="0" w:color="FFFFFF"/>
              <w:bottom w:val="none" w:sz="0" w:space="0" w:color="FFFFFF"/>
              <w:right w:val="single" w:sz="6" w:space="0" w:color="111111"/>
            </w:tcBorders>
          </w:tcPr>
          <w:p w14:paraId="489A95E7"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6D759947"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tblGrid>
            <w:tr w:rsidR="00212941" w14:paraId="6FCFD8AD"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53863B3E" w14:textId="77777777" w:rsidR="00212941" w:rsidRDefault="00000000">
                  <w:r>
                    <w:rPr>
                      <w:b/>
                      <w:bCs/>
                      <w:color w:val="111111"/>
                    </w:rPr>
                    <w:t>Preregistration</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5F9B9C81" w14:textId="77777777" w:rsidR="00212941" w:rsidRDefault="00000000">
                  <w:r>
                    <w:rPr>
                      <w:color w:val="444444"/>
                      <w:sz w:val="15"/>
                      <w:szCs w:val="15"/>
                    </w:rPr>
                    <w:t>The prospective counterpart: committing to a single specification before data collection removes researcher degrees of freedom at the source rather than diagnosing them after the fact.</w:t>
                  </w:r>
                </w:p>
              </w:tc>
            </w:tr>
          </w:tbl>
          <w:p w14:paraId="13B8608F" w14:textId="77777777" w:rsidR="00212941" w:rsidRDefault="00212941"/>
        </w:tc>
      </w:tr>
      <w:tr w:rsidR="00212941" w14:paraId="13C63706" w14:textId="77777777">
        <w:tc>
          <w:tcPr>
            <w:tcW w:w="0" w:type="auto"/>
            <w:vMerge/>
            <w:tcBorders>
              <w:top w:val="none" w:sz="0" w:space="0" w:color="FFFFFF"/>
              <w:left w:val="none" w:sz="0" w:space="0" w:color="FFFFFF"/>
              <w:bottom w:val="none" w:sz="0" w:space="0" w:color="FFFFFF"/>
              <w:right w:val="single" w:sz="6" w:space="0" w:color="111111"/>
            </w:tcBorders>
          </w:tcPr>
          <w:p w14:paraId="416B8B83"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55D3FA94"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040DF60" w14:textId="77777777" w:rsidR="00212941" w:rsidRDefault="00212941">
            <w:pPr>
              <w:spacing w:after="60"/>
            </w:pPr>
          </w:p>
        </w:tc>
      </w:tr>
      <w:tr w:rsidR="00212941" w14:paraId="024F5D4D" w14:textId="77777777">
        <w:tc>
          <w:tcPr>
            <w:tcW w:w="0" w:type="auto"/>
            <w:vMerge/>
            <w:tcBorders>
              <w:top w:val="none" w:sz="0" w:space="0" w:color="FFFFFF"/>
              <w:left w:val="none" w:sz="0" w:space="0" w:color="FFFFFF"/>
              <w:bottom w:val="none" w:sz="0" w:space="0" w:color="FFFFFF"/>
              <w:right w:val="single" w:sz="6" w:space="0" w:color="111111"/>
            </w:tcBorders>
          </w:tcPr>
          <w:p w14:paraId="3639B028"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5E27B33D" w14:textId="77777777" w:rsidR="00212941" w:rsidRDefault="00212941"/>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4141AA8" w14:textId="77777777" w:rsidR="00212941" w:rsidRDefault="00000000">
            <w:pPr>
              <w:spacing w:after="60"/>
            </w:pPr>
            <w:r>
              <w:rPr>
                <w:b/>
                <w:bCs/>
                <w:color w:val="111111"/>
                <w:sz w:val="24"/>
                <w:szCs w:val="24"/>
              </w:rPr>
              <w:t>Key Citations</w:t>
            </w:r>
          </w:p>
        </w:tc>
      </w:tr>
      <w:tr w:rsidR="00212941" w14:paraId="6C749643" w14:textId="77777777">
        <w:tc>
          <w:tcPr>
            <w:tcW w:w="0" w:type="auto"/>
            <w:vMerge/>
            <w:tcBorders>
              <w:top w:val="none" w:sz="0" w:space="0" w:color="FFFFFF"/>
              <w:left w:val="none" w:sz="0" w:space="0" w:color="FFFFFF"/>
              <w:bottom w:val="none" w:sz="0" w:space="0" w:color="FFFFFF"/>
              <w:right w:val="single" w:sz="6" w:space="0" w:color="111111"/>
            </w:tcBorders>
          </w:tcPr>
          <w:p w14:paraId="39BB0447"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569FDF33"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E429C57" w14:textId="77777777" w:rsidR="00212941" w:rsidRDefault="00000000">
            <w:pPr>
              <w:ind w:left="320" w:hanging="320"/>
            </w:pPr>
            <w:proofErr w:type="spellStart"/>
            <w:r>
              <w:rPr>
                <w:color w:val="444444"/>
                <w:sz w:val="15"/>
                <w:szCs w:val="15"/>
              </w:rPr>
              <w:t>Steegen</w:t>
            </w:r>
            <w:proofErr w:type="spellEnd"/>
            <w:r>
              <w:rPr>
                <w:color w:val="444444"/>
                <w:sz w:val="15"/>
                <w:szCs w:val="15"/>
              </w:rPr>
              <w:t xml:space="preserve">, S., </w:t>
            </w:r>
            <w:proofErr w:type="spellStart"/>
            <w:r>
              <w:rPr>
                <w:color w:val="444444"/>
                <w:sz w:val="15"/>
                <w:szCs w:val="15"/>
              </w:rPr>
              <w:t>Tuerlinckx</w:t>
            </w:r>
            <w:proofErr w:type="spellEnd"/>
            <w:r>
              <w:rPr>
                <w:color w:val="444444"/>
                <w:sz w:val="15"/>
                <w:szCs w:val="15"/>
              </w:rPr>
              <w:t xml:space="preserve">, F., Gelman, A., &amp; </w:t>
            </w:r>
            <w:proofErr w:type="spellStart"/>
            <w:r>
              <w:rPr>
                <w:color w:val="444444"/>
                <w:sz w:val="15"/>
                <w:szCs w:val="15"/>
              </w:rPr>
              <w:t>Vanpaemel</w:t>
            </w:r>
            <w:proofErr w:type="spellEnd"/>
            <w:r>
              <w:rPr>
                <w:color w:val="444444"/>
                <w:sz w:val="15"/>
                <w:szCs w:val="15"/>
              </w:rPr>
              <w:t>, W. (2016). Increasing transparency through a multiverse analysis. Perspectives on Psychological Science, 11(5), 702–712. https://doi.org/10.1177/1745691616658637</w:t>
            </w:r>
          </w:p>
        </w:tc>
      </w:tr>
      <w:tr w:rsidR="00212941" w14:paraId="31E7413D" w14:textId="77777777">
        <w:tc>
          <w:tcPr>
            <w:tcW w:w="0" w:type="auto"/>
            <w:vMerge/>
            <w:tcBorders>
              <w:top w:val="none" w:sz="0" w:space="0" w:color="FFFFFF"/>
              <w:left w:val="none" w:sz="0" w:space="0" w:color="FFFFFF"/>
              <w:bottom w:val="none" w:sz="0" w:space="0" w:color="FFFFFF"/>
              <w:right w:val="single" w:sz="6" w:space="0" w:color="111111"/>
            </w:tcBorders>
          </w:tcPr>
          <w:p w14:paraId="4FB56E51"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E55FB81"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39E7B26" w14:textId="77777777" w:rsidR="00212941" w:rsidRDefault="00000000">
            <w:pPr>
              <w:ind w:left="320" w:hanging="320"/>
            </w:pPr>
            <w:r>
              <w:rPr>
                <w:color w:val="444444"/>
                <w:sz w:val="15"/>
                <w:szCs w:val="15"/>
              </w:rPr>
              <w:t xml:space="preserve">Simonsohn, U., Simmons, J. P., &amp; Nelson, L. D. (2020). Specification curve analysis. Nature Human </w:t>
            </w:r>
            <w:proofErr w:type="spellStart"/>
            <w:r>
              <w:rPr>
                <w:color w:val="444444"/>
                <w:sz w:val="15"/>
                <w:szCs w:val="15"/>
              </w:rPr>
              <w:t>Behaviour</w:t>
            </w:r>
            <w:proofErr w:type="spellEnd"/>
            <w:r>
              <w:rPr>
                <w:color w:val="444444"/>
                <w:sz w:val="15"/>
                <w:szCs w:val="15"/>
              </w:rPr>
              <w:t>, 4, 1208–1214. https://doi.org/10.1038/s41562-020-0912-z</w:t>
            </w:r>
          </w:p>
        </w:tc>
      </w:tr>
      <w:tr w:rsidR="00212941" w14:paraId="4D1D9AE0" w14:textId="77777777">
        <w:tc>
          <w:tcPr>
            <w:tcW w:w="0" w:type="auto"/>
            <w:vMerge/>
            <w:tcBorders>
              <w:top w:val="none" w:sz="0" w:space="0" w:color="FFFFFF"/>
              <w:left w:val="none" w:sz="0" w:space="0" w:color="FFFFFF"/>
              <w:bottom w:val="none" w:sz="0" w:space="0" w:color="FFFFFF"/>
              <w:right w:val="single" w:sz="6" w:space="0" w:color="111111"/>
            </w:tcBorders>
          </w:tcPr>
          <w:p w14:paraId="0FBE923C"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1CFCCFCE"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9BCDAAB" w14:textId="77777777" w:rsidR="00212941" w:rsidRDefault="00000000">
            <w:pPr>
              <w:ind w:left="320" w:hanging="320"/>
            </w:pPr>
            <w:r>
              <w:rPr>
                <w:color w:val="444444"/>
                <w:sz w:val="15"/>
                <w:szCs w:val="15"/>
              </w:rPr>
              <w:t>Patel, C. J., Burford, B., &amp; Ioannidis, J. P. A. (2015). Assessment of vibration of effects due to model specification. Journal of Clinical Epidemiology, 68(9), 1046–1058. https://doi.org/10.1016/j.jclinepi.2015.05.029</w:t>
            </w:r>
          </w:p>
        </w:tc>
      </w:tr>
      <w:tr w:rsidR="00212941" w14:paraId="283DDC68" w14:textId="77777777">
        <w:tc>
          <w:tcPr>
            <w:tcW w:w="0" w:type="auto"/>
            <w:vMerge/>
            <w:tcBorders>
              <w:top w:val="none" w:sz="0" w:space="0" w:color="FFFFFF"/>
              <w:left w:val="none" w:sz="0" w:space="0" w:color="FFFFFF"/>
              <w:bottom w:val="none" w:sz="0" w:space="0" w:color="FFFFFF"/>
              <w:right w:val="single" w:sz="6" w:space="0" w:color="111111"/>
            </w:tcBorders>
          </w:tcPr>
          <w:p w14:paraId="03CB6B88"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2DE8DFF4"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9E4592C" w14:textId="77777777" w:rsidR="00212941" w:rsidRDefault="00000000">
            <w:pPr>
              <w:ind w:left="320" w:hanging="320"/>
            </w:pPr>
            <w:r>
              <w:rPr>
                <w:color w:val="444444"/>
                <w:sz w:val="15"/>
                <w:szCs w:val="15"/>
              </w:rPr>
              <w:t>Gelman, A. &amp; Loken, E. (2014). The statistical crisis in science. American Scientist, 102(6), 460–465. https://doi.org/10.1511/2014.111.460</w:t>
            </w:r>
          </w:p>
        </w:tc>
      </w:tr>
      <w:tr w:rsidR="00212941" w14:paraId="5694D03B" w14:textId="77777777">
        <w:tc>
          <w:tcPr>
            <w:tcW w:w="0" w:type="auto"/>
            <w:vMerge/>
            <w:tcBorders>
              <w:top w:val="none" w:sz="0" w:space="0" w:color="FFFFFF"/>
              <w:left w:val="none" w:sz="0" w:space="0" w:color="FFFFFF"/>
              <w:bottom w:val="none" w:sz="0" w:space="0" w:color="FFFFFF"/>
              <w:right w:val="single" w:sz="6" w:space="0" w:color="111111"/>
            </w:tcBorders>
          </w:tcPr>
          <w:p w14:paraId="683D3914"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0FC3900E"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C7A301E" w14:textId="77777777" w:rsidR="00212941" w:rsidRDefault="00000000">
            <w:pPr>
              <w:ind w:left="320" w:hanging="320"/>
            </w:pPr>
            <w:r>
              <w:rPr>
                <w:color w:val="444444"/>
                <w:sz w:val="15"/>
                <w:szCs w:val="15"/>
              </w:rPr>
              <w:t xml:space="preserve">Orben, A. &amp; Przybylski, A. K. (2019). The association between adolescent well-being and digital technology use. Nature Human </w:t>
            </w:r>
            <w:proofErr w:type="spellStart"/>
            <w:r>
              <w:rPr>
                <w:color w:val="444444"/>
                <w:sz w:val="15"/>
                <w:szCs w:val="15"/>
              </w:rPr>
              <w:t>Behaviour</w:t>
            </w:r>
            <w:proofErr w:type="spellEnd"/>
            <w:r>
              <w:rPr>
                <w:color w:val="444444"/>
                <w:sz w:val="15"/>
                <w:szCs w:val="15"/>
              </w:rPr>
              <w:t>, 3, 173–182. https://doi.org/10.1038/s41562-018-0506-1</w:t>
            </w:r>
          </w:p>
        </w:tc>
      </w:tr>
      <w:tr w:rsidR="00212941" w14:paraId="71845CE5" w14:textId="77777777">
        <w:tc>
          <w:tcPr>
            <w:tcW w:w="0" w:type="auto"/>
            <w:vMerge/>
            <w:tcBorders>
              <w:top w:val="none" w:sz="0" w:space="0" w:color="FFFFFF"/>
              <w:left w:val="none" w:sz="0" w:space="0" w:color="FFFFFF"/>
              <w:bottom w:val="none" w:sz="0" w:space="0" w:color="FFFFFF"/>
              <w:right w:val="single" w:sz="6" w:space="0" w:color="111111"/>
            </w:tcBorders>
          </w:tcPr>
          <w:p w14:paraId="26053F67"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325E0F56"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D7F2391" w14:textId="77777777" w:rsidR="00212941" w:rsidRDefault="00000000">
            <w:pPr>
              <w:ind w:left="320" w:hanging="320"/>
            </w:pPr>
            <w:r>
              <w:rPr>
                <w:color w:val="444444"/>
                <w:sz w:val="15"/>
                <w:szCs w:val="15"/>
              </w:rPr>
              <w:t xml:space="preserve">Simmons, J. P., Nelson, L. D., &amp; </w:t>
            </w:r>
            <w:proofErr w:type="spellStart"/>
            <w:r>
              <w:rPr>
                <w:color w:val="444444"/>
                <w:sz w:val="15"/>
                <w:szCs w:val="15"/>
              </w:rPr>
              <w:t>Simonsohn</w:t>
            </w:r>
            <w:proofErr w:type="spellEnd"/>
            <w:r>
              <w:rPr>
                <w:color w:val="444444"/>
                <w:sz w:val="15"/>
                <w:szCs w:val="15"/>
              </w:rPr>
              <w:t>, U. (2011). False-positive psychology. Psychological Science, 22(11), 1359–1366. https://doi.org/10.1177/0956797611417632</w:t>
            </w:r>
          </w:p>
        </w:tc>
      </w:tr>
      <w:tr w:rsidR="00212941" w14:paraId="788AF2CB" w14:textId="77777777">
        <w:tc>
          <w:tcPr>
            <w:tcW w:w="0" w:type="auto"/>
            <w:vMerge/>
            <w:tcBorders>
              <w:top w:val="none" w:sz="0" w:space="0" w:color="FFFFFF"/>
              <w:left w:val="none" w:sz="0" w:space="0" w:color="FFFFFF"/>
              <w:bottom w:val="none" w:sz="0" w:space="0" w:color="FFFFFF"/>
              <w:right w:val="single" w:sz="6" w:space="0" w:color="111111"/>
            </w:tcBorders>
          </w:tcPr>
          <w:p w14:paraId="7DECBA9E" w14:textId="77777777" w:rsidR="00212941" w:rsidRDefault="00212941"/>
        </w:tc>
        <w:tc>
          <w:tcPr>
            <w:tcW w:w="0" w:type="auto"/>
            <w:vMerge/>
            <w:tcBorders>
              <w:top w:val="none" w:sz="0" w:space="0" w:color="FFFFFF"/>
              <w:left w:val="none" w:sz="0" w:space="0" w:color="FFFFFF"/>
              <w:bottom w:val="none" w:sz="0" w:space="0" w:color="FFFFFF"/>
              <w:right w:val="none" w:sz="0" w:space="0" w:color="FFFFFF"/>
            </w:tcBorders>
          </w:tcPr>
          <w:p w14:paraId="7DC0424B" w14:textId="77777777" w:rsidR="00212941" w:rsidRDefault="00212941"/>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3BC4409" w14:textId="77777777" w:rsidR="00212941" w:rsidRDefault="00212941">
            <w:pPr>
              <w:spacing w:after="80"/>
            </w:pPr>
          </w:p>
        </w:tc>
      </w:tr>
    </w:tbl>
    <w:p w14:paraId="05915AAC" w14:textId="7CFEEAFF" w:rsidR="00212941" w:rsidRDefault="00212941">
      <w:pPr>
        <w:pBdr>
          <w:top w:val="single" w:sz="4" w:space="0" w:color="CCCCCC"/>
        </w:pBdr>
        <w:spacing w:before="160"/>
        <w:jc w:val="center"/>
      </w:pPr>
    </w:p>
    <w:sectPr w:rsidR="0021294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A482A"/>
    <w:multiLevelType w:val="hybridMultilevel"/>
    <w:tmpl w:val="9404F966"/>
    <w:lvl w:ilvl="0" w:tplc="62445BC8">
      <w:start w:val="1"/>
      <w:numFmt w:val="bullet"/>
      <w:lvlText w:val="●"/>
      <w:lvlJc w:val="left"/>
      <w:pPr>
        <w:ind w:left="720" w:hanging="360"/>
      </w:pPr>
    </w:lvl>
    <w:lvl w:ilvl="1" w:tplc="6EBEF552">
      <w:start w:val="1"/>
      <w:numFmt w:val="bullet"/>
      <w:lvlText w:val="○"/>
      <w:lvlJc w:val="left"/>
      <w:pPr>
        <w:ind w:left="1440" w:hanging="360"/>
      </w:pPr>
    </w:lvl>
    <w:lvl w:ilvl="2" w:tplc="DC6A87F2">
      <w:start w:val="1"/>
      <w:numFmt w:val="bullet"/>
      <w:lvlText w:val="■"/>
      <w:lvlJc w:val="left"/>
      <w:pPr>
        <w:ind w:left="2160" w:hanging="360"/>
      </w:pPr>
    </w:lvl>
    <w:lvl w:ilvl="3" w:tplc="BE741A0A">
      <w:start w:val="1"/>
      <w:numFmt w:val="bullet"/>
      <w:lvlText w:val="●"/>
      <w:lvlJc w:val="left"/>
      <w:pPr>
        <w:ind w:left="2880" w:hanging="360"/>
      </w:pPr>
    </w:lvl>
    <w:lvl w:ilvl="4" w:tplc="65E6BC10">
      <w:start w:val="1"/>
      <w:numFmt w:val="bullet"/>
      <w:lvlText w:val="○"/>
      <w:lvlJc w:val="left"/>
      <w:pPr>
        <w:ind w:left="3600" w:hanging="360"/>
      </w:pPr>
    </w:lvl>
    <w:lvl w:ilvl="5" w:tplc="35EC0D12">
      <w:start w:val="1"/>
      <w:numFmt w:val="bullet"/>
      <w:lvlText w:val="■"/>
      <w:lvlJc w:val="left"/>
      <w:pPr>
        <w:ind w:left="4320" w:hanging="360"/>
      </w:pPr>
    </w:lvl>
    <w:lvl w:ilvl="6" w:tplc="B778FBE6">
      <w:start w:val="1"/>
      <w:numFmt w:val="bullet"/>
      <w:lvlText w:val="●"/>
      <w:lvlJc w:val="left"/>
      <w:pPr>
        <w:ind w:left="5040" w:hanging="360"/>
      </w:pPr>
    </w:lvl>
    <w:lvl w:ilvl="7" w:tplc="34E48716">
      <w:start w:val="1"/>
      <w:numFmt w:val="bullet"/>
      <w:lvlText w:val="●"/>
      <w:lvlJc w:val="left"/>
      <w:pPr>
        <w:ind w:left="5760" w:hanging="360"/>
      </w:pPr>
    </w:lvl>
    <w:lvl w:ilvl="8" w:tplc="EBBC4812">
      <w:start w:val="1"/>
      <w:numFmt w:val="bullet"/>
      <w:lvlText w:val="●"/>
      <w:lvlJc w:val="left"/>
      <w:pPr>
        <w:ind w:left="6480" w:hanging="360"/>
      </w:pPr>
    </w:lvl>
  </w:abstractNum>
  <w:num w:numId="1" w16cid:durableId="830296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41"/>
    <w:rsid w:val="000F7748"/>
    <w:rsid w:val="00212941"/>
    <w:rsid w:val="006B0746"/>
    <w:rsid w:val="009F6DF6"/>
    <w:rsid w:val="00BB0FDE"/>
    <w:rsid w:val="00BF759D"/>
    <w:rsid w:val="00F42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DDFBC"/>
  <w15:docId w15:val="{BC0A9A95-A687-4A9B-A41D-7B2E0F80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2159</Words>
  <Characters>12464</Characters>
  <Application>Microsoft Office Word</Application>
  <DocSecurity>0</DocSecurity>
  <Lines>415</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3</cp:revision>
  <dcterms:created xsi:type="dcterms:W3CDTF">2026-04-14T06:03:00Z</dcterms:created>
  <dcterms:modified xsi:type="dcterms:W3CDTF">2026-04-14T19:25:00Z</dcterms:modified>
</cp:coreProperties>
</file>