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Class Size Matter? A Policy Overview for Meta-Analysis Students</w:t>
      </w:r>
    </w:p>
    <w:p>
      <w:pPr>
        <w:pStyle w:val="Heading2"/>
      </w:pPr>
      <w:r>
        <w:t>Introduction</w:t>
      </w:r>
    </w:p>
    <w:p>
      <w:r>
        <w:t>Few issues in education policy have generated as much research and disagreement as the question of whether reducing class size improves student learning. Class size reduction (CSR) is intuitively appealing: smaller classes promise more individualized attention, improved classroom management, and better learning outcomes. Yet the evidence has long been mixed.</w:t>
        <w:br/>
        <w:br/>
        <w:t>Early large-scale correlational studies, such as the Coleman Report (1966), found little relationship between school resources and achievement. During the 1970s, however, Glass and Smith (1979) published a pioneering meta-analysis showing a consistent positive association between smaller classes and student achievement. Decades later, Hanushek (2002) challenged this consensus, arguing that once study quality and contextual factors were accounted for, class size effects appeared inconsistent and often too small to justify the high costs of reducing class size. More recent syntheses, such as Shin and Chung (2009), using improved meta-analytic techniques, reaffirmed that smaller classes have a modest but statistically significant positive effect on academic outcomes.</w:t>
        <w:br/>
        <w:br/>
        <w:t>Thus, the debate persists not because evidence is lacking, but because the interpretation of evidence depends heavily on research design, measurement, and synthesis methods.</w:t>
      </w:r>
    </w:p>
    <w:p>
      <w:pPr>
        <w:pStyle w:val="Heading2"/>
      </w:pPr>
      <w:r>
        <w:t>The Role of Meta-Analysis</w:t>
      </w:r>
    </w:p>
    <w:p>
      <w:r>
        <w:t>Meta-analysis has been crucial in navigating this contentious field. Unlike traditional “vote-counting” reviews that tally positive versus negative findings, quantitative synthesis allows researchers to estimate an average standardized effect size (ES) across studies, accounting for sample size and variance. However, the validity of these conclusions depends on consistent coding of study features— including research design, treatment definition, and outcome measures.</w:t>
        <w:br/>
        <w:br/>
        <w:t>For example, Glass and Smith (1979) found stronger effects in studies with better experimental control and smaller group sizes (often tutoring-level interventions). Hanushek (2002) highlighted that studies with poor identification strategies (e.g., simple cross-sectional correlations) overstate effects, whereas value-added and fixed-effects models yield more conservative but more credible estimates. Shin and Chung (2009) demonstrated that when studies are coded properly—using comparable definitions of class size, achievement, and statistical control—the overall mean effect across 120 comparisons was approximately 0.20 standard deviations, indicating a small but educationally meaningful benefit of smaller classes.</w:t>
      </w:r>
    </w:p>
    <w:p>
      <w:pPr>
        <w:pStyle w:val="Heading2"/>
      </w:pPr>
      <w:r>
        <w:t>Design Framework for Coding Studies</w:t>
      </w:r>
    </w:p>
    <w:p>
      <w:pPr>
        <w:pStyle w:val="Heading3"/>
      </w:pPr>
      <w:r>
        <w:t>Typical Outcomes Measured</w:t>
      </w:r>
    </w:p>
    <w:p>
      <w:r>
        <w:t>Most studies measure student achievement using standardized test scores in reading and mathematics. Some also include retention, graduation rates, and long-run outcomes such as adult earnings (Hanushek, 2002; Shin &amp; Chung, 2009). For meta-analysis purposes, test scores remain the dominant, most comparable outcome metric.</w:t>
      </w:r>
    </w:p>
    <w:p>
      <w:pPr>
        <w:pStyle w:val="Heading3"/>
      </w:pPr>
      <w:r>
        <w:t>Measurement of the Intervention</w:t>
      </w:r>
    </w:p>
    <w:p>
      <w:r>
        <w:t>Class size is defined as the actual number of students per classroom, distinct from the pupil–teacher ratio (PTR), which aggregates at the school or district level and can obscure true exposure (Shin &amp; Chung, 2009). Some studies use continuous measures (e.g., students per class), others binary treatments (e.g., “small” vs. “regular” classes). For consistency, coders should record both the operational definition and its scale.</w:t>
      </w:r>
    </w:p>
    <w:p>
      <w:pPr>
        <w:pStyle w:val="Heading3"/>
      </w:pPr>
      <w:r>
        <w:t>Magnitude of Meaningful Change</w:t>
      </w:r>
    </w:p>
    <w:p>
      <w:r>
        <w:t>Reductions from approximately 22 to 15 students in early grades, as in Tennessee’s Project STAR, typically produce gains of 0.20–0.25 SDs in achievement (Finn &amp; Achilles, 1990; Hanushek, 2002). Smaller reductions (e.g., from 30 to 25) show negligible effects.</w:t>
      </w:r>
    </w:p>
    <w:p>
      <w:pPr>
        <w:pStyle w:val="Heading3"/>
      </w:pPr>
      <w:r>
        <w:t>Time Frame of Measurement</w:t>
      </w:r>
    </w:p>
    <w:p>
      <w:r>
        <w:t>Most studies assess short-term outcomes (end-of-year or next-year test scores). Fewer track long-term effects, though Project STAR and follow-up studies show persistent benefits into middle school and adulthood (higher graduation and earnings rates). Coders should note the timing of measurement (within-year, next-year, or long-term).</w:t>
      </w:r>
    </w:p>
    <w:p>
      <w:pPr>
        <w:pStyle w:val="Heading3"/>
      </w:pPr>
      <w:r>
        <w:t>Key Control Variables</w:t>
      </w:r>
    </w:p>
    <w:p>
      <w:r>
        <w:t>The most influential covariates include prior achievement (pretests), socioeconomic status, teacher experience and credentials, school-level resources, and student demographics (Shin &amp; Chung, 2009; Hanushek, 2002). Failure to control for these confounders can bias estimates upward.</w:t>
      </w:r>
    </w:p>
    <w:p>
      <w:pPr>
        <w:pStyle w:val="Heading3"/>
      </w:pPr>
      <w:r>
        <w:t>Contextual Moderators</w:t>
      </w:r>
    </w:p>
    <w:p>
      <w:r>
        <w:t>The benefits of smaller classes are strongest in early grades (K–3), for disadvantaged or minority students, and in schools with strong instructional quality (Glass &amp; Smith, 1979; Hanushek, 2002). Effects tend to diminish in higher grades.</w:t>
      </w:r>
    </w:p>
    <w:p>
      <w:pPr>
        <w:pStyle w:val="Heading3"/>
      </w:pPr>
      <w:r>
        <w:t>Overall Strength of Evidence</w:t>
      </w:r>
    </w:p>
    <w:p>
      <w:r>
        <w:t>Across meta-analyses, the consensus is that class size reductions yield small to moderate positive effects, particularly when interventions are large and well-targeted. However, heterogeneity in design and definition means careful coding is essential (Glass &amp; Smith, 1979; Shin &amp; Chung, 2009).</w:t>
      </w:r>
    </w:p>
    <w:p>
      <w:r>
        <w:br w:type="page"/>
      </w:r>
    </w:p>
    <w:p>
      <w:pPr>
        <w:pStyle w:val="Heading1"/>
      </w:pPr>
      <w:r>
        <w:t>Appendix: Expanded Evidence Summary</w:t>
      </w:r>
    </w:p>
    <w:p>
      <w:pPr>
        <w:pStyle w:val="Heading2"/>
      </w:pPr>
      <w:r>
        <w:t>Typical outcomes</w:t>
      </w:r>
    </w:p>
    <w:p>
      <w:r>
        <w:t>Standardized test scores in reading and math dominate; some studies also use social science tests, writing, science, and college-admissions tests (ACT/SAT). Reading &amp; math show consistently positive effects around ~0.20 SD; SAT/ACT findings are sparse/variable. Early meta-work also tracked achievement gains (pre–post or covariate-adjusted posttests) and sometimes teacher ratings/ad hoc tests. (Glass &amp; Smith, 1979)</w:t>
      </w:r>
    </w:p>
    <w:p>
      <w:pPr>
        <w:pStyle w:val="Heading2"/>
      </w:pPr>
      <w:r>
        <w:t>How the intervention is measured</w:t>
      </w:r>
    </w:p>
    <w:p>
      <w:r>
        <w:t>Class size = actual students per class; pupil–teacher ratio (PTR) is different (can be lowered by aides/specialists without shrinking the class). Good syntheses prefer class size, not PTR. (Shin &amp; Chung, 2009) Early meta-analysis coded the pupil/instructor ratio explicitly (e.g., two teachers with 30 students = 15) and preserved the actual sizes being compared in effect-size coding. (Glass &amp; Smith, 1979) Debates note PTR ≠ class size; they often move together, but conflating them can mislead. (Hanushek, 2002)</w:t>
      </w:r>
    </w:p>
    <w:p>
      <w:pPr>
        <w:pStyle w:val="Heading2"/>
      </w:pPr>
      <w:r>
        <w:t>Consensus on effect magnitude &amp; meaningful reduction</w:t>
      </w:r>
    </w:p>
    <w:p>
      <w:r>
        <w:t>A recent U.S. meta-analysis (1989–2008) estimates ~0.20 SD average benefit for small vs. large classes (random-effects). (Shin &amp; Chung, 2009) Project STAR (K–3, random assignment) suggests that reducing classes from ~22–25 to ~13–17 yields ≈0.20 SD in math and reading—often cited as the benchmark for a meaningful reduction. (Hanushek, 2002) Classic meta-work, expressed in percentiles, implies that 20→10 students can exceed 10 percentile points—directionally consistent with a moderate standardized gain. (Glass &amp; Smith, 1979)</w:t>
      </w:r>
    </w:p>
    <w:p>
      <w:pPr>
        <w:pStyle w:val="Heading2"/>
      </w:pPr>
      <w:r>
        <w:t>Time frame of measured effects</w:t>
      </w:r>
    </w:p>
    <w:p>
      <w:r>
        <w:t>Benefits in STAR are concentrated in the first year of small-class exposure and sustain through grade 3, with limited evidence they keep compounding after K. (Hanushek, 2002) Many studies are short-term; the 2009 meta explicitly flags the lack of long-term follow-ups as a limitation. (Shin &amp; Chung, 2009)</w:t>
      </w:r>
    </w:p>
    <w:p>
      <w:pPr>
        <w:pStyle w:val="Heading2"/>
      </w:pPr>
      <w:r>
        <w:t>Important covariates / design features to code</w:t>
      </w:r>
    </w:p>
    <w:p>
      <w:r>
        <w:t>When templating extraction, prioritize whether studies: use pretest adjustment / ANCOVA or gain scores (Glass &amp; Smith, 1979); control family SES / background, student ability/IQ, teacher factors, and school context (Hanushek, 2002); use random assignment / matched / repeated-measures designs (Glass &amp; Smith, 1979); report grade level and subject (Glass &amp; Smith, 1979); and distinguish class size from PTR and specify exact sizes compared (Shin &amp; Chung, 2009). Address dependency (multiple outcomes per study; repeated use of STAR data) in meta-analysis. (Shin &amp; Chung, 2009)</w:t>
      </w:r>
    </w:p>
    <w:p>
      <w:pPr>
        <w:pStyle w:val="Heading2"/>
      </w:pPr>
      <w:r>
        <w:t>Contextual heterogeneity</w:t>
      </w:r>
    </w:p>
    <w:p>
      <w:r>
        <w:t>Effects are stronger in elementary grades (K–5) and tend to decrease with grade level (Shin &amp; Chung, 2009). Several syntheses report larger benefits for minority and disadvantaged students, especially in K–3 (Shin &amp; Chung, 2009). Subject differences are modest for reading and math; other subjects have too few effects for firm conclusions (Shin &amp; Chung, 2009). Classic (1979) evidence also found robust relationships across subjects and IQ strata (Glass &amp; Smith, 1979).</w:t>
      </w:r>
    </w:p>
    <w:p>
      <w:pPr>
        <w:pStyle w:val="Heading2"/>
      </w:pPr>
      <w:r>
        <w:t>Practical takeaways for coding templates</w:t>
      </w:r>
    </w:p>
    <w:p>
      <w:r>
        <w:t>Primary outcomes: standardized reading &amp; math test scores (Shin &amp; Chung, 2009). Treatment definition: exact class sizes, not just PTR (Glass &amp; Smith, 1979). Reference effect: expect ~0.20 SD for ~7–9 student reduction in early grades (Hanushek, 2002). Timing: note whether same-year vs subsequent-year outcomes (Shin &amp; Chung, 2009). Controls: pretests, SES, teacher credentials, and randomization design (Hanushek, 2002). Moderators: grade level, subgroup, subject, and study design quality.</w:t>
      </w:r>
    </w:p>
    <w:p>
      <w:r>
        <w:br w:type="page"/>
      </w:r>
    </w:p>
    <w:p>
      <w:pPr>
        <w:pStyle w:val="Heading1"/>
      </w:pPr>
      <w:r>
        <w:t>References</w:t>
      </w:r>
    </w:p>
    <w:p>
      <w:pPr>
        <w:pStyle w:val="ListBullet"/>
      </w:pPr>
      <w:r>
        <w:t>Finn, J. D., &amp; Achilles, C. M. (1990). Answers and questions about class size: A statewide experiment. American Educational Research Journal, 27(3), 557–577.</w:t>
      </w:r>
    </w:p>
    <w:p>
      <w:pPr>
        <w:pStyle w:val="ListBullet"/>
      </w:pPr>
      <w:r>
        <w:t>Glass, G. V., &amp; Smith, M. L. (1979). Meta-analysis of research on class size and achievement. Educational Evaluation and Policy Analysis, 1(1), 2–16.</w:t>
      </w:r>
    </w:p>
    <w:p>
      <w:pPr>
        <w:pStyle w:val="ListBullet"/>
      </w:pPr>
      <w:r>
        <w:t>Hanushek, E. A. (2002). Evidence, politics, and the class size debate. In Understanding the magnitude and effect of class size on student achievement (pp. 9–50). Hoover Institution.</w:t>
      </w:r>
    </w:p>
    <w:p>
      <w:pPr>
        <w:pStyle w:val="ListBullet"/>
      </w:pPr>
      <w:r>
        <w:t>Shin, I.-S., &amp; Chung, J. Y. (2009). Class size and student achievement in the United States: A meta-analysis. School Effectiveness and School Improvement, 20(6), 695–710.</w:t>
      </w:r>
    </w:p>
    <w:p>
      <w:pPr>
        <w:pStyle w:val="ListBullet"/>
      </w:pPr>
      <w:r>
        <w:t>Coleman, J. S. (1966). Equality of Educational Opportunity (Coleman Report). U.S. Department of Health, Education, and Welfare.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