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71.png" ContentType="image/png"/>
  <Override PartName="/word/media/rId41.png" ContentType="image/png"/>
  <Override PartName="/word/media/rId27.png" ContentType="image/png"/>
  <Override PartName="/word/media/rId55.png" ContentType="image/png"/>
  <Override PartName="/word/media/rId52.png" ContentType="image/png"/>
  <Override PartName="/word/media/rId37.png" ContentType="image/png"/>
  <Override PartName="/word/media/rId68.png" ContentType="image/png"/>
  <Override PartName="/word/media/rId34.png" ContentType="image/png"/>
  <Override PartName="/word/media/rId44.png" ContentType="image/png"/>
  <Override PartName="/word/media/rId6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Dự báo giá và phân tích biến động cổ phiếu FPT bằng mô hình chuỗi thời gian</w:t>
      </w:r>
    </w:p>
    <w:p>
      <w:pPr>
        <w:pStyle w:val="Subtitle"/>
      </w:pPr>
      <w:r>
        <w:t xml:space="preserve">Môn: Lập trình R cho phân tích - Nhóm 06 | Giảng viên: TS. Phan Thị Thể</w:t>
      </w:r>
    </w:p>
    <w:p>
      <w:pPr>
        <w:pStyle w:val="Author"/>
      </w:pPr>
      <w:r>
        <w:t xml:space="preserve">Trần Thiên Lực - 24133037; Nguyễn Đức Học - 24162039; Lê Đặng Hoàng Anh - 24162006</w:t>
      </w:r>
    </w:p>
    <w:p>
      <w:pPr>
        <w:pStyle w:val="Date"/>
      </w:pPr>
      <w:r>
        <w:t xml:space="preserve">23/06/2026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tóm-tắt"/>
    <w:p>
      <w:pPr>
        <w:pStyle w:val="Heading1"/>
      </w:pPr>
      <w:r>
        <w:t xml:space="preserve">Tóm tắt</w:t>
      </w:r>
    </w:p>
    <w:p>
      <w:pPr>
        <w:pStyle w:val="FirstParagraph"/>
      </w:pPr>
      <w:r>
        <w:t xml:space="preserve">Nghiên cứu xây dựng một pipeline R có thể tái lập để phân tích cổ phiếu FPT trong giai đoạn 2015-01-05 đến 2026-06-08. Dữ liệu Yahoo Finance được kiểm tra chất lượng, trực quan hóa, kiểm định tính dừng, dùng để đánh giá bảy phương pháp dự báo giá và bốn specification GARCH. Hai bài toán được tách biệt: dự báo mức giá đóng cửa và mô hình hóa phương sai có điều kiện của log return.</w:t>
      </w:r>
    </w:p>
    <w:p>
      <w:pPr>
        <w:pStyle w:val="BodyText"/>
      </w:pPr>
      <w:r>
        <w:t xml:space="preserve">Trên holdout 30 phiên, ETS Damped có RMSE thấp nhất (1,939.13), nhưng chỉ thấp hơn Naive 0.72 đơn vị. Trong rolling-origin CV, Naive dẫn đầu nhóm có cùng coverage với mean RMSE 5,353.94. Ljung-Box bác bỏ giả thuyết white-noise residual cho tất cả fitted forecast models, nên chưa có bằng chứng mô hình phức tạp cải thiện Naive một cách ổn định. Với volatility, eGARCH-Student-t là ứng viên cân bằng nhờ AIC gần GJR-GARCH, core residual diagnostics đạt và Nyblom joint stability không bị bác bỏ; adjusted Pearson GOF vẫn là hạn chế.</w:t>
      </w:r>
    </w:p>
    <w:p>
      <w:pPr>
        <w:pStyle w:val="BodyText"/>
      </w:pPr>
      <w:r>
        <w:rPr>
          <w:b/>
          <w:bCs/>
        </w:rPr>
        <w:t xml:space="preserve">Từ khóa:</w:t>
      </w:r>
      <w:r>
        <w:t xml:space="preserve"> </w:t>
      </w:r>
      <w:r>
        <w:t xml:space="preserve">FPT, chuỗi thời gian, ARIMA, ETS, GARCH, volatility, R.</w:t>
      </w:r>
    </w:p>
    <w:p>
      <w:r>
        <w:br w:type="page"/>
      </w:r>
    </w:p>
    <w:bookmarkEnd w:id="9"/>
    <w:bookmarkStart w:id="14" w:name="giới-thiệu"/>
    <w:p>
      <w:pPr>
        <w:pStyle w:val="Heading1"/>
      </w:pPr>
      <w:r>
        <w:rPr>
          <w:rStyle w:val="SectionNumber"/>
        </w:rPr>
        <w:t xml:space="preserve">1</w:t>
      </w:r>
      <w:r>
        <w:tab/>
      </w:r>
      <w:r>
        <w:t xml:space="preserve">Giới thiệu</w:t>
      </w:r>
    </w:p>
    <w:bookmarkStart w:id="10" w:name="bối-cảnh"/>
    <w:p>
      <w:pPr>
        <w:pStyle w:val="Heading2"/>
      </w:pPr>
      <w:r>
        <w:rPr>
          <w:rStyle w:val="SectionNumber"/>
        </w:rPr>
        <w:t xml:space="preserve">1.1</w:t>
      </w:r>
      <w:r>
        <w:tab/>
      </w:r>
      <w:r>
        <w:t xml:space="preserve">Bối cảnh</w:t>
      </w:r>
    </w:p>
    <w:p>
      <w:pPr>
        <w:pStyle w:val="FirstParagraph"/>
      </w:pPr>
      <w:r>
        <w:t xml:space="preserve">Trong phân tích tài chính, giá cổ phiếu được ghi nhận theo thời gian tạo thành một chuỗi thời gian (time series). Chuỗi này thường có hai đặc điểm quan trọng mà các phương pháp thống kê cổ điển — vốn giả định dữ liệu độc lập và phương sai không đổi — không xử lý tốt:</w:t>
      </w:r>
    </w:p>
    <w:p>
      <w:pPr>
        <w:pStyle w:val="Compact"/>
        <w:numPr>
          <w:ilvl w:val="0"/>
          <w:numId w:val="1001"/>
        </w:numPr>
      </w:pPr>
      <w:r>
        <w:rPr>
          <w:b/>
          <w:bCs/>
        </w:rPr>
        <w:t xml:space="preserve">Xu hướng dài hạn (trend):</w:t>
      </w:r>
      <w:r>
        <w:t xml:space="preserve"> </w:t>
      </w:r>
      <w:r>
        <w:t xml:space="preserve">Mức giá thay đổi theo thời gian, không dao động quanh một giá trị cố định, khiến chuỗi giá thường không dừng (non-stationary). Điều này đòi hỏi kiểm định tính dừng trước khi áp dụng các mô hình dự báo.</w:t>
      </w:r>
    </w:p>
    <w:p>
      <w:pPr>
        <w:pStyle w:val="Compact"/>
        <w:numPr>
          <w:ilvl w:val="0"/>
          <w:numId w:val="1001"/>
        </w:numPr>
      </w:pPr>
      <w:r>
        <w:rPr>
          <w:b/>
          <w:bCs/>
        </w:rPr>
        <w:t xml:space="preserve">Biến động thay đổi theo giai đoạn (volatility clustering):</w:t>
      </w:r>
      <w:r>
        <w:t xml:space="preserve"> </w:t>
      </w:r>
      <w:r>
        <w:t xml:space="preserve">Những ngày thị trường</w:t>
      </w:r>
      <w:r>
        <w:t xml:space="preserve"> </w:t>
      </w:r>
      <w:r>
        <w:t xml:space="preserve">“sóng gió”</w:t>
      </w:r>
      <w:r>
        <w:t xml:space="preserve"> </w:t>
      </w:r>
      <w:r>
        <w:t xml:space="preserve">thường đi liền nhau — một phiên giảm mạnh có xu hướng kéo theo những phiên biến động lớn tiếp theo. Hiện tượng này yêu cầu mô hình phương sai có điều kiện thay vì giả định phương sai cố định.</w:t>
      </w:r>
    </w:p>
    <w:p>
      <w:pPr>
        <w:pStyle w:val="FirstParagraph"/>
      </w:pPr>
      <w:r>
        <w:t xml:space="preserve">Vì hai đặc điểm này yêu cầu công cụ phân tích khác nhau, dự án tách thành</w:t>
      </w:r>
      <w:r>
        <w:t xml:space="preserve"> </w:t>
      </w:r>
      <w:r>
        <w:rPr>
          <w:b/>
          <w:bCs/>
        </w:rPr>
        <w:t xml:space="preserve">hai bài toán độc lập</w:t>
      </w:r>
      <w:r>
        <w:t xml:space="preserve">:</w:t>
      </w:r>
    </w:p>
    <w:p>
      <w:pPr>
        <w:pStyle w:val="Compact"/>
        <w:numPr>
          <w:ilvl w:val="0"/>
          <w:numId w:val="1002"/>
        </w:numPr>
      </w:pPr>
      <w:r>
        <w:rPr>
          <w:b/>
          <w:bCs/>
        </w:rPr>
        <w:t xml:space="preserve">Dự báo mức giá (price forecasting):</w:t>
      </w:r>
      <w:r>
        <w:t xml:space="preserve"> </w:t>
      </w:r>
      <w:r>
        <w:t xml:space="preserve">Ước lượng conditional mean — giá trị trung bình có điều kiện — của giá đóng cửa trong tương lai gần, sử dụng các mô hình ARIMA, ETS và so sánh với benchmark đơn giản (Naive, Drift).</w:t>
      </w:r>
    </w:p>
    <w:p>
      <w:pPr>
        <w:pStyle w:val="Compact"/>
        <w:numPr>
          <w:ilvl w:val="0"/>
          <w:numId w:val="1002"/>
        </w:numPr>
      </w:pPr>
      <w:r>
        <w:rPr>
          <w:b/>
          <w:bCs/>
        </w:rPr>
        <w:t xml:space="preserve">Mô hình hóa biến động (volatility modeling):</w:t>
      </w:r>
      <w:r>
        <w:t xml:space="preserve"> </w:t>
      </w:r>
      <w:r>
        <w:t xml:space="preserve">Ước lượng conditional variance — phương sai có điều kiện — của log return, nhằm đo lường mức rủi ro thay đổi theo thời gian bằng các specification GARCH.</w:t>
      </w:r>
    </w:p>
    <w:p>
      <w:pPr>
        <w:pStyle w:val="FirstParagraph"/>
      </w:pPr>
      <w:r>
        <w:t xml:space="preserve">FPT được chọn làm đối tượng nghiên cứu vì chuỗi dữ liệu OHLCV có sẵn trên Yahoo Finance kéo dài hơn 11 năm, cung cấp đủ quan sát (hơn 2.700 phiên giao dịch) để thực hành đầy đủ các bước: làm sạch dữ liệu, kiểm định tính dừng, đánh giá dự báo ngoài mẫu và mô hình hóa volatility. Việc chọn FPT chỉ phục vụ mục tiêu học thuật; dự án không đánh giá giá trị nội tại của cổ phiếu và không đưa ra bất kỳ khuyến nghị mua bán nào.</w:t>
      </w:r>
    </w:p>
    <w:bookmarkEnd w:id="10"/>
    <w:bookmarkStart w:id="11" w:name="câu-hỏi-nghiên-cứu"/>
    <w:p>
      <w:pPr>
        <w:pStyle w:val="Heading2"/>
      </w:pPr>
      <w:r>
        <w:rPr>
          <w:rStyle w:val="SectionNumber"/>
        </w:rPr>
        <w:t xml:space="preserve">1.2</w:t>
      </w:r>
      <w:r>
        <w:tab/>
      </w:r>
      <w:r>
        <w:t xml:space="preserve">Câu hỏi nghiên cứu</w:t>
      </w:r>
    </w:p>
    <w:p>
      <w:pPr>
        <w:pStyle w:val="Compact"/>
        <w:numPr>
          <w:ilvl w:val="0"/>
          <w:numId w:val="1003"/>
        </w:numPr>
      </w:pPr>
      <w:r>
        <w:rPr>
          <w:rStyle w:val="VerbatimChar"/>
        </w:rPr>
        <w:t xml:space="preserve">close</w:t>
      </w:r>
      <w:r>
        <w:t xml:space="preserve">,</w:t>
      </w:r>
      <w:r>
        <w:t xml:space="preserve"> </w:t>
      </w:r>
      <w:r>
        <w:rPr>
          <w:rStyle w:val="VerbatimChar"/>
        </w:rPr>
        <w:t xml:space="preserve">log_close</w:t>
      </w:r>
      <w:r>
        <w:t xml:space="preserve"> </w:t>
      </w:r>
      <w:r>
        <w:t xml:space="preserve">và</w:t>
      </w:r>
      <w:r>
        <w:t xml:space="preserve"> </w:t>
      </w:r>
      <w:r>
        <w:rPr>
          <w:rStyle w:val="VerbatimChar"/>
        </w:rPr>
        <w:t xml:space="preserve">return</w:t>
      </w:r>
      <w:r>
        <w:t xml:space="preserve"> </w:t>
      </w:r>
      <w:r>
        <w:t xml:space="preserve">có dừng hay không?</w:t>
      </w:r>
    </w:p>
    <w:p>
      <w:pPr>
        <w:pStyle w:val="Compact"/>
        <w:numPr>
          <w:ilvl w:val="0"/>
          <w:numId w:val="1003"/>
        </w:numPr>
      </w:pPr>
      <w:r>
        <w:t xml:space="preserve">ARIMA, SARIMA, ETS, ETS Damped hoặc ARIMAX có cải thiện Naive/Drift ngoài mẫu không?</w:t>
      </w:r>
    </w:p>
    <w:p>
      <w:pPr>
        <w:pStyle w:val="Compact"/>
        <w:numPr>
          <w:ilvl w:val="0"/>
          <w:numId w:val="1003"/>
        </w:numPr>
      </w:pPr>
      <w:r>
        <w:t xml:space="preserve">Kết luận từ một holdout 30 phiên có ổn định qua rolling-origin CV không?</w:t>
      </w:r>
    </w:p>
    <w:p>
      <w:pPr>
        <w:pStyle w:val="Compact"/>
        <w:numPr>
          <w:ilvl w:val="0"/>
          <w:numId w:val="1003"/>
        </w:numPr>
      </w:pPr>
      <w:r>
        <w:t xml:space="preserve">Return có ARCH effect và volatility clustering không?</w:t>
      </w:r>
    </w:p>
    <w:p>
      <w:pPr>
        <w:pStyle w:val="Compact"/>
        <w:numPr>
          <w:ilvl w:val="0"/>
          <w:numId w:val="1003"/>
        </w:numPr>
      </w:pPr>
      <w:r>
        <w:t xml:space="preserve">Student-t và cấu trúc bất đối xứng có cải thiện sGARCH-Normal không?</w:t>
      </w:r>
    </w:p>
    <w:p>
      <w:pPr>
        <w:pStyle w:val="Compact"/>
        <w:numPr>
          <w:ilvl w:val="0"/>
          <w:numId w:val="1003"/>
        </w:numPr>
      </w:pPr>
      <w:r>
        <w:t xml:space="preserve">Sau khi fit GARCH, residual dynamics, sign bias, parameter instability hoặc distribution misfit còn tồn tại không?</w:t>
      </w:r>
    </w:p>
    <w:bookmarkEnd w:id="11"/>
    <w:bookmarkStart w:id="12" w:name="mục-tiêu-và-phạm-vi"/>
    <w:p>
      <w:pPr>
        <w:pStyle w:val="Heading2"/>
      </w:pPr>
      <w:r>
        <w:rPr>
          <w:rStyle w:val="SectionNumber"/>
        </w:rPr>
        <w:t xml:space="preserve">1.3</w:t>
      </w:r>
      <w:r>
        <w:tab/>
      </w:r>
      <w:r>
        <w:t xml:space="preserve">Mục tiêu và phạm vi</w:t>
      </w:r>
    </w:p>
    <w:p>
      <w:pPr>
        <w:pStyle w:val="FirstParagraph"/>
      </w:pPr>
      <w:r>
        <w:t xml:space="preserve">Dự án xây dựng một pipeline phân tích hoàn chỉnh bằng R, có khả năng tái lập toàn bộ kết quả từ file CSV thô đến báo cáo Word chỉ bằng một lệnh duy nhất. Cụ thể, pipeline thực hiện các bước sau:</w:t>
      </w:r>
    </w:p>
    <w:p>
      <w:pPr>
        <w:pStyle w:val="Compact"/>
        <w:numPr>
          <w:ilvl w:val="0"/>
          <w:numId w:val="1004"/>
        </w:numPr>
      </w:pPr>
      <w:r>
        <w:rPr>
          <w:b/>
          <w:bCs/>
        </w:rPr>
        <w:t xml:space="preserve">Kiểm tra và làm sạch dữ liệu:</w:t>
      </w:r>
      <w:r>
        <w:t xml:space="preserve"> </w:t>
      </w:r>
      <w:r>
        <w:t xml:space="preserve">Phát hiện ngày lỗi, ngày trùng, missing values, giá không hợp lệ và volume bằng 0.</w:t>
      </w:r>
    </w:p>
    <w:p>
      <w:pPr>
        <w:pStyle w:val="Compact"/>
        <w:numPr>
          <w:ilvl w:val="0"/>
          <w:numId w:val="1004"/>
        </w:numPr>
      </w:pPr>
      <w:r>
        <w:rPr>
          <w:b/>
          <w:bCs/>
        </w:rPr>
        <w:t xml:space="preserve">Tạo biến phái sinh:</w:t>
      </w:r>
      <w:r>
        <w:t xml:space="preserve"> </w:t>
      </w:r>
      <w:r>
        <w:t xml:space="preserve">Tính log price và log return từ giá đóng cửa.</w:t>
      </w:r>
    </w:p>
    <w:p>
      <w:pPr>
        <w:pStyle w:val="Compact"/>
        <w:numPr>
          <w:ilvl w:val="0"/>
          <w:numId w:val="1004"/>
        </w:numPr>
      </w:pPr>
      <w:r>
        <w:rPr>
          <w:b/>
          <w:bCs/>
        </w:rPr>
        <w:t xml:space="preserve">Phân tích khám phá (EDA):</w:t>
      </w:r>
      <w:r>
        <w:t xml:space="preserve"> </w:t>
      </w:r>
      <w:r>
        <w:t xml:space="preserve">Trực quan hóa giá, volume, return, phân phối và tự tương quan.</w:t>
      </w:r>
    </w:p>
    <w:p>
      <w:pPr>
        <w:pStyle w:val="Compact"/>
        <w:numPr>
          <w:ilvl w:val="0"/>
          <w:numId w:val="1004"/>
        </w:numPr>
      </w:pPr>
      <w:r>
        <w:rPr>
          <w:b/>
          <w:bCs/>
        </w:rPr>
        <w:t xml:space="preserve">Kiểm định tính dừng:</w:t>
      </w:r>
      <w:r>
        <w:t xml:space="preserve"> </w:t>
      </w:r>
      <w:r>
        <w:t xml:space="preserve">Augmented Dickey-Fuller cho</w:t>
      </w:r>
      <w:r>
        <w:t xml:space="preserve"> </w:t>
      </w:r>
      <w:r>
        <w:rPr>
          <w:rStyle w:val="VerbatimChar"/>
        </w:rPr>
        <w:t xml:space="preserve">close</w:t>
      </w:r>
      <w:r>
        <w:t xml:space="preserve">,</w:t>
      </w:r>
      <w:r>
        <w:t xml:space="preserve"> </w:t>
      </w:r>
      <w:r>
        <w:rPr>
          <w:rStyle w:val="VerbatimChar"/>
        </w:rPr>
        <w:t xml:space="preserve">log_close</w:t>
      </w:r>
      <w:r>
        <w:t xml:space="preserve"> </w:t>
      </w:r>
      <w:r>
        <w:t xml:space="preserve">và</w:t>
      </w:r>
      <w:r>
        <w:t xml:space="preserve"> </w:t>
      </w:r>
      <w:r>
        <w:rPr>
          <w:rStyle w:val="VerbatimChar"/>
        </w:rPr>
        <w:t xml:space="preserve">return</w:t>
      </w:r>
      <w:r>
        <w:t xml:space="preserve">.</w:t>
      </w:r>
    </w:p>
    <w:p>
      <w:pPr>
        <w:pStyle w:val="Compact"/>
        <w:numPr>
          <w:ilvl w:val="0"/>
          <w:numId w:val="1004"/>
        </w:numPr>
      </w:pPr>
      <w:r>
        <w:rPr>
          <w:b/>
          <w:bCs/>
        </w:rPr>
        <w:t xml:space="preserve">Đánh giá dự báo giá:</w:t>
      </w:r>
      <w:r>
        <w:t xml:space="preserve"> </w:t>
      </w:r>
      <w:r>
        <w:t xml:space="preserve">So sánh bảy mô hình trên holdout 30 phiên và rolling-origin cross-validation.</w:t>
      </w:r>
    </w:p>
    <w:p>
      <w:pPr>
        <w:pStyle w:val="Compact"/>
        <w:numPr>
          <w:ilvl w:val="0"/>
          <w:numId w:val="1004"/>
        </w:numPr>
      </w:pPr>
      <w:r>
        <w:rPr>
          <w:b/>
          <w:bCs/>
        </w:rPr>
        <w:t xml:space="preserve">Mô hình hóa volatility:</w:t>
      </w:r>
      <w:r>
        <w:t xml:space="preserve"> </w:t>
      </w:r>
      <w:r>
        <w:t xml:space="preserve">Fit bốn GARCH specifications và đánh giá bằng bộ diagnostic tests.</w:t>
      </w:r>
    </w:p>
    <w:p>
      <w:pPr>
        <w:pStyle w:val="FirstParagraph"/>
      </w:pPr>
      <w:r>
        <w:t xml:space="preserve">Phạm vi chỉ sử dụng lịch sử cổ phiếu</w:t>
      </w:r>
      <w:r>
        <w:t xml:space="preserve"> </w:t>
      </w:r>
      <w:r>
        <w:rPr>
          <w:rStyle w:val="VerbatimChar"/>
        </w:rPr>
        <w:t xml:space="preserve">FPT.VN</w:t>
      </w:r>
      <w:r>
        <w:t xml:space="preserve"> </w:t>
      </w:r>
      <w:r>
        <w:t xml:space="preserve">từ một nhà cung cấp (Yahoo Finance); dự án chưa đưa VN-Index, biến vĩ mô, tin tức hoặc dữ liệu intraday vào mô hình.</w:t>
      </w:r>
    </w:p>
    <w:bookmarkEnd w:id="12"/>
    <w:bookmarkStart w:id="13" w:name="nguyên-tắc-phương-pháp"/>
    <w:p>
      <w:pPr>
        <w:pStyle w:val="Heading2"/>
      </w:pPr>
      <w:r>
        <w:rPr>
          <w:rStyle w:val="SectionNumber"/>
        </w:rPr>
        <w:t xml:space="preserve">1.4</w:t>
      </w:r>
      <w:r>
        <w:tab/>
      </w:r>
      <w:r>
        <w:t xml:space="preserve">Nguyên tắc phương pháp</w:t>
      </w:r>
    </w:p>
    <w:p>
      <w:pPr>
        <w:pStyle w:val="Compact"/>
        <w:numPr>
          <w:ilvl w:val="0"/>
          <w:numId w:val="1005"/>
        </w:numPr>
      </w:pPr>
      <w:r>
        <w:t xml:space="preserve">Không shuffle chuỗi thời gian.</w:t>
      </w:r>
    </w:p>
    <w:p>
      <w:pPr>
        <w:pStyle w:val="Compact"/>
        <w:numPr>
          <w:ilvl w:val="0"/>
          <w:numId w:val="1005"/>
        </w:numPr>
      </w:pPr>
      <w:r>
        <w:t xml:space="preserve">Mọi model trong cùng bảng holdout dùng cùng train/test split.</w:t>
      </w:r>
    </w:p>
    <w:p>
      <w:pPr>
        <w:pStyle w:val="Compact"/>
        <w:numPr>
          <w:ilvl w:val="0"/>
          <w:numId w:val="1005"/>
        </w:numPr>
      </w:pPr>
      <w:r>
        <w:t xml:space="preserve">Model phức tạp phải được so với benchmark đơn giản.</w:t>
      </w:r>
    </w:p>
    <w:p>
      <w:pPr>
        <w:pStyle w:val="Compact"/>
        <w:numPr>
          <w:ilvl w:val="0"/>
          <w:numId w:val="1005"/>
        </w:numPr>
      </w:pPr>
      <w:r>
        <w:t xml:space="preserve">Không chọn model chỉ bằng một metric hoặc AIC.</w:t>
      </w:r>
    </w:p>
    <w:p>
      <w:pPr>
        <w:pStyle w:val="Compact"/>
        <w:numPr>
          <w:ilvl w:val="0"/>
          <w:numId w:val="1005"/>
        </w:numPr>
      </w:pPr>
      <w:r>
        <w:t xml:space="preserve">P-value được diễn giải theo giả thuyết của từng test, không dùng như xác suất model đúng.</w:t>
      </w:r>
    </w:p>
    <w:p>
      <w:pPr>
        <w:pStyle w:val="Compact"/>
        <w:numPr>
          <w:ilvl w:val="0"/>
          <w:numId w:val="1005"/>
        </w:numPr>
      </w:pPr>
      <w:r>
        <w:t xml:space="preserve">Kết luận phải đi kèm giới hạn và không được chuyển thành khuyến nghị đầu tư.</w:t>
      </w:r>
    </w:p>
    <w:bookmarkEnd w:id="13"/>
    <w:bookmarkEnd w:id="14"/>
    <w:bookmarkStart w:id="19" w:name="dữ-liệu-và-kiểm-tra-chất-lượng"/>
    <w:p>
      <w:pPr>
        <w:pStyle w:val="Heading1"/>
      </w:pPr>
      <w:r>
        <w:rPr>
          <w:rStyle w:val="SectionNumber"/>
        </w:rPr>
        <w:t xml:space="preserve">2</w:t>
      </w:r>
      <w:r>
        <w:tab/>
      </w:r>
      <w:r>
        <w:t xml:space="preserve">Dữ liệu và kiểm tra chất lượng</w:t>
      </w:r>
    </w:p>
    <w:bookmarkStart w:id="15" w:name="nguồn-và-phạm-vi"/>
    <w:p>
      <w:pPr>
        <w:pStyle w:val="Heading2"/>
      </w:pPr>
      <w:r>
        <w:rPr>
          <w:rStyle w:val="SectionNumber"/>
        </w:rPr>
        <w:t xml:space="preserve">2.1</w:t>
      </w:r>
      <w:r>
        <w:tab/>
      </w:r>
      <w:r>
        <w:t xml:space="preserve">Nguồn và phạm vi</w:t>
      </w:r>
    </w:p>
    <w:p>
      <w:pPr>
        <w:pStyle w:val="FirstParagraph"/>
      </w:pPr>
      <w:r>
        <w:t xml:space="preserve">Dữ liệu được lấy từ Yahoo Finance với ticker</w:t>
      </w:r>
      <w:r>
        <w:t xml:space="preserve"> </w:t>
      </w:r>
      <w:r>
        <w:rPr>
          <w:rStyle w:val="VerbatimChar"/>
        </w:rPr>
        <w:t xml:space="preserve">FPT.VN</w:t>
      </w:r>
      <w:r>
        <w:t xml:space="preserve"> </w:t>
      </w:r>
      <w:r>
        <w:t xml:space="preserve">bằng</w:t>
      </w:r>
      <w:r>
        <w:t xml:space="preserve"> </w:t>
      </w:r>
      <w:r>
        <w:rPr>
          <w:rStyle w:val="VerbatimChar"/>
        </w:rPr>
        <w:t xml:space="preserve">notebooks/01_scrape_fpt_colab.ipynb</w:t>
      </w:r>
      <w:r>
        <w:t xml:space="preserve">. Notebook dùng</w:t>
      </w:r>
      <w:r>
        <w:t xml:space="preserve"> </w:t>
      </w:r>
      <w:r>
        <w:rPr>
          <w:rStyle w:val="VerbatimChar"/>
        </w:rPr>
        <w:t xml:space="preserve">auto_adjust = TRUE</w:t>
      </w:r>
      <w:r>
        <w:t xml:space="preserve">, vì vậy các cột giá được hiểu là giá đã điều chỉnh theo dữ liệu của nhà cung cấp. Tệp raw cố định có 2,960 dòng từ 2015-01-01 đến 2026-06-08 và được lưu tại</w:t>
      </w:r>
      <w:r>
        <w:t xml:space="preserve"> </w:t>
      </w:r>
      <w:r>
        <w:rPr>
          <w:rStyle w:val="VerbatimChar"/>
        </w:rPr>
        <w:t xml:space="preserve">data/raw/FPT_stock_data.csv</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Ý nghĩa</w:t>
            </w:r>
          </w:p>
        </w:tc>
      </w:tr>
      <w:tr>
        <w:tc>
          <w:tcPr/>
          <w:p>
            <w:pPr>
              <w:pStyle w:val="Compact"/>
            </w:pPr>
            <w:r>
              <w:rPr>
                <w:rStyle w:val="VerbatimChar"/>
              </w:rPr>
              <w:t xml:space="preserve">date</w:t>
            </w:r>
          </w:p>
        </w:tc>
        <w:tc>
          <w:tcPr/>
          <w:p>
            <w:pPr>
              <w:pStyle w:val="Compact"/>
            </w:pPr>
            <w:r>
              <w:t xml:space="preserve">Ngày quan sát</w:t>
            </w:r>
          </w:p>
        </w:tc>
      </w:tr>
      <w:tr>
        <w:tc>
          <w:tcPr/>
          <w:p>
            <w:pPr>
              <w:pStyle w:val="Compact"/>
            </w:pPr>
            <w:r>
              <w:rPr>
                <w:rStyle w:val="VerbatimChar"/>
              </w:rPr>
              <w:t xml:space="preserve">open</w:t>
            </w:r>
          </w:p>
        </w:tc>
        <w:tc>
          <w:tcPr/>
          <w:p>
            <w:pPr>
              <w:pStyle w:val="Compact"/>
            </w:pPr>
            <w:r>
              <w:t xml:space="preserve">Giá mở cửa đã điều chỉnh</w:t>
            </w:r>
          </w:p>
        </w:tc>
      </w:tr>
      <w:tr>
        <w:tc>
          <w:tcPr/>
          <w:p>
            <w:pPr>
              <w:pStyle w:val="Compact"/>
            </w:pPr>
            <w:r>
              <w:rPr>
                <w:rStyle w:val="VerbatimChar"/>
              </w:rPr>
              <w:t xml:space="preserve">high</w:t>
            </w:r>
          </w:p>
        </w:tc>
        <w:tc>
          <w:tcPr/>
          <w:p>
            <w:pPr>
              <w:pStyle w:val="Compact"/>
            </w:pPr>
            <w:r>
              <w:t xml:space="preserve">Giá cao nhất đã điều chỉnh</w:t>
            </w:r>
          </w:p>
        </w:tc>
      </w:tr>
      <w:tr>
        <w:tc>
          <w:tcPr/>
          <w:p>
            <w:pPr>
              <w:pStyle w:val="Compact"/>
            </w:pPr>
            <w:r>
              <w:rPr>
                <w:rStyle w:val="VerbatimChar"/>
              </w:rPr>
              <w:t xml:space="preserve">low</w:t>
            </w:r>
          </w:p>
        </w:tc>
        <w:tc>
          <w:tcPr/>
          <w:p>
            <w:pPr>
              <w:pStyle w:val="Compact"/>
            </w:pPr>
            <w:r>
              <w:t xml:space="preserve">Giá thấp nhất đã điều chỉnh</w:t>
            </w:r>
          </w:p>
        </w:tc>
      </w:tr>
      <w:tr>
        <w:tc>
          <w:tcPr/>
          <w:p>
            <w:pPr>
              <w:pStyle w:val="Compact"/>
            </w:pPr>
            <w:r>
              <w:rPr>
                <w:rStyle w:val="VerbatimChar"/>
              </w:rPr>
              <w:t xml:space="preserve">close</w:t>
            </w:r>
          </w:p>
        </w:tc>
        <w:tc>
          <w:tcPr/>
          <w:p>
            <w:pPr>
              <w:pStyle w:val="Compact"/>
            </w:pPr>
            <w:r>
              <w:t xml:space="preserve">Giá đóng cửa đã điều chỉnh</w:t>
            </w:r>
          </w:p>
        </w:tc>
      </w:tr>
      <w:tr>
        <w:tc>
          <w:tcPr/>
          <w:p>
            <w:pPr>
              <w:pStyle w:val="Compact"/>
            </w:pPr>
            <w:r>
              <w:rPr>
                <w:rStyle w:val="VerbatimChar"/>
              </w:rPr>
              <w:t xml:space="preserve">volume</w:t>
            </w:r>
          </w:p>
        </w:tc>
        <w:tc>
          <w:tcPr/>
          <w:p>
            <w:pPr>
              <w:pStyle w:val="Compact"/>
            </w:pPr>
            <w:r>
              <w:t xml:space="preserve">Khối lượng giao dịch</w:t>
            </w:r>
          </w:p>
        </w:tc>
      </w:tr>
    </w:tbl>
    <w:bookmarkEnd w:id="15"/>
    <w:bookmarkStart w:id="16" w:name="quy-trình-làm-sạch"/>
    <w:p>
      <w:pPr>
        <w:pStyle w:val="Heading2"/>
      </w:pPr>
      <w:r>
        <w:rPr>
          <w:rStyle w:val="SectionNumber"/>
        </w:rPr>
        <w:t xml:space="preserve">2.2</w:t>
      </w:r>
      <w:r>
        <w:tab/>
      </w:r>
      <w:r>
        <w:t xml:space="preserve">Quy trình làm sạch</w:t>
      </w:r>
    </w:p>
    <w:p>
      <w:pPr>
        <w:pStyle w:val="FirstParagraph"/>
      </w:pPr>
      <w:r>
        <w:rPr>
          <w:rStyle w:val="VerbatimChar"/>
        </w:rPr>
        <w:t xml:space="preserve">R/01_data_cleaning.R</w:t>
      </w:r>
      <w:r>
        <w:t xml:space="preserve"> </w:t>
      </w:r>
      <w:r>
        <w:t xml:space="preserve">chuẩn hóa tên cột, chuyển kiểu Date/numeric, sắp xếp theo thời gian và kiểm tra schema. Pipeline dừng nếu có ngày lỗi, ngày trùng, missing OHLCV, giá không dương hoặc volume âm.</w:t>
      </w:r>
    </w:p>
    <w:p>
      <w:pPr>
        <w:pStyle w:val="BodyText"/>
      </w:pPr>
      <w:r>
        <w:t xml:space="preserve">Dữ liệu raw có 173 dòng</w:t>
      </w:r>
      <w:r>
        <w:t xml:space="preserve"> </w:t>
      </w:r>
      <w:r>
        <w:rPr>
          <w:rStyle w:val="VerbatimChar"/>
        </w:rPr>
        <w:t xml:space="preserve">volume = 0</w:t>
      </w:r>
      <w:r>
        <w:t xml:space="preserve">; các dòng này bị loại vì không đại diện cho phiên có khối lượng giao dịch dương trong chuỗi mô hình. Quan hệ OHLC được kiểm tra với tolerance</w:t>
      </w:r>
      <w:r>
        <w:t xml:space="preserve"> </w:t>
      </w:r>
      <w:r>
        <w:rPr>
          <w:rStyle w:val="VerbatimChar"/>
        </w:rPr>
        <w:t xml:space="preserve">1e-8</w:t>
      </w:r>
      <w:r>
        <w:t xml:space="preserve"> </w:t>
      </w:r>
      <w:r>
        <w:t xml:space="preserve">để không nhầm sai số floating-point khoảng</w:t>
      </w:r>
      <w:r>
        <w:t xml:space="preserve"> </w:t>
      </w:r>
      <w:r>
        <w:rPr>
          <w:rStyle w:val="VerbatimChar"/>
        </w:rPr>
        <w:t xml:space="preserve">10^-12</w:t>
      </w:r>
      <w:r>
        <w:t xml:space="preserve"> </w:t>
      </w:r>
      <w:r>
        <w:t xml:space="preserve">với lỗi thực. Sau tolerance và lọc volume, 1 dòng OHLC bất thường thực sự được chuẩn hóa.</w:t>
      </w:r>
    </w:p>
    <w:p>
      <w:pPr>
        <w:pStyle w:val="TableCaption"/>
      </w:pPr>
      <w:r>
        <w:t xml:space="preserve">Tóm tắt kiểm tra chất lượng dữ liệu</w:t>
      </w:r>
    </w:p>
    <w:tbl>
      <w:tblPr>
        <w:tblStyle w:val="Table"/>
        <w:tblW w:type="auto" w:w="0"/>
        <w:tblLook w:firstRow="1" w:lastRow="0" w:firstColumn="0" w:lastColumn="0" w:noHBand="0" w:noVBand="0" w:val="0020"/>
        <w:tblCaption w:val="Tóm tắt kiểm tra chất lượng dữ liệu"/>
      </w:tblPr>
      <w:tblGrid>
        <w:gridCol w:w="3960"/>
        <w:gridCol w:w="3960"/>
      </w:tblGrid>
      <w:tr>
        <w:trPr>
          <w:tblHeader w:val="on"/>
        </w:trPr>
        <w:tc>
          <w:tcPr/>
          <w:p>
            <w:pPr>
              <w:pStyle w:val="Compact"/>
              <w:jc w:val="left"/>
            </w:pPr>
            <w:r>
              <w:t xml:space="preserve">check</w:t>
            </w:r>
          </w:p>
        </w:tc>
        <w:tc>
          <w:tcPr/>
          <w:p>
            <w:pPr>
              <w:pStyle w:val="Compact"/>
              <w:jc w:val="right"/>
            </w:pPr>
            <w:r>
              <w:t xml:space="preserve">count</w:t>
            </w:r>
          </w:p>
        </w:tc>
      </w:tr>
      <w:tr>
        <w:tc>
          <w:tcPr/>
          <w:p>
            <w:pPr>
              <w:pStyle w:val="Compact"/>
              <w:jc w:val="left"/>
            </w:pPr>
            <w:r>
              <w:t xml:space="preserve">raw_rows</w:t>
            </w:r>
          </w:p>
        </w:tc>
        <w:tc>
          <w:tcPr/>
          <w:p>
            <w:pPr>
              <w:pStyle w:val="Compact"/>
              <w:jc w:val="right"/>
            </w:pPr>
            <w:r>
              <w:t xml:space="preserve">2960</w:t>
            </w:r>
          </w:p>
        </w:tc>
      </w:tr>
      <w:tr>
        <w:tc>
          <w:tcPr/>
          <w:p>
            <w:pPr>
              <w:pStyle w:val="Compact"/>
              <w:jc w:val="left"/>
            </w:pPr>
            <w:r>
              <w:t xml:space="preserve">invalid_date</w:t>
            </w:r>
          </w:p>
        </w:tc>
        <w:tc>
          <w:tcPr/>
          <w:p>
            <w:pPr>
              <w:pStyle w:val="Compact"/>
              <w:jc w:val="right"/>
            </w:pPr>
            <w:r>
              <w:t xml:space="preserve">0</w:t>
            </w:r>
          </w:p>
        </w:tc>
      </w:tr>
      <w:tr>
        <w:tc>
          <w:tcPr/>
          <w:p>
            <w:pPr>
              <w:pStyle w:val="Compact"/>
              <w:jc w:val="left"/>
            </w:pPr>
            <w:r>
              <w:t xml:space="preserve">duplicate_date</w:t>
            </w:r>
          </w:p>
        </w:tc>
        <w:tc>
          <w:tcPr/>
          <w:p>
            <w:pPr>
              <w:pStyle w:val="Compact"/>
              <w:jc w:val="right"/>
            </w:pPr>
            <w:r>
              <w:t xml:space="preserve">0</w:t>
            </w:r>
          </w:p>
        </w:tc>
      </w:tr>
      <w:tr>
        <w:tc>
          <w:tcPr/>
          <w:p>
            <w:pPr>
              <w:pStyle w:val="Compact"/>
              <w:jc w:val="left"/>
            </w:pPr>
            <w:r>
              <w:t xml:space="preserve">missing_ohlcv</w:t>
            </w:r>
          </w:p>
        </w:tc>
        <w:tc>
          <w:tcPr/>
          <w:p>
            <w:pPr>
              <w:pStyle w:val="Compact"/>
              <w:jc w:val="right"/>
            </w:pPr>
            <w:r>
              <w:t xml:space="preserve">0</w:t>
            </w:r>
          </w:p>
        </w:tc>
      </w:tr>
      <w:tr>
        <w:tc>
          <w:tcPr/>
          <w:p>
            <w:pPr>
              <w:pStyle w:val="Compact"/>
              <w:jc w:val="left"/>
            </w:pPr>
            <w:r>
              <w:t xml:space="preserve">non_positive_price</w:t>
            </w:r>
          </w:p>
        </w:tc>
        <w:tc>
          <w:tcPr/>
          <w:p>
            <w:pPr>
              <w:pStyle w:val="Compact"/>
              <w:jc w:val="right"/>
            </w:pPr>
            <w:r>
              <w:t xml:space="preserve">0</w:t>
            </w:r>
          </w:p>
        </w:tc>
      </w:tr>
      <w:tr>
        <w:tc>
          <w:tcPr/>
          <w:p>
            <w:pPr>
              <w:pStyle w:val="Compact"/>
              <w:jc w:val="left"/>
            </w:pPr>
            <w:r>
              <w:t xml:space="preserve">negative_volume</w:t>
            </w:r>
          </w:p>
        </w:tc>
        <w:tc>
          <w:tcPr/>
          <w:p>
            <w:pPr>
              <w:pStyle w:val="Compact"/>
              <w:jc w:val="right"/>
            </w:pPr>
            <w:r>
              <w:t xml:space="preserve">0</w:t>
            </w:r>
          </w:p>
        </w:tc>
      </w:tr>
      <w:tr>
        <w:tc>
          <w:tcPr/>
          <w:p>
            <w:pPr>
              <w:pStyle w:val="Compact"/>
              <w:jc w:val="left"/>
            </w:pPr>
            <w:r>
              <w:t xml:space="preserve">zero_volume</w:t>
            </w:r>
          </w:p>
        </w:tc>
        <w:tc>
          <w:tcPr/>
          <w:p>
            <w:pPr>
              <w:pStyle w:val="Compact"/>
              <w:jc w:val="right"/>
            </w:pPr>
            <w:r>
              <w:t xml:space="preserve">173</w:t>
            </w:r>
          </w:p>
        </w:tc>
      </w:tr>
      <w:tr>
        <w:tc>
          <w:tcPr/>
          <w:p>
            <w:pPr>
              <w:pStyle w:val="Compact"/>
              <w:jc w:val="left"/>
            </w:pPr>
            <w:r>
              <w:t xml:space="preserve">ohlc_rows_repaired_after_volume_filter</w:t>
            </w:r>
          </w:p>
        </w:tc>
        <w:tc>
          <w:tcPr/>
          <w:p>
            <w:pPr>
              <w:pStyle w:val="Compact"/>
              <w:jc w:val="right"/>
            </w:pPr>
            <w:r>
              <w:t xml:space="preserve">1</w:t>
            </w:r>
          </w:p>
        </w:tc>
      </w:tr>
    </w:tbl>
    <w:bookmarkEnd w:id="16"/>
    <w:bookmarkStart w:id="17" w:name="dữ-liệu-model"/>
    <w:p>
      <w:pPr>
        <w:pStyle w:val="Heading2"/>
      </w:pPr>
      <w:r>
        <w:rPr>
          <w:rStyle w:val="SectionNumber"/>
        </w:rPr>
        <w:t xml:space="preserve">2.3</w:t>
      </w:r>
      <w:r>
        <w:tab/>
      </w:r>
      <w:r>
        <w:t xml:space="preserve">Dữ liệu model</w:t>
      </w:r>
    </w:p>
    <w:p>
      <w:pPr>
        <w:pStyle w:val="FirstParagraph"/>
      </w:pPr>
      <w:r>
        <w:t xml:space="preserve">Tệp</w:t>
      </w:r>
      <w:r>
        <w:t xml:space="preserve"> </w:t>
      </w:r>
      <w:r>
        <w:rPr>
          <w:rStyle w:val="VerbatimChar"/>
        </w:rPr>
        <w:t xml:space="preserve">data/processed/fpt_clean.csv</w:t>
      </w:r>
      <w:r>
        <w:t xml:space="preserve"> </w:t>
      </w:r>
      <w:r>
        <w:t xml:space="preserve">có 2,787 dòng từ 2015-01-05 đến 2026-06-08, gồm tám biến raw/derived. Hai biến được tạo thêm là:</w:t>
      </w:r>
    </w:p>
    <w:p>
      <w:pPr>
        <w:pStyle w:val="BodyText"/>
      </w:pPr>
      <m:oMathPara>
        <m:oMathParaPr>
          <m:jc m:val="center"/>
        </m:oMathParaPr>
        <m:oMath>
          <m:sSub>
            <m:e>
              <m:r>
                <m:rPr>
                  <m:nor/>
                  <m:sty m:val="p"/>
                </m:rPr>
                <m:t>log_close</m:t>
              </m:r>
            </m:e>
            <m:sub>
              <m:r>
                <m:t>t</m:t>
              </m:r>
            </m:sub>
          </m:sSub>
          <m:r>
            <m:rPr>
              <m:sty m:val="p"/>
            </m:rPr>
            <m:t>=</m:t>
          </m:r>
          <m:r>
            <m:rPr>
              <m:sty m:val="p"/>
            </m:rPr>
            <m:t>log</m:t>
          </m:r>
          <m:r>
            <m:rPr>
              <m:sty m:val="p"/>
            </m:rPr>
            <m:t>(</m:t>
          </m:r>
          <m:sSub>
            <m:e>
              <m:r>
                <m:t>P</m:t>
              </m:r>
            </m:e>
            <m:sub>
              <m:r>
                <m:t>t</m:t>
              </m:r>
            </m:sub>
          </m:sSub>
          <m:r>
            <m:rPr>
              <m:sty m:val="p"/>
            </m:rPr>
            <m:t>)</m:t>
          </m:r>
          <m:r>
            <m:rPr>
              <m:sty m:val="p"/>
            </m:rPr>
            <m:t>,</m:t>
          </m:r>
          <m:r>
            <m:t>  </m:t>
          </m:r>
          <m:sSub>
            <m:e>
              <m:r>
                <m:t>r</m:t>
              </m:r>
            </m:e>
            <m:sub>
              <m:r>
                <m:t>t</m:t>
              </m:r>
            </m:sub>
          </m:sSub>
          <m:r>
            <m:rPr>
              <m:sty m:val="p"/>
            </m:rPr>
            <m:t>=</m:t>
          </m:r>
          <m:r>
            <m:rPr>
              <m:sty m:val="p"/>
            </m:rPr>
            <m:t>log</m:t>
          </m:r>
          <m:r>
            <m:rPr>
              <m:sty m:val="p"/>
            </m:rPr>
            <m:t>(</m:t>
          </m:r>
          <m:sSub>
            <m:e>
              <m:r>
                <m:t>P</m:t>
              </m:r>
            </m:e>
            <m:sub>
              <m:r>
                <m:t>t</m:t>
              </m:r>
            </m:sub>
          </m:sSub>
          <m:r>
            <m:rPr>
              <m:sty m:val="p"/>
            </m:rPr>
            <m:t>)</m:t>
          </m:r>
          <m:r>
            <m:rPr>
              <m:sty m:val="p"/>
            </m:rPr>
            <m:t>−</m:t>
          </m:r>
          <m:r>
            <m:rPr>
              <m:sty m:val="p"/>
            </m:rPr>
            <m:t>log</m:t>
          </m:r>
          <m:r>
            <m:rPr>
              <m:sty m:val="p"/>
            </m:rPr>
            <m:t>(</m:t>
          </m:r>
          <m:sSub>
            <m:e>
              <m:r>
                <m:t>P</m:t>
              </m:r>
            </m:e>
            <m:sub>
              <m:r>
                <m:t>t</m:t>
              </m:r>
              <m:r>
                <m:rPr>
                  <m:sty m:val="p"/>
                </m:rPr>
                <m:t>−</m:t>
              </m:r>
              <m:r>
                <m:t>1</m:t>
              </m:r>
            </m:sub>
          </m:sSub>
          <m:r>
            <m:rPr>
              <m:sty m:val="p"/>
            </m:rPr>
            <m:t>)</m:t>
          </m:r>
          <m:r>
            <m:rPr>
              <m:sty m:val="p"/>
            </m:rPr>
            <m:t>.</m:t>
          </m:r>
        </m:oMath>
      </m:oMathPara>
    </w:p>
    <w:p>
      <w:pPr>
        <w:pStyle w:val="FirstParagraph"/>
      </w:pPr>
      <w:r>
        <w:t xml:space="preserve">Return đầu tiên là</w:t>
      </w:r>
      <w:r>
        <w:t xml:space="preserve"> </w:t>
      </w:r>
      <w:r>
        <w:rPr>
          <w:rStyle w:val="VerbatimChar"/>
        </w:rPr>
        <w:t xml:space="preserve">NA</w:t>
      </w:r>
      <w:r>
        <w:t xml:space="preserve"> </w:t>
      </w:r>
      <w:r>
        <w:t xml:space="preserve">theo định nghĩa vì không có giá phiên trước; còn lại có 2,786 log returns hợp lệ. Dữ liệu sạch không còn volume bằng 0.</w:t>
      </w:r>
    </w:p>
    <w:p>
      <w:pPr>
        <w:pStyle w:val="TableCaption"/>
      </w:pPr>
      <w:r>
        <w:t xml:space="preserve">Giá trị thiếu trong tám biến của dữ liệu model</w:t>
      </w:r>
    </w:p>
    <w:tbl>
      <w:tblPr>
        <w:tblStyle w:val="Table"/>
        <w:tblW w:type="auto" w:w="0"/>
        <w:tblLook w:firstRow="1" w:lastRow="0" w:firstColumn="0" w:lastColumn="0" w:noHBand="0" w:noVBand="0" w:val="0020"/>
        <w:tblCaption w:val="Giá trị thiếu trong tám biến của dữ liệu model"/>
      </w:tblPr>
      <w:tblGrid>
        <w:gridCol w:w="2640"/>
        <w:gridCol w:w="2640"/>
        <w:gridCol w:w="2640"/>
      </w:tblGrid>
      <w:tr>
        <w:trPr>
          <w:tblHeader w:val="on"/>
        </w:trPr>
        <w:tc>
          <w:tcPr/>
          <w:p>
            <w:pPr>
              <w:pStyle w:val="Compact"/>
              <w:jc w:val="left"/>
            </w:pPr>
            <w:r>
              <w:t xml:space="preserve">variable</w:t>
            </w:r>
          </w:p>
        </w:tc>
        <w:tc>
          <w:tcPr/>
          <w:p>
            <w:pPr>
              <w:pStyle w:val="Compact"/>
              <w:jc w:val="right"/>
            </w:pPr>
            <w:r>
              <w:t xml:space="preserve">missing_count</w:t>
            </w:r>
          </w:p>
        </w:tc>
        <w:tc>
          <w:tcPr/>
          <w:p>
            <w:pPr>
              <w:pStyle w:val="Compact"/>
              <w:jc w:val="right"/>
            </w:pPr>
            <w:r>
              <w:t xml:space="preserve">missing_percentage</w:t>
            </w:r>
          </w:p>
        </w:tc>
      </w:tr>
      <w:tr>
        <w:tc>
          <w:tcPr/>
          <w:p>
            <w:pPr>
              <w:pStyle w:val="Compact"/>
              <w:jc w:val="left"/>
            </w:pPr>
            <w:r>
              <w:t xml:space="preserve">date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open</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high</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low</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close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volume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log_close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return</w:t>
            </w:r>
          </w:p>
        </w:tc>
        <w:tc>
          <w:tcPr/>
          <w:p>
            <w:pPr>
              <w:pStyle w:val="Compact"/>
              <w:jc w:val="right"/>
            </w:pPr>
            <w:r>
              <w:t xml:space="preserve">1</w:t>
            </w:r>
          </w:p>
        </w:tc>
        <w:tc>
          <w:tcPr/>
          <w:p>
            <w:pPr>
              <w:pStyle w:val="Compact"/>
              <w:jc w:val="right"/>
            </w:pPr>
            <w:r>
              <w:t xml:space="preserve">0.0359</w:t>
            </w:r>
          </w:p>
        </w:tc>
      </w:tr>
    </w:tbl>
    <w:p/>
    <w:p>
      <w:pPr>
        <w:pStyle w:val="TableCaption"/>
      </w:pPr>
      <w:r>
        <w:t xml:space="preserve">Thống kê mô tả dữ liệu sạch</w:t>
      </w:r>
    </w:p>
    <w:tbl>
      <w:tblPr>
        <w:tblStyle w:val="Table"/>
        <w:tblW w:type="pct" w:w="5000"/>
        <w:tblLayout w:type="fixed"/>
        <w:tblLook w:firstRow="1" w:lastRow="0" w:firstColumn="0" w:lastColumn="0" w:noHBand="0" w:noVBand="0" w:val="0020"/>
        <w:tblCaption w:val="Thống kê mô tả dữ liệu sạch"/>
      </w:tblPr>
      <w:tblGrid>
        <w:gridCol w:w="937"/>
        <w:gridCol w:w="625"/>
        <w:gridCol w:w="1354"/>
        <w:gridCol w:w="1146"/>
        <w:gridCol w:w="1354"/>
        <w:gridCol w:w="1146"/>
        <w:gridCol w:w="1354"/>
      </w:tblGrid>
      <w:tr>
        <w:trPr>
          <w:tblHeader w:val="on"/>
        </w:trPr>
        <w:tc>
          <w:tcPr/>
          <w:p>
            <w:pPr>
              <w:pStyle w:val="Compact"/>
              <w:jc w:val="left"/>
            </w:pPr>
            <w:r>
              <w:t xml:space="preserve">variable</w:t>
            </w:r>
          </w:p>
        </w:tc>
        <w:tc>
          <w:tcPr/>
          <w:p>
            <w:pPr>
              <w:pStyle w:val="Compact"/>
              <w:jc w:val="right"/>
            </w:pPr>
            <w:r>
              <w:t xml:space="preserve">count</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close</w:t>
            </w:r>
          </w:p>
        </w:tc>
        <w:tc>
          <w:tcPr/>
          <w:p>
            <w:pPr>
              <w:pStyle w:val="Compact"/>
              <w:jc w:val="right"/>
            </w:pPr>
            <w:r>
              <w:t xml:space="preserve">2787</w:t>
            </w:r>
          </w:p>
        </w:tc>
        <w:tc>
          <w:tcPr/>
          <w:p>
            <w:pPr>
              <w:pStyle w:val="Compact"/>
              <w:jc w:val="right"/>
            </w:pPr>
            <w:r>
              <w:t xml:space="preserve">40798.2490</w:t>
            </w:r>
          </w:p>
        </w:tc>
        <w:tc>
          <w:tcPr/>
          <w:p>
            <w:pPr>
              <w:pStyle w:val="Compact"/>
              <w:jc w:val="right"/>
            </w:pPr>
            <w:r>
              <w:t xml:space="preserve">21344.08</w:t>
            </w:r>
          </w:p>
        </w:tc>
        <w:tc>
          <w:tcPr/>
          <w:p>
            <w:pPr>
              <w:pStyle w:val="Compact"/>
              <w:jc w:val="right"/>
            </w:pPr>
            <w:r>
              <w:t xml:space="preserve">34871.6976</w:t>
            </w:r>
          </w:p>
        </w:tc>
        <w:tc>
          <w:tcPr/>
          <w:p>
            <w:pPr>
              <w:pStyle w:val="Compact"/>
              <w:jc w:val="right"/>
            </w:pPr>
            <w:r>
              <w:t xml:space="preserve">6955.4502</w:t>
            </w:r>
          </w:p>
        </w:tc>
        <w:tc>
          <w:tcPr/>
          <w:p>
            <w:pPr>
              <w:pStyle w:val="Compact"/>
              <w:jc w:val="right"/>
            </w:pPr>
            <w:r>
              <w:t xml:space="preserve">1.298557e+05</w:t>
            </w:r>
          </w:p>
        </w:tc>
      </w:tr>
      <w:tr>
        <w:tc>
          <w:tcPr/>
          <w:p>
            <w:pPr>
              <w:pStyle w:val="Compact"/>
              <w:jc w:val="left"/>
            </w:pPr>
            <w:r>
              <w:t xml:space="preserve">volume</w:t>
            </w:r>
          </w:p>
        </w:tc>
        <w:tc>
          <w:tcPr/>
          <w:p>
            <w:pPr>
              <w:pStyle w:val="Compact"/>
              <w:jc w:val="right"/>
            </w:pPr>
            <w:r>
              <w:t xml:space="preserve">2787</w:t>
            </w:r>
          </w:p>
        </w:tc>
        <w:tc>
          <w:tcPr/>
          <w:p>
            <w:pPr>
              <w:pStyle w:val="Compact"/>
              <w:jc w:val="right"/>
            </w:pPr>
            <w:r>
              <w:t xml:space="preserve">4187990.0843</w:t>
            </w:r>
          </w:p>
        </w:tc>
        <w:tc>
          <w:tcPr/>
          <w:p>
            <w:pPr>
              <w:pStyle w:val="Compact"/>
              <w:jc w:val="right"/>
            </w:pPr>
            <w:r>
              <w:t xml:space="preserve">2913864.00</w:t>
            </w:r>
          </w:p>
        </w:tc>
        <w:tc>
          <w:tcPr/>
          <w:p>
            <w:pPr>
              <w:pStyle w:val="Compact"/>
              <w:jc w:val="right"/>
            </w:pPr>
            <w:r>
              <w:t xml:space="preserve">9925516.6264</w:t>
            </w:r>
          </w:p>
        </w:tc>
        <w:tc>
          <w:tcPr/>
          <w:p>
            <w:pPr>
              <w:pStyle w:val="Compact"/>
              <w:jc w:val="right"/>
            </w:pPr>
            <w:r>
              <w:t xml:space="preserve">53113.0000</w:t>
            </w:r>
          </w:p>
        </w:tc>
        <w:tc>
          <w:tcPr/>
          <w:p>
            <w:pPr>
              <w:pStyle w:val="Compact"/>
              <w:jc w:val="right"/>
            </w:pPr>
            <w:r>
              <w:t xml:space="preserve">4.157099e+08</w:t>
            </w:r>
          </w:p>
        </w:tc>
      </w:tr>
      <w:tr>
        <w:tc>
          <w:tcPr/>
          <w:p>
            <w:pPr>
              <w:pStyle w:val="Compact"/>
              <w:jc w:val="left"/>
            </w:pPr>
            <w:r>
              <w:t xml:space="preserve">return</w:t>
            </w:r>
          </w:p>
        </w:tc>
        <w:tc>
          <w:tcPr/>
          <w:p>
            <w:pPr>
              <w:pStyle w:val="Compact"/>
              <w:jc w:val="right"/>
            </w:pPr>
            <w:r>
              <w:t xml:space="preserve">2786</w:t>
            </w:r>
          </w:p>
        </w:tc>
        <w:tc>
          <w:tcPr/>
          <w:p>
            <w:pPr>
              <w:pStyle w:val="Compact"/>
              <w:jc w:val="right"/>
            </w:pPr>
            <w:r>
              <w:t xml:space="preserve">0.0008</w:t>
            </w:r>
          </w:p>
        </w:tc>
        <w:tc>
          <w:tcPr/>
          <w:p>
            <w:pPr>
              <w:pStyle w:val="Compact"/>
              <w:jc w:val="right"/>
            </w:pPr>
            <w:r>
              <w:t xml:space="preserve">0.00</w:t>
            </w:r>
          </w:p>
        </w:tc>
        <w:tc>
          <w:tcPr/>
          <w:p>
            <w:pPr>
              <w:pStyle w:val="Compact"/>
              <w:jc w:val="right"/>
            </w:pPr>
            <w:r>
              <w:t xml:space="preserve">0.0166</w:t>
            </w:r>
          </w:p>
        </w:tc>
        <w:tc>
          <w:tcPr/>
          <w:p>
            <w:pPr>
              <w:pStyle w:val="Compact"/>
              <w:jc w:val="right"/>
            </w:pPr>
            <w:r>
              <w:t xml:space="preserve">-0.0725</w:t>
            </w:r>
          </w:p>
        </w:tc>
        <w:tc>
          <w:tcPr/>
          <w:p>
            <w:pPr>
              <w:pStyle w:val="Compact"/>
              <w:jc w:val="right"/>
            </w:pPr>
            <w:r>
              <w:t xml:space="preserve">8.850000e-02</w:t>
            </w:r>
          </w:p>
        </w:tc>
      </w:tr>
    </w:tbl>
    <w:p>
      <w:pPr>
        <w:pStyle w:val="BodyText"/>
      </w:pPr>
      <w:r>
        <w:t xml:space="preserve">Mean return lịch sử xấp xỉ 0.0837% mỗi phiên và standard deviation xấp xỉ 1.658%. Đây là mô tả sample, không phải lợi suất hoặc rủi ro đảm bảo trong tương lai. Volume có mean lớn hơn median do phân phối lệch và các quan sát rất lớn.</w:t>
      </w:r>
    </w:p>
    <w:bookmarkEnd w:id="17"/>
    <w:bookmarkStart w:id="18" w:name="hạn-chế-dữ-liệu"/>
    <w:p>
      <w:pPr>
        <w:pStyle w:val="Heading2"/>
      </w:pPr>
      <w:r>
        <w:rPr>
          <w:rStyle w:val="SectionNumber"/>
        </w:rPr>
        <w:t xml:space="preserve">2.4</w:t>
      </w:r>
      <w:r>
        <w:tab/>
      </w:r>
      <w:r>
        <w:t xml:space="preserve">Hạn chế dữ liệu</w:t>
      </w:r>
    </w:p>
    <w:p>
      <w:pPr>
        <w:pStyle w:val="FirstParagraph"/>
      </w:pPr>
      <w:r>
        <w:t xml:space="preserve">Yahoo Finance có thể hiệu chỉnh dữ liệu lịch sử. Vì vậy dự án dùng fixed raw CSV để tái lập đúng sample; nếu tải lại dữ liệu, nhóm phải rerun toàn pipeline và không được trộn output cũ với input mới. Chuỗi chỉ gồm một cổ phiếu và chưa có market index hoặc biến vĩ mô để kiểm soát bối cảnh thị trường.</w:t>
      </w:r>
    </w:p>
    <w:bookmarkEnd w:id="18"/>
    <w:bookmarkEnd w:id="19"/>
    <w:bookmarkStart w:id="48" w:name="phân-tích-khám-phá-và-trực-quan-hóa"/>
    <w:p>
      <w:pPr>
        <w:pStyle w:val="Heading1"/>
      </w:pPr>
      <w:r>
        <w:rPr>
          <w:rStyle w:val="SectionNumber"/>
        </w:rPr>
        <w:t xml:space="preserve">3</w:t>
      </w:r>
      <w:r>
        <w:tab/>
      </w:r>
      <w:r>
        <w:t xml:space="preserve">Phân tích khám phá và trực quan hóa</w:t>
      </w:r>
    </w:p>
    <w:bookmarkStart w:id="26" w:name="giá-và-khối-lượng"/>
    <w:p>
      <w:pPr>
        <w:pStyle w:val="Heading2"/>
      </w:pPr>
      <w:r>
        <w:rPr>
          <w:rStyle w:val="SectionNumber"/>
        </w:rPr>
        <w:t xml:space="preserve">3.1</w:t>
      </w:r>
      <w:r>
        <w:tab/>
      </w:r>
      <w:r>
        <w:t xml:space="preserve">Giá và khối lượng</w:t>
      </w:r>
    </w:p>
    <w:p>
      <w:pPr>
        <w:pStyle w:val="CaptionedFigure"/>
      </w:pPr>
      <w:r>
        <w:drawing>
          <wp:inline>
            <wp:extent cx="5067300" cy="3040380"/>
            <wp:effectExtent b="0" l="0" r="0" t="0"/>
            <wp:docPr descr="Giá đóng cửa điều chỉnh của FPT" title="" id="21" name="Picture"/>
            <a:graphic>
              <a:graphicData uri="http://schemas.openxmlformats.org/drawingml/2006/picture">
                <pic:pic>
                  <pic:nvPicPr>
                    <pic:cNvPr descr="report_files/1b778d55195aacf1660542bf9e0726a8235135ff.png" id="22" name="Picture"/>
                    <pic:cNvPicPr>
                      <a:picLocks noChangeArrowheads="1" noChangeAspect="1"/>
                    </pic:cNvPicPr>
                  </pic:nvPicPr>
                  <pic:blipFill>
                    <a:blip r:embed="rId20"/>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Giá đóng cửa điều chỉnh của FPT</w:t>
      </w:r>
    </w:p>
    <w:p>
      <w:pPr>
        <w:pStyle w:val="BodyText"/>
      </w:pPr>
      <w:r>
        <w:t xml:space="preserve">Nhìn vào trục Y (giá đóng cửa), đường giá FPT không dao động quanh một mức cố định mà thay đổi rõ rệt về level qua các giai đoạn: giai đoạn đầu (2015-2017) giá dao động ở mức thấp, sau đó tăng dần và đạt các đỉnh cao hơn trong những năm gần đây. Xu hướng tăng dài hạn này là dấu hiệu trực quan của non-stationarity — chuỗi không quay về một giá trị trung bình cố định. Tuy nhiên, quan sát trực quan chỉ là gợi ý ban đầu; kiểm định ADF ở chương sau mới đưa ra kết luận thống kê chính thức. Cũng cần lưu ý rằng không thể suy ra nguyên nhân kinh tế hay dự đoán xu hướng tương lai chỉ từ đường giá.</w:t>
      </w:r>
    </w:p>
    <w:p>
      <w:pPr>
        <w:pStyle w:val="CaptionedFigure"/>
      </w:pPr>
      <w:r>
        <w:drawing>
          <wp:inline>
            <wp:extent cx="5067300" cy="3040380"/>
            <wp:effectExtent b="0" l="0" r="0" t="0"/>
            <wp:docPr descr="Khối lượng giao dịch FPT theo thời gian" title="" id="24" name="Picture"/>
            <a:graphic>
              <a:graphicData uri="http://schemas.openxmlformats.org/drawingml/2006/picture">
                <pic:pic>
                  <pic:nvPicPr>
                    <pic:cNvPr descr="report_files/f15e40b36bd7fcdd4014095245cb808c4fb3e9f3.png" id="25" name="Picture"/>
                    <pic:cNvPicPr>
                      <a:picLocks noChangeArrowheads="1" noChangeAspect="1"/>
                    </pic:cNvPicPr>
                  </pic:nvPicPr>
                  <pic:blipFill>
                    <a:blip r:embed="rId23"/>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Khối lượng giao dịch FPT theo thời gian</w:t>
      </w:r>
    </w:p>
    <w:p>
      <w:pPr>
        <w:pStyle w:val="BodyText"/>
      </w:pPr>
      <w:r>
        <w:t xml:space="preserve">Quan sát biểu đồ volume theo thời gian, phần lớn các phiên có khối lượng tập trung ở vùng thấp (phần dưới biểu đồ), nhưng xuất hiện nhiều spike đột biến vượt lên rất cao so với mức trung bình. Sự chênh lệch giữa mean và median trong bảng thống kê mô tả cũng xác nhận điều này: mean volume lớn hơn median đáng kể, cho thấy phân phối lệch phải do ảnh hưởng của các quan sát cực lớn. Biểu đồ này dùng để mô tả mức thanh khoản chung của cổ phiếu, không chứng minh quan hệ nhân quả giữa volume và biến động giá nếu chưa có nguồn kiểm chứng độc lập.</w:t>
      </w:r>
    </w:p>
    <w:bookmarkEnd w:id="26"/>
    <w:bookmarkStart w:id="33" w:name="log-return-và-volatility-clustering"/>
    <w:p>
      <w:pPr>
        <w:pStyle w:val="Heading2"/>
      </w:pPr>
      <w:r>
        <w:rPr>
          <w:rStyle w:val="SectionNumber"/>
        </w:rPr>
        <w:t xml:space="preserve">3.2</w:t>
      </w:r>
      <w:r>
        <w:tab/>
      </w:r>
      <w:r>
        <w:t xml:space="preserve">Log return và volatility clustering</w:t>
      </w:r>
    </w:p>
    <w:p>
      <w:pPr>
        <w:pStyle w:val="CaptionedFigure"/>
      </w:pPr>
      <w:r>
        <w:drawing>
          <wp:inline>
            <wp:extent cx="5067300" cy="3040380"/>
            <wp:effectExtent b="0" l="0" r="0" t="0"/>
            <wp:docPr descr="Log return hằng ngày của FPT" title="" id="28" name="Picture"/>
            <a:graphic>
              <a:graphicData uri="http://schemas.openxmlformats.org/drawingml/2006/picture">
                <pic:pic>
                  <pic:nvPicPr>
                    <pic:cNvPr descr="report_files/6ecb168f34931d1903f7dea0f5dd7571269a9e58.png" id="29" name="Picture"/>
                    <pic:cNvPicPr>
                      <a:picLocks noChangeArrowheads="1" noChangeAspect="1"/>
                    </pic:cNvPicPr>
                  </pic:nvPicPr>
                  <pic:blipFill>
                    <a:blip r:embed="rId27"/>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Log return hằng ngày của FPT</w:t>
      </w:r>
    </w:p>
    <w:p>
      <w:pPr>
        <w:pStyle w:val="BodyText"/>
      </w:pPr>
      <w:r>
        <w:t xml:space="preserve">Trục Y cho thấy log return dao động quanh giá trị 0 (đường ngang giữa biểu đồ), phù hợp với kỳ vọng rằng return trung bình gần 0 theo ngày. Tuy nhiên, điều quan trọng cần chú ý là</w:t>
      </w:r>
      <w:r>
        <w:t xml:space="preserve"> </w:t>
      </w:r>
      <w:r>
        <w:rPr>
          <w:b/>
          <w:bCs/>
        </w:rPr>
        <w:t xml:space="preserve">biên độ dao động không đều nhau qua các giai đoạn</w:t>
      </w:r>
      <w:r>
        <w:t xml:space="preserve">: có những vùng biến động hẹp (các thanh nhỏ sát nhau) xen kẽ với những vùng biến động rộng (các thanh lớn tập trung thành cụm). Ví dụ, giai đoạn 2020 có biên độ return lớn hơn rõ rệt so với các giai đoạn lân cận. Hiện tượng này — giai đoạn biến động lớn thường kéo theo giai đoạn biến động lớn tiếp theo — chính là dấu hiệu trực quan của</w:t>
      </w:r>
      <w:r>
        <w:t xml:space="preserve"> </w:t>
      </w:r>
      <w:r>
        <w:rPr>
          <w:b/>
          <w:bCs/>
        </w:rPr>
        <w:t xml:space="preserve">volatility clustering</w:t>
      </w:r>
      <w:r>
        <w:t xml:space="preserve">. Kiểm định ARCH-LM ở chương GARCH sẽ xác nhận chính thức liệu cấu trúc phương sai thay đổi theo thời gian này có ý nghĩa thống kê hay không.</w:t>
      </w:r>
    </w:p>
    <w:p>
      <w:pPr>
        <w:pStyle w:val="CaptionedFigure"/>
      </w:pPr>
      <w:r>
        <w:drawing>
          <wp:inline>
            <wp:extent cx="5067300" cy="3040380"/>
            <wp:effectExtent b="0" l="0" r="0" t="0"/>
            <wp:docPr descr="Bình phương log return và các cụm biến động" title="" id="31" name="Picture"/>
            <a:graphic>
              <a:graphicData uri="http://schemas.openxmlformats.org/drawingml/2006/picture">
                <pic:pic>
                  <pic:nvPicPr>
                    <pic:cNvPr descr="report_files/39a90fe9a43ce440494bcd58f27c5335a7926137.png" id="32" name="Picture"/>
                    <pic:cNvPicPr>
                      <a:picLocks noChangeArrowheads="1" noChangeAspect="1"/>
                    </pic:cNvPicPr>
                  </pic:nvPicPr>
                  <pic:blipFill>
                    <a:blip r:embed="rId30"/>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Bình phương log return và các cụm biến động</w:t>
      </w:r>
    </w:p>
    <w:p>
      <w:pPr>
        <w:pStyle w:val="BodyText"/>
      </w:pPr>
      <w:r>
        <w:t xml:space="preserve">Biểu đồ bình phương return (</w:t>
      </w:r>
      <m:oMath>
        <m:sSubSup>
          <m:e>
            <m:r>
              <m:t>r</m:t>
            </m:r>
          </m:e>
          <m:sub>
            <m:r>
              <m:t>t</m:t>
            </m:r>
          </m:sub>
          <m:sup>
            <m:r>
              <m:t>2</m:t>
            </m:r>
          </m:sup>
        </m:sSubSup>
      </m:oMath>
      <w:r>
        <w:t xml:space="preserve">) loại bỏ dấu của return và chỉ giữ lại độ lớn của shock. Nhìn vào biểu đồ, các spike cao (tương ứng các phiên có biến động lớn) không phân tán đều mà xuất hiện</w:t>
      </w:r>
      <w:r>
        <w:t xml:space="preserve"> </w:t>
      </w:r>
      <w:r>
        <w:rPr>
          <w:b/>
          <w:bCs/>
        </w:rPr>
        <w:t xml:space="preserve">theo cụm</w:t>
      </w:r>
      <w:r>
        <w:t xml:space="preserve">: khi một spike lớn xuất hiện, các spike lớn khác thường nằm liền kề ngay sau đó. Nếu phương sai thực sự không đổi theo thời gian (homoscedastic), các spike sẽ phân bố ngẫu nhiên mà không tạo thành cụm. Sự tồn tại của các cụm này củng cố động cơ sử dụng conditional variance model (như GARCH) — mô hình cho phép phương sai thay đổi theo từng giai đoạn — thay vì giả định một phương sai cố định cho toàn bộ sample.</w:t>
      </w:r>
    </w:p>
    <w:bookmarkEnd w:id="33"/>
    <w:bookmarkStart w:id="40" w:name="hình-dạng-phân-phối"/>
    <w:p>
      <w:pPr>
        <w:pStyle w:val="Heading2"/>
      </w:pPr>
      <w:r>
        <w:rPr>
          <w:rStyle w:val="SectionNumber"/>
        </w:rPr>
        <w:t xml:space="preserve">3.3</w:t>
      </w:r>
      <w:r>
        <w:tab/>
      </w:r>
      <w:r>
        <w:t xml:space="preserve">Hình dạng phân phối</w:t>
      </w:r>
    </w:p>
    <w:p>
      <w:pPr>
        <w:pStyle w:val="CaptionedFigure"/>
      </w:pPr>
      <w:r>
        <w:drawing>
          <wp:inline>
            <wp:extent cx="5067300" cy="3040380"/>
            <wp:effectExtent b="0" l="0" r="0" t="0"/>
            <wp:docPr descr="Phân phối thực nghiệm của log return so với Normal" title="" id="35" name="Picture"/>
            <a:graphic>
              <a:graphicData uri="http://schemas.openxmlformats.org/drawingml/2006/picture">
                <pic:pic>
                  <pic:nvPicPr>
                    <pic:cNvPr descr="report_files/d6dfc333042c8e35372628be3028ff60c275e4f6.png" id="36" name="Picture"/>
                    <pic:cNvPicPr>
                      <a:picLocks noChangeArrowheads="1" noChangeAspect="1"/>
                    </pic:cNvPicPr>
                  </pic:nvPicPr>
                  <pic:blipFill>
                    <a:blip r:embed="rId34"/>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Phân phối thực nghiệm của log return so với Normal</w:t>
      </w:r>
    </w:p>
    <w:p>
      <w:pPr>
        <w:pStyle w:val="BodyText"/>
      </w:pPr>
      <w:r>
        <w:t xml:space="preserve">Biểu đồ so sánh đường mật độ thực nghiệm của log return (histogram hoặc kernel density) với đường cong Normal có cùng mean và standard deviation. Cần chú ý hai đặc điểm: (1)</w:t>
      </w:r>
      <w:r>
        <w:t xml:space="preserve"> </w:t>
      </w:r>
      <w:r>
        <w:rPr>
          <w:b/>
          <w:bCs/>
        </w:rPr>
        <w:t xml:space="preserve">đỉnh (peak) của phân phối thực nghiệm cao hơn và nhọn hơn</w:t>
      </w:r>
      <w:r>
        <w:t xml:space="preserve"> </w:t>
      </w:r>
      <w:r>
        <w:t xml:space="preserve">so với đường Normal, cho thấy return tập trung quanh giá trị trung bình nhiều hơn Normal dự đoán; (2)</w:t>
      </w:r>
      <w:r>
        <w:t xml:space="preserve"> </w:t>
      </w:r>
      <w:r>
        <w:rPr>
          <w:b/>
          <w:bCs/>
        </w:rPr>
        <w:t xml:space="preserve">phần đuôi (tails) của phân phối thực nghiệm dày hơn</w:t>
      </w:r>
      <w:r>
        <w:t xml:space="preserve"> </w:t>
      </w:r>
      <w:r>
        <w:t xml:space="preserve">— tức là xác suất xảy ra các giá trị cực đoan (cả âm lẫn dương) lớn hơn so với phân phối Normal. Hiện tượng</w:t>
      </w:r>
      <w:r>
        <w:t xml:space="preserve"> </w:t>
      </w:r>
      <w:r>
        <w:t xml:space="preserve">“đỉnh cao, đuôi dày”</w:t>
      </w:r>
      <w:r>
        <w:t xml:space="preserve"> </w:t>
      </w:r>
      <w:r>
        <w:t xml:space="preserve">(leptokurtosis) này rất phổ biến trong dữ liệu tài chính và là lý do dự án so sánh Normal với phân phối Student-t (có đuôi dày hơn) trong các mô hình GARCH.</w:t>
      </w:r>
    </w:p>
    <w:p>
      <w:pPr>
        <w:pStyle w:val="CaptionedFigure"/>
      </w:pPr>
      <w:r>
        <w:drawing>
          <wp:inline>
            <wp:extent cx="5067300" cy="3040380"/>
            <wp:effectExtent b="0" l="0" r="0" t="0"/>
            <wp:docPr descr="Q-Q plot của log return so với Normal" title="" id="38" name="Picture"/>
            <a:graphic>
              <a:graphicData uri="http://schemas.openxmlformats.org/drawingml/2006/picture">
                <pic:pic>
                  <pic:nvPicPr>
                    <pic:cNvPr descr="report_files/acb86307c8be53460776b14870722bbafc1d7226.png" id="39" name="Picture"/>
                    <pic:cNvPicPr>
                      <a:picLocks noChangeArrowheads="1" noChangeAspect="1"/>
                    </pic:cNvPicPr>
                  </pic:nvPicPr>
                  <pic:blipFill>
                    <a:blip r:embed="rId37"/>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Q-Q plot của log return so với Normal</w:t>
      </w:r>
    </w:p>
    <w:p>
      <w:pPr>
        <w:pStyle w:val="BodyText"/>
      </w:pPr>
      <w:r>
        <w:t xml:space="preserve">Q-Q plot (Quantile-Quantile plot) so sánh phân vị của dữ liệu thực tế với phân vị lý thuyết của phân phối Normal. Nếu return tuân theo Normal hoàn hảo, tất cả các điểm sẽ nằm trên đường chéo tham chiếu. Trên biểu đồ, phần giữa các điểm bám sát đường tham chiếu, nhưng</w:t>
      </w:r>
      <w:r>
        <w:t xml:space="preserve"> </w:t>
      </w:r>
      <w:r>
        <w:rPr>
          <w:b/>
          <w:bCs/>
        </w:rPr>
        <w:t xml:space="preserve">ở hai đầu (đuôi trái và đuôi phải), các điểm lệch ra khỏi đường chéo</w:t>
      </w:r>
      <w:r>
        <w:t xml:space="preserve">: đuôi trái cong xuống dưới và đuôi phải cong lên trên. Điều này xác nhận phân phối return có</w:t>
      </w:r>
      <w:r>
        <w:t xml:space="preserve"> </w:t>
      </w:r>
      <w:r>
        <w:rPr>
          <w:b/>
          <w:bCs/>
        </w:rPr>
        <w:t xml:space="preserve">heavy tails</w:t>
      </w:r>
      <w:r>
        <w:t xml:space="preserve"> </w:t>
      </w:r>
      <w:r>
        <w:t xml:space="preserve">— các giá trị cực đoan xảy ra thường xuyên hơn so với Normal. Q-Q plot chỉ là chẩn đoán trực quan; adjusted Pearson Goodness-of-Fit test sau khi fit GARCH mới kiểm tra distribution fit một cách định lượng.</w:t>
      </w:r>
    </w:p>
    <w:bookmarkEnd w:id="40"/>
    <w:bookmarkStart w:id="47" w:name="tự-tương-quan"/>
    <w:p>
      <w:pPr>
        <w:pStyle w:val="Heading2"/>
      </w:pPr>
      <w:r>
        <w:rPr>
          <w:rStyle w:val="SectionNumber"/>
        </w:rPr>
        <w:t xml:space="preserve">3.4</w:t>
      </w:r>
      <w:r>
        <w:tab/>
      </w:r>
      <w:r>
        <w:t xml:space="preserve">Tự tương quan</w:t>
      </w:r>
    </w:p>
    <w:p>
      <w:pPr>
        <w:pStyle w:val="FirstParagraph"/>
      </w:pPr>
      <w:r>
        <w:drawing>
          <wp:inline>
            <wp:extent cx="2560320" cy="1564640"/>
            <wp:effectExtent b="0" l="0" r="0" t="0"/>
            <wp:docPr descr="ACF (trái) và PACF (phải) của log return" title="" id="42" name="Picture"/>
            <a:graphic>
              <a:graphicData uri="http://schemas.openxmlformats.org/drawingml/2006/picture">
                <pic:pic>
                  <pic:nvPicPr>
                    <pic:cNvPr descr="report_files/6b0879d2f6aa1e79f18eba538efc512bb1ceaf35.png" id="43" name="Picture"/>
                    <pic:cNvPicPr>
                      <a:picLocks noChangeArrowheads="1" noChangeAspect="1"/>
                    </pic:cNvPicPr>
                  </pic:nvPicPr>
                  <pic:blipFill>
                    <a:blip r:embed="rId41"/>
                    <a:stretch>
                      <a:fillRect/>
                    </a:stretch>
                  </pic:blipFill>
                  <pic:spPr bwMode="auto">
                    <a:xfrm>
                      <a:off x="0" y="0"/>
                      <a:ext cx="2560320" cy="1564640"/>
                    </a:xfrm>
                    <a:prstGeom prst="rect">
                      <a:avLst/>
                    </a:prstGeom>
                    <a:noFill/>
                    <a:ln w="9525">
                      <a:noFill/>
                      <a:headEnd/>
                      <a:tailEnd/>
                    </a:ln>
                  </pic:spPr>
                </pic:pic>
              </a:graphicData>
            </a:graphic>
          </wp:inline>
        </w:drawing>
      </w:r>
      <w:r>
        <w:drawing>
          <wp:inline>
            <wp:extent cx="2560320" cy="1564640"/>
            <wp:effectExtent b="0" l="0" r="0" t="0"/>
            <wp:docPr descr="ACF (trái) và PACF (phải) của log return" title="" id="45" name="Picture"/>
            <a:graphic>
              <a:graphicData uri="http://schemas.openxmlformats.org/drawingml/2006/picture">
                <pic:pic>
                  <pic:nvPicPr>
                    <pic:cNvPr descr="report_files/d83800d4a6828ee829854be418984babb8014edc.png" id="46" name="Picture"/>
                    <pic:cNvPicPr>
                      <a:picLocks noChangeArrowheads="1" noChangeAspect="1"/>
                    </pic:cNvPicPr>
                  </pic:nvPicPr>
                  <pic:blipFill>
                    <a:blip r:embed="rId44"/>
                    <a:stretch>
                      <a:fillRect/>
                    </a:stretch>
                  </pic:blipFill>
                  <pic:spPr bwMode="auto">
                    <a:xfrm>
                      <a:off x="0" y="0"/>
                      <a:ext cx="2560320" cy="1564640"/>
                    </a:xfrm>
                    <a:prstGeom prst="rect">
                      <a:avLst/>
                    </a:prstGeom>
                    <a:noFill/>
                    <a:ln w="9525">
                      <a:noFill/>
                      <a:headEnd/>
                      <a:tailEnd/>
                    </a:ln>
                  </pic:spPr>
                </pic:pic>
              </a:graphicData>
            </a:graphic>
          </wp:inline>
        </w:drawing>
      </w:r>
    </w:p>
    <w:p>
      <w:pPr>
        <w:pStyle w:val="BodyText"/>
      </w:pPr>
      <w:r>
        <w:t xml:space="preserve">ACF (Autocorrelation Function) đo tương quan tuyến tính giữa return tại thời điểm</w:t>
      </w:r>
      <w:r>
        <w:t xml:space="preserve"> </w:t>
      </w:r>
      <m:oMath>
        <m:r>
          <m:t>t</m:t>
        </m:r>
      </m:oMath>
      <w:r>
        <w:t xml:space="preserve"> </w:t>
      </w:r>
      <w:r>
        <w:t xml:space="preserve">và return tại</w:t>
      </w:r>
      <w:r>
        <w:t xml:space="preserve"> </w:t>
      </w:r>
      <m:oMath>
        <m:r>
          <m:t>t</m:t>
        </m:r>
        <m:r>
          <m:rPr>
            <m:sty m:val="p"/>
          </m:rPr>
          <m:t>−</m:t>
        </m:r>
        <m:r>
          <m:t>k</m:t>
        </m:r>
      </m:oMath>
      <w:r>
        <w:t xml:space="preserve"> </w:t>
      </w:r>
      <w:r>
        <w:t xml:space="preserve">(với</w:t>
      </w:r>
      <w:r>
        <w:t xml:space="preserve"> </w:t>
      </w:r>
      <m:oMath>
        <m:r>
          <m:t>k</m:t>
        </m:r>
      </m:oMath>
      <w:r>
        <w:t xml:space="preserve"> </w:t>
      </w:r>
      <w:r>
        <w:t xml:space="preserve">là lag). PACF (Partial ACF) đo tương quan sau khi loại ảnh hưởng trung gian qua các lag trung gian. Trên biểu đồ, mỗi thanh dọc biểu diễn hệ số tương quan tại một lag; đường nét đứt ngang là ngưỡng ý nghĩa 95%. Nếu hầu hết các thanh nằm trong vùng ngưỡng (không vượt đường nét đứt), return không có dependence tuyến tính mạnh theo lag — phù hợp với giả thuyết rằng thông tin đã được phản ánh vào giá. Tuy nhiên, ACF return nhỏ</w:t>
      </w:r>
      <w:r>
        <w:t xml:space="preserve"> </w:t>
      </w:r>
      <w:r>
        <w:rPr>
          <w:b/>
          <w:bCs/>
        </w:rPr>
        <w:t xml:space="preserve">không loại trừ</w:t>
      </w:r>
      <w:r>
        <w:t xml:space="preserve"> </w:t>
      </w:r>
      <w:r>
        <w:t xml:space="preserve">dependence phi tuyến hoặc dependence trong squared return (liên quan đến conditional variance), vì vậy vẫn cần GARCH để mô hình hóa biến động.</w:t>
      </w:r>
    </w:p>
    <w:bookmarkEnd w:id="47"/>
    <w:bookmarkEnd w:id="48"/>
    <w:bookmarkStart w:id="60" w:name="tính-dừng-và-dự-báo-giá"/>
    <w:p>
      <w:pPr>
        <w:pStyle w:val="Heading1"/>
      </w:pPr>
      <w:r>
        <w:rPr>
          <w:rStyle w:val="SectionNumber"/>
        </w:rPr>
        <w:t xml:space="preserve">4</w:t>
      </w:r>
      <w:r>
        <w:tab/>
      </w:r>
      <w:r>
        <w:t xml:space="preserve">Tính dừng và dự báo giá</w:t>
      </w:r>
    </w:p>
    <w:bookmarkStart w:id="49" w:name="kiểm-định-adf"/>
    <w:p>
      <w:pPr>
        <w:pStyle w:val="Heading2"/>
      </w:pPr>
      <w:r>
        <w:rPr>
          <w:rStyle w:val="SectionNumber"/>
        </w:rPr>
        <w:t xml:space="preserve">4.1</w:t>
      </w:r>
      <w:r>
        <w:tab/>
      </w:r>
      <w:r>
        <w:t xml:space="preserve">Kiểm định ADF</w:t>
      </w:r>
    </w:p>
    <w:p>
      <w:pPr>
        <w:pStyle w:val="FirstParagraph"/>
      </w:pPr>
      <w:r>
        <w:t xml:space="preserve">Augmented Dickey-Fuller kiểm định:</w:t>
      </w:r>
    </w:p>
    <w:p>
      <w:pPr>
        <w:pStyle w:val="Compact"/>
        <w:numPr>
          <w:ilvl w:val="0"/>
          <w:numId w:val="1006"/>
        </w:numPr>
      </w:pPr>
      <w:r>
        <w:t xml:space="preserve">H0: chuỗi có unit root, không dừng.</w:t>
      </w:r>
    </w:p>
    <w:p>
      <w:pPr>
        <w:pStyle w:val="Compact"/>
        <w:numPr>
          <w:ilvl w:val="0"/>
          <w:numId w:val="1006"/>
        </w:numPr>
      </w:pPr>
      <w:r>
        <w:t xml:space="preserve">H1: chuỗi dừng theo specification của kiểm định.</w:t>
      </w:r>
    </w:p>
    <w:p>
      <w:pPr>
        <w:pStyle w:val="FirstParagraph"/>
      </w:pPr>
      <w:r>
        <w:t xml:space="preserve">P-value lớn được diễn giải là “chưa đủ bằng chứng bác bỏ H0”, không phải “chấp nhận H0”.</w:t>
      </w:r>
    </w:p>
    <w:p>
      <w:pPr>
        <w:pStyle w:val="TableCaption"/>
      </w:pPr>
      <w:r>
        <w:t xml:space="preserve">Kết quả kiểm định ADF trên dữ liệu sạch</w:t>
      </w:r>
    </w:p>
    <w:tbl>
      <w:tblPr>
        <w:tblStyle w:val="Table"/>
        <w:tblW w:type="pct" w:w="5000"/>
        <w:tblLayout w:type="fixed"/>
        <w:tblLook w:firstRow="1" w:lastRow="0" w:firstColumn="0" w:lastColumn="0" w:noHBand="0" w:noVBand="0" w:val="0020"/>
        <w:tblCaption w:val="Kết quả kiểm định ADF trên dữ liệu sạch"/>
      </w:tblPr>
      <w:tblGrid>
        <w:gridCol w:w="3103"/>
        <w:gridCol w:w="1498"/>
        <w:gridCol w:w="856"/>
        <w:gridCol w:w="2461"/>
      </w:tblGrid>
      <w:tr>
        <w:trPr>
          <w:tblHeader w:val="on"/>
        </w:trPr>
        <w:tc>
          <w:tcPr/>
          <w:p>
            <w:pPr>
              <w:pStyle w:val="Compact"/>
              <w:jc w:val="left"/>
            </w:pPr>
            <w:r>
              <w:t xml:space="preserve">Series</w:t>
            </w:r>
          </w:p>
        </w:tc>
        <w:tc>
          <w:tcPr/>
          <w:p>
            <w:pPr>
              <w:pStyle w:val="Compact"/>
              <w:jc w:val="right"/>
            </w:pPr>
            <w:r>
              <w:t xml:space="preserve">ADF_Statistic</w:t>
            </w:r>
          </w:p>
        </w:tc>
        <w:tc>
          <w:tcPr/>
          <w:p>
            <w:pPr>
              <w:pStyle w:val="Compact"/>
              <w:jc w:val="right"/>
            </w:pPr>
            <w:r>
              <w:t xml:space="preserve">P_Value</w:t>
            </w:r>
          </w:p>
        </w:tc>
        <w:tc>
          <w:tcPr/>
          <w:p>
            <w:pPr>
              <w:pStyle w:val="Compact"/>
              <w:jc w:val="left"/>
            </w:pPr>
            <w:r>
              <w:t xml:space="preserve">Stationary</w:t>
            </w:r>
          </w:p>
        </w:tc>
      </w:tr>
      <w:tr>
        <w:tc>
          <w:tcPr/>
          <w:p>
            <w:pPr>
              <w:pStyle w:val="Compact"/>
              <w:jc w:val="left"/>
            </w:pPr>
            <w:r>
              <w:t xml:space="preserve">Giá đóng cửa (Close)</w:t>
            </w:r>
          </w:p>
        </w:tc>
        <w:tc>
          <w:tcPr/>
          <w:p>
            <w:pPr>
              <w:pStyle w:val="Compact"/>
              <w:jc w:val="right"/>
            </w:pPr>
            <w:r>
              <w:t xml:space="preserve">-1.7892</w:t>
            </w:r>
          </w:p>
        </w:tc>
        <w:tc>
          <w:tcPr/>
          <w:p>
            <w:pPr>
              <w:pStyle w:val="Compact"/>
              <w:jc w:val="right"/>
            </w:pPr>
            <w:r>
              <w:t xml:space="preserve">0.6676</w:t>
            </w:r>
          </w:p>
        </w:tc>
        <w:tc>
          <w:tcPr/>
          <w:p>
            <w:pPr>
              <w:pStyle w:val="Compact"/>
              <w:jc w:val="left"/>
            </w:pPr>
            <w:r>
              <w:t xml:space="preserve">Không (Non-stationary)</w:t>
            </w:r>
          </w:p>
        </w:tc>
      </w:tr>
      <w:tr>
        <w:tc>
          <w:tcPr/>
          <w:p>
            <w:pPr>
              <w:pStyle w:val="Compact"/>
              <w:jc w:val="left"/>
            </w:pPr>
            <w:r>
              <w:t xml:space="preserve">Log giá đóng cửa (Log Close)</w:t>
            </w:r>
          </w:p>
        </w:tc>
        <w:tc>
          <w:tcPr/>
          <w:p>
            <w:pPr>
              <w:pStyle w:val="Compact"/>
              <w:jc w:val="right"/>
            </w:pPr>
            <w:r>
              <w:t xml:space="preserve">-1.3194</w:t>
            </w:r>
          </w:p>
        </w:tc>
        <w:tc>
          <w:tcPr/>
          <w:p>
            <w:pPr>
              <w:pStyle w:val="Compact"/>
              <w:jc w:val="right"/>
            </w:pPr>
            <w:r>
              <w:t xml:space="preserve">0.8665</w:t>
            </w:r>
          </w:p>
        </w:tc>
        <w:tc>
          <w:tcPr/>
          <w:p>
            <w:pPr>
              <w:pStyle w:val="Compact"/>
              <w:jc w:val="left"/>
            </w:pPr>
            <w:r>
              <w:t xml:space="preserve">Không (Non-stationary)</w:t>
            </w:r>
          </w:p>
        </w:tc>
      </w:tr>
      <w:tr>
        <w:tc>
          <w:tcPr/>
          <w:p>
            <w:pPr>
              <w:pStyle w:val="Compact"/>
              <w:jc w:val="left"/>
            </w:pPr>
            <w:r>
              <w:t xml:space="preserve">Lợi suất Log (Return)</w:t>
            </w:r>
          </w:p>
        </w:tc>
        <w:tc>
          <w:tcPr/>
          <w:p>
            <w:pPr>
              <w:pStyle w:val="Compact"/>
              <w:jc w:val="right"/>
            </w:pPr>
            <w:r>
              <w:t xml:space="preserve">-13.7914</w:t>
            </w:r>
          </w:p>
        </w:tc>
        <w:tc>
          <w:tcPr/>
          <w:p>
            <w:pPr>
              <w:pStyle w:val="Compact"/>
              <w:jc w:val="right"/>
            </w:pPr>
            <w:r>
              <w:t xml:space="preserve">0.0100</w:t>
            </w:r>
          </w:p>
        </w:tc>
        <w:tc>
          <w:tcPr/>
          <w:p>
            <w:pPr>
              <w:pStyle w:val="Compact"/>
              <w:jc w:val="left"/>
            </w:pPr>
            <w:r>
              <w:t xml:space="preserve">Có (Stationary)</w:t>
            </w:r>
          </w:p>
        </w:tc>
      </w:tr>
    </w:tbl>
    <w:p>
      <w:pPr>
        <w:pStyle w:val="BodyText"/>
      </w:pPr>
      <w:r>
        <w:rPr>
          <w:rStyle w:val="VerbatimChar"/>
        </w:rPr>
        <w:t xml:space="preserve">close</w:t>
      </w:r>
      <w:r>
        <w:t xml:space="preserve"> </w:t>
      </w:r>
      <w:r>
        <w:t xml:space="preserve">và</w:t>
      </w:r>
      <w:r>
        <w:t xml:space="preserve"> </w:t>
      </w:r>
      <w:r>
        <w:rPr>
          <w:rStyle w:val="VerbatimChar"/>
        </w:rPr>
        <w:t xml:space="preserve">log_close</w:t>
      </w:r>
      <w:r>
        <w:t xml:space="preserve"> </w:t>
      </w:r>
      <w:r>
        <w:t xml:space="preserve">có p-value lần lượt 0.6676 và 0.8665 — cả hai đều lớn hơn 0,05, nên chưa bác bỏ H0: chuỗi giá gốc và log giá vẫn có thể có unit root (không dừng). Điều này phù hợp với quan sát trực quan ở chương EDA: đường giá có xu hướng thay vì dao động quanh một mức cố định. Lưu ý rằng log transform chỉ thay đổi scale (nén giá trị lớn, dãn giá trị nhỏ) nhưng không tự loại bỏ stochastic trend.</w:t>
      </w:r>
    </w:p>
    <w:p>
      <w:pPr>
        <w:pStyle w:val="BodyText"/>
      </w:pPr>
      <w:r>
        <w:t xml:space="preserve">Ngược lại,</w:t>
      </w:r>
      <w:r>
        <w:t xml:space="preserve"> </w:t>
      </w:r>
      <w:r>
        <w:rPr>
          <w:rStyle w:val="VerbatimChar"/>
        </w:rPr>
        <w:t xml:space="preserve">return</w:t>
      </w:r>
      <w:r>
        <w:t xml:space="preserve"> </w:t>
      </w:r>
      <w:r>
        <w:t xml:space="preserve">có p-value được</w:t>
      </w:r>
      <w:r>
        <w:t xml:space="preserve"> </w:t>
      </w:r>
      <w:r>
        <w:rPr>
          <w:rStyle w:val="VerbatimChar"/>
        </w:rPr>
        <w:t xml:space="preserve">adf.test()</w:t>
      </w:r>
      <w:r>
        <w:t xml:space="preserve"> </w:t>
      </w:r>
      <w:r>
        <w:t xml:space="preserve">báo ở cận dưới 0,01, bác bỏ H0 mạnh. Sai phân logarit (log return =</w:t>
      </w:r>
      <w:r>
        <w:t xml:space="preserve"> </w:t>
      </w:r>
      <m:oMath>
        <m:r>
          <m:rPr>
            <m:sty m:val="p"/>
          </m:rPr>
          <m:t>log</m:t>
        </m:r>
        <m:r>
          <m:rPr>
            <m:sty m:val="p"/>
          </m:rPr>
          <m:t>(</m:t>
        </m:r>
        <m:sSub>
          <m:e>
            <m:r>
              <m:t>P</m:t>
            </m:r>
          </m:e>
          <m:sub>
            <m:r>
              <m:t>t</m:t>
            </m:r>
          </m:sub>
        </m:sSub>
        <m:r>
          <m:rPr>
            <m:sty m:val="p"/>
          </m:rPr>
          <m:t>)</m:t>
        </m:r>
        <m:r>
          <m:rPr>
            <m:sty m:val="p"/>
          </m:rPr>
          <m:t>−</m:t>
        </m:r>
        <m:r>
          <m:rPr>
            <m:sty m:val="p"/>
          </m:rPr>
          <m:t>log</m:t>
        </m:r>
        <m:r>
          <m:rPr>
            <m:sty m:val="p"/>
          </m:rPr>
          <m:t>(</m:t>
        </m:r>
        <m:sSub>
          <m:e>
            <m:r>
              <m:t>P</m:t>
            </m:r>
          </m:e>
          <m:sub>
            <m:r>
              <m:t>t</m:t>
            </m:r>
            <m:r>
              <m:rPr>
                <m:sty m:val="p"/>
              </m:rPr>
              <m:t>−</m:t>
            </m:r>
            <m:r>
              <m:t>1</m:t>
            </m:r>
          </m:sub>
        </m:sSub>
        <m:r>
          <m:rPr>
            <m:sty m:val="p"/>
          </m:rPr>
          <m:t>)</m:t>
        </m:r>
      </m:oMath>
      <w:r>
        <w:t xml:space="preserve">) đã loại bỏ xu hướng và tạo chuỗi dừng, phù hợp để làm input cho các mô hình GARCH. Đây là lý do dự án dùng</w:t>
      </w:r>
      <w:r>
        <w:t xml:space="preserve"> </w:t>
      </w:r>
      <w:r>
        <w:rPr>
          <w:rStyle w:val="VerbatimChar"/>
        </w:rPr>
        <w:t xml:space="preserve">return</w:t>
      </w:r>
      <w:r>
        <w:t xml:space="preserve"> </w:t>
      </w:r>
      <w:r>
        <w:t xml:space="preserve">thay vì</w:t>
      </w:r>
      <w:r>
        <w:t xml:space="preserve"> </w:t>
      </w:r>
      <w:r>
        <w:rPr>
          <w:rStyle w:val="VerbatimChar"/>
        </w:rPr>
        <w:t xml:space="preserve">close</w:t>
      </w:r>
      <w:r>
        <w:t xml:space="preserve"> </w:t>
      </w:r>
      <w:r>
        <w:t xml:space="preserve">cho bài toán volatility.</w:t>
      </w:r>
    </w:p>
    <w:bookmarkEnd w:id="49"/>
    <w:bookmarkStart w:id="50" w:name="thiết-kế-forecast"/>
    <w:p>
      <w:pPr>
        <w:pStyle w:val="Heading2"/>
      </w:pPr>
      <w:r>
        <w:rPr>
          <w:rStyle w:val="SectionNumber"/>
        </w:rPr>
        <w:t xml:space="preserve">4.2</w:t>
      </w:r>
      <w:r>
        <w:tab/>
      </w:r>
      <w:r>
        <w:t xml:space="preserve">Thiết kế forecast</w:t>
      </w:r>
    </w:p>
    <w:p>
      <w:pPr>
        <w:pStyle w:val="FirstParagraph"/>
      </w:pPr>
      <w:r>
        <w:t xml:space="preserve">Dữ liệu được chia theo thời gian, không shuffle. Ba mươi phiên cuối tạo holdout chung cho bảy phương pháp. Rolling-origin CV bắt đầu từ 80% model sample, dùng horizon 20 và step 20, tạo 27 folds cho Naive, Drift, ARIMA, ETS và ETS Damped. SARIMA và ARIMAX chưa có cùng CV coverage, nên chỉ được đánh giá trên final holdout.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Mô hình</w:t>
            </w:r>
          </w:p>
        </w:tc>
        <w:tc>
          <w:tcPr/>
          <w:p>
            <w:pPr>
              <w:pStyle w:val="Compact"/>
            </w:pPr>
            <w:r>
              <w:t xml:space="preserve">Ý tưởng</w:t>
            </w:r>
          </w:p>
        </w:tc>
      </w:tr>
      <w:tr>
        <w:tc>
          <w:tcPr/>
          <w:p>
            <w:pPr>
              <w:pStyle w:val="Compact"/>
            </w:pPr>
            <w:r>
              <w:t xml:space="preserve">Naive</w:t>
            </w:r>
          </w:p>
        </w:tc>
        <w:tc>
          <w:tcPr/>
          <w:p>
            <w:pPr>
              <w:pStyle w:val="Compact"/>
            </w:pPr>
            <w:r>
              <w:t xml:space="preserve">Mọi dự báo bằng giá cuối tập train</w:t>
            </w:r>
          </w:p>
        </w:tc>
      </w:tr>
      <w:tr>
        <w:tc>
          <w:tcPr/>
          <w:p>
            <w:pPr>
              <w:pStyle w:val="Compact"/>
            </w:pPr>
            <w:r>
              <w:t xml:space="preserve">Drift</w:t>
            </w:r>
          </w:p>
        </w:tc>
        <w:tc>
          <w:tcPr/>
          <w:p>
            <w:pPr>
              <w:pStyle w:val="Compact"/>
            </w:pPr>
            <w:r>
              <w:t xml:space="preserve">Random walk cộng độ trôi trung bình lịch sử</w:t>
            </w:r>
          </w:p>
        </w:tc>
      </w:tr>
      <w:tr>
        <w:tc>
          <w:tcPr/>
          <w:p>
            <w:pPr>
              <w:pStyle w:val="Compact"/>
            </w:pPr>
            <w:r>
              <w:t xml:space="preserve">ARIMA</w:t>
            </w:r>
          </w:p>
        </w:tc>
        <w:tc>
          <w:tcPr/>
          <w:p>
            <w:pPr>
              <w:pStyle w:val="Compact"/>
            </w:pPr>
            <w:r>
              <w:t xml:space="preserve">AR, sai phân và MA; order được</w:t>
            </w:r>
            <w:r>
              <w:t xml:space="preserve"> </w:t>
            </w:r>
            <w:r>
              <w:rPr>
                <w:rStyle w:val="VerbatimChar"/>
              </w:rPr>
              <w:t xml:space="preserve">auto.arima()</w:t>
            </w:r>
            <w:r>
              <w:t xml:space="preserve"> </w:t>
            </w:r>
            <w:r>
              <w:t xml:space="preserve">lựa chọn</w:t>
            </w:r>
          </w:p>
        </w:tc>
      </w:tr>
      <w:tr>
        <w:tc>
          <w:tcPr/>
          <w:p>
            <w:pPr>
              <w:pStyle w:val="Compact"/>
            </w:pPr>
            <w:r>
              <w:t xml:space="preserve">SARIMA</w:t>
            </w:r>
          </w:p>
        </w:tc>
        <w:tc>
          <w:tcPr/>
          <w:p>
            <w:pPr>
              <w:pStyle w:val="Compact"/>
            </w:pPr>
            <w:r>
              <w:t xml:space="preserve">Thử thêm cấu trúc chu kỳ 5 phiên</w:t>
            </w:r>
          </w:p>
        </w:tc>
      </w:tr>
      <w:tr>
        <w:tc>
          <w:tcPr/>
          <w:p>
            <w:pPr>
              <w:pStyle w:val="Compact"/>
            </w:pPr>
            <w:r>
              <w:t xml:space="preserve">ETS</w:t>
            </w:r>
          </w:p>
        </w:tc>
        <w:tc>
          <w:tcPr/>
          <w:p>
            <w:pPr>
              <w:pStyle w:val="Compact"/>
            </w:pPr>
            <w:r>
              <w:t xml:space="preserve">State-space error, trend và seasonality</w:t>
            </w:r>
          </w:p>
        </w:tc>
      </w:tr>
      <w:tr>
        <w:tc>
          <w:tcPr/>
          <w:p>
            <w:pPr>
              <w:pStyle w:val="Compact"/>
            </w:pPr>
            <w:r>
              <w:t xml:space="preserve">ETS Damped</w:t>
            </w:r>
          </w:p>
        </w:tc>
        <w:tc>
          <w:tcPr/>
          <w:p>
            <w:pPr>
              <w:pStyle w:val="Compact"/>
            </w:pPr>
            <w:r>
              <w:t xml:space="preserve">ETS với trend tắt dần</w:t>
            </w:r>
          </w:p>
        </w:tc>
      </w:tr>
      <w:tr>
        <w:tc>
          <w:tcPr/>
          <w:p>
            <w:pPr>
              <w:pStyle w:val="Compact"/>
            </w:pPr>
            <w:r>
              <w:t xml:space="preserve">ARIMAX Lagged</w:t>
            </w:r>
          </w:p>
        </w:tc>
        <w:tc>
          <w:tcPr/>
          <w:p>
            <w:pPr>
              <w:pStyle w:val="Compact"/>
            </w:pPr>
            <w:r>
              <w:t xml:space="preserve">ARIMA cộng</w:t>
            </w:r>
            <w:r>
              <w:t xml:space="preserve"> </w:t>
            </w:r>
            <w:r>
              <w:rPr>
                <w:rStyle w:val="VerbatimChar"/>
              </w:rPr>
              <w:t xml:space="preserve">lag_volume</w:t>
            </w:r>
            <w:r>
              <w:t xml:space="preserve">,</w:t>
            </w:r>
            <w:r>
              <w:t xml:space="preserve"> </w:t>
            </w:r>
            <w:r>
              <w:rPr>
                <w:rStyle w:val="VerbatimChar"/>
              </w:rPr>
              <w:t xml:space="preserve">lag_daily_range</w:t>
            </w:r>
            <w:r>
              <w:t xml:space="preserve">,</w:t>
            </w:r>
            <w:r>
              <w:t xml:space="preserve"> </w:t>
            </w:r>
            <w:r>
              <w:rPr>
                <w:rStyle w:val="VerbatimChar"/>
              </w:rPr>
              <w:t xml:space="preserve">lag_return</w:t>
            </w:r>
          </w:p>
        </w:tc>
      </w:tr>
    </w:tbl>
    <w:p>
      <w:pPr>
        <w:pStyle w:val="BodyText"/>
      </w:pPr>
      <w:r>
        <w:t xml:space="preserve">ARIMAX chỉ dùng biến trễ một phiên để tránh dùng trực tiếp thông tin cùng ngày. Tuy nhiên, triển khai thực tế vẫn phải bảo đảm xreg có sẵn đúng thời điểm forecast.</w:t>
      </w:r>
    </w:p>
    <w:bookmarkEnd w:id="50"/>
    <w:bookmarkStart w:id="51" w:name="metric-và-diagnostics"/>
    <w:p>
      <w:pPr>
        <w:pStyle w:val="Heading2"/>
      </w:pPr>
      <w:r>
        <w:rPr>
          <w:rStyle w:val="SectionNumber"/>
        </w:rPr>
        <w:t xml:space="preserve">4.3</w:t>
      </w:r>
      <w:r>
        <w:tab/>
      </w:r>
      <w:r>
        <w:t xml:space="preserve">Metric và diagnostics</w:t>
      </w:r>
    </w:p>
    <w:p>
      <w:pPr>
        <w:pStyle w:val="FirstParagraph"/>
      </w:pPr>
      <m:oMathPara>
        <m:oMathParaPr>
          <m:jc m:val="center"/>
        </m:oMathParaPr>
        <m:oMath>
          <m:r>
            <m:t>R</m:t>
          </m:r>
          <m:r>
            <m:t>M</m:t>
          </m:r>
          <m:r>
            <m:t>S</m:t>
          </m:r>
          <m:r>
            <m:t>E</m:t>
          </m:r>
          <m:r>
            <m:rPr>
              <m:sty m:val="p"/>
            </m:rPr>
            <m:t>=</m:t>
          </m:r>
          <m:rad>
            <m:radPr>
              <m:degHide m:val="on"/>
            </m:radPr>
            <m:deg/>
            <m:e>
              <m:f>
                <m:fPr>
                  <m:type m:val="bar"/>
                </m:fPr>
                <m:num>
                  <m:r>
                    <m:t>1</m:t>
                  </m:r>
                </m:num>
                <m:den>
                  <m:r>
                    <m:t>n</m:t>
                  </m:r>
                </m:den>
              </m:f>
              <m:r>
                <m:rPr>
                  <m:sty m:val="p"/>
                </m:rPr>
                <m:t>∑</m:t>
              </m:r>
              <m:sSubSup>
                <m:e>
                  <m:r>
                    <m:t>e</m:t>
                  </m:r>
                </m:e>
                <m:sub>
                  <m:r>
                    <m:t>t</m:t>
                  </m:r>
                </m:sub>
                <m:sup>
                  <m:r>
                    <m:t>2</m:t>
                  </m:r>
                </m:sup>
              </m:sSubSup>
            </m:e>
          </m:rad>
          <m:r>
            <m:rPr>
              <m:sty m:val="p"/>
            </m:rPr>
            <m:t>,</m:t>
          </m:r>
          <m:r>
            <m:t>  </m:t>
          </m:r>
          <m:r>
            <m:t>M</m:t>
          </m:r>
          <m:r>
            <m:t>A</m:t>
          </m:r>
          <m:r>
            <m:t>E</m:t>
          </m:r>
          <m:r>
            <m:rPr>
              <m:sty m:val="p"/>
            </m:rPr>
            <m:t>=</m:t>
          </m:r>
          <m:f>
            <m:fPr>
              <m:type m:val="bar"/>
            </m:fPr>
            <m:num>
              <m:r>
                <m:t>1</m:t>
              </m:r>
            </m:num>
            <m:den>
              <m:r>
                <m:t>n</m:t>
              </m:r>
            </m:den>
          </m:f>
          <m:r>
            <m:rPr>
              <m:sty m:val="p"/>
            </m:rPr>
            <m:t>∑</m:t>
          </m:r>
          <m:r>
            <m:rPr>
              <m:sty m:val="p"/>
            </m:rPr>
            <m:t>|</m:t>
          </m:r>
          <m:sSub>
            <m:e>
              <m:r>
                <m:t>e</m:t>
              </m:r>
            </m:e>
            <m:sub>
              <m:r>
                <m:t>t</m:t>
              </m:r>
            </m:sub>
          </m:sSub>
          <m:r>
            <m:rPr>
              <m:sty m:val="p"/>
            </m:rPr>
            <m:t>|</m:t>
          </m:r>
          <m:r>
            <m:rPr>
              <m:sty m:val="p"/>
            </m:rPr>
            <m:t>,</m:t>
          </m:r>
          <m:r>
            <m:t>  </m:t>
          </m:r>
          <m:r>
            <m:t>M</m:t>
          </m:r>
          <m:r>
            <m:t>A</m:t>
          </m:r>
          <m:r>
            <m:t>P</m:t>
          </m:r>
          <m:r>
            <m:t>E</m:t>
          </m:r>
          <m:r>
            <m:rPr>
              <m:sty m:val="p"/>
            </m:rPr>
            <m:t>=</m:t>
          </m:r>
          <m:f>
            <m:fPr>
              <m:type m:val="bar"/>
            </m:fPr>
            <m:num>
              <m:r>
                <m:t>100</m:t>
              </m:r>
            </m:num>
            <m:den>
              <m:r>
                <m:t>n</m:t>
              </m:r>
            </m:den>
          </m:f>
          <m:r>
            <m:rPr>
              <m:sty m:val="p"/>
            </m:rPr>
            <m:t>∑</m:t>
          </m:r>
          <m:d>
            <m:dPr>
              <m:begChr m:val="|"/>
              <m:sepChr m:val=""/>
              <m:endChr m:val="|"/>
              <m:grow/>
            </m:dPr>
            <m:e>
              <m:f>
                <m:fPr>
                  <m:type m:val="bar"/>
                </m:fPr>
                <m:num>
                  <m:sSub>
                    <m:e>
                      <m:r>
                        <m:t>e</m:t>
                      </m:r>
                    </m:e>
                    <m:sub>
                      <m:r>
                        <m:t>t</m:t>
                      </m:r>
                    </m:sub>
                  </m:sSub>
                </m:num>
                <m:den>
                  <m:sSub>
                    <m:e>
                      <m:r>
                        <m:t>y</m:t>
                      </m:r>
                    </m:e>
                    <m:sub>
                      <m:r>
                        <m:t>t</m:t>
                      </m:r>
                    </m:sub>
                  </m:sSub>
                </m:den>
              </m:f>
            </m:e>
          </m:d>
          <m:r>
            <m:rPr>
              <m:sty m:val="p"/>
            </m:rPr>
            <m:t>.</m:t>
          </m:r>
        </m:oMath>
      </m:oMathPara>
    </w:p>
    <w:p>
      <w:pPr>
        <w:pStyle w:val="FirstParagraph"/>
      </w:pPr>
      <w:r>
        <w:t xml:space="preserve">Ba metric đều có hướng nhỏ hơn tốt hơn. RMSE phạt lỗi lớn mạnh hơn MAE; MAPE cho tỷ lệ tương đối nhưng không phù hợp khi actual gần 0. Ljung-Box residual có H0 là không có autocorrelation đến lag kiểm tra. P-value nhỏ cho thấy model còn bỏ sót mean dynamics.</w:t>
      </w:r>
    </w:p>
    <w:bookmarkEnd w:id="51"/>
    <w:bookmarkStart w:id="58" w:name="kết-quả-holdout-cv-và-residual"/>
    <w:p>
      <w:pPr>
        <w:pStyle w:val="Heading2"/>
      </w:pPr>
      <w:r>
        <w:rPr>
          <w:rStyle w:val="SectionNumber"/>
        </w:rPr>
        <w:t xml:space="preserve">4.4</w:t>
      </w:r>
      <w:r>
        <w:tab/>
      </w:r>
      <w:r>
        <w:t xml:space="preserve">Kết quả holdout, CV và residual</w:t>
      </w:r>
    </w:p>
    <w:p>
      <w:pPr>
        <w:pStyle w:val="TableCaption"/>
      </w:pPr>
      <w:r>
        <w:t xml:space="preserve">So sánh forecast bằng holdout, rolling CV và Ljung-Box</w:t>
      </w:r>
    </w:p>
    <w:tbl>
      <w:tblPr>
        <w:tblStyle w:val="Table"/>
        <w:tblW w:type="pct" w:w="5000"/>
        <w:tblLayout w:type="fixed"/>
        <w:tblLook w:firstRow="1" w:lastRow="0" w:firstColumn="0" w:lastColumn="0" w:noHBand="0" w:noVBand="0" w:val="0020"/>
        <w:tblCaption w:val="So sánh forecast bằng holdout, rolling CV và Ljung-Box"/>
      </w:tblPr>
      <w:tblGrid>
        <w:gridCol w:w="606"/>
        <w:gridCol w:w="341"/>
        <w:gridCol w:w="341"/>
        <w:gridCol w:w="265"/>
        <w:gridCol w:w="606"/>
        <w:gridCol w:w="492"/>
        <w:gridCol w:w="492"/>
        <w:gridCol w:w="492"/>
        <w:gridCol w:w="795"/>
        <w:gridCol w:w="947"/>
        <w:gridCol w:w="2538"/>
      </w:tblGrid>
      <w:tr>
        <w:trPr>
          <w:tblHeader w:val="on"/>
        </w:trPr>
        <w:tc>
          <w:tcPr/>
          <w:p>
            <w:pPr>
              <w:pStyle w:val="Compact"/>
              <w:jc w:val="left"/>
            </w:pPr>
            <w:r>
              <w:t xml:space="preserve">model</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t xml:space="preserve">final_rmse_rank</w:t>
            </w:r>
          </w:p>
        </w:tc>
        <w:tc>
          <w:tcPr/>
          <w:p>
            <w:pPr>
              <w:pStyle w:val="Compact"/>
              <w:jc w:val="right"/>
            </w:pPr>
            <w:r>
              <w:t xml:space="preserve">cv_mean_rmse</w:t>
            </w:r>
          </w:p>
        </w:tc>
        <w:tc>
          <w:tcPr/>
          <w:p>
            <w:pPr>
              <w:pStyle w:val="Compact"/>
              <w:jc w:val="right"/>
            </w:pPr>
            <w:r>
              <w:t xml:space="preserve">cv_mean_mape</w:t>
            </w:r>
          </w:p>
        </w:tc>
        <w:tc>
          <w:tcPr/>
          <w:p>
            <w:pPr>
              <w:pStyle w:val="Compact"/>
              <w:jc w:val="right"/>
            </w:pPr>
            <w:r>
              <w:t xml:space="preserve">cv_rmse_rank</w:t>
            </w:r>
          </w:p>
        </w:tc>
        <w:tc>
          <w:tcPr/>
          <w:p>
            <w:pPr>
              <w:pStyle w:val="Compact"/>
              <w:jc w:val="right"/>
            </w:pPr>
            <w:r>
              <w:t xml:space="preserve">residual_ljung_box_p</w:t>
            </w:r>
          </w:p>
        </w:tc>
        <w:tc>
          <w:tcPr/>
          <w:p>
            <w:pPr>
              <w:pStyle w:val="Compact"/>
              <w:jc w:val="left"/>
            </w:pPr>
            <w:r>
              <w:t xml:space="preserve">residual_diagnostic_pass</w:t>
            </w:r>
          </w:p>
        </w:tc>
        <w:tc>
          <w:tcPr/>
          <w:p>
            <w:pPr>
              <w:pStyle w:val="Compact"/>
              <w:jc w:val="left"/>
            </w:pPr>
            <w:r>
              <w:t xml:space="preserve">evidence_assessment</w:t>
            </w:r>
          </w:p>
        </w:tc>
      </w:tr>
      <w:tr>
        <w:tc>
          <w:tcPr/>
          <w:p>
            <w:pPr>
              <w:pStyle w:val="Compact"/>
              <w:jc w:val="left"/>
            </w:pPr>
            <w:r>
              <w:t xml:space="preserve">ETS Damped</w:t>
            </w:r>
          </w:p>
        </w:tc>
        <w:tc>
          <w:tcPr/>
          <w:p>
            <w:pPr>
              <w:pStyle w:val="Compact"/>
              <w:jc w:val="right"/>
            </w:pPr>
            <w:r>
              <w:t xml:space="preserve">1939.127</w:t>
            </w:r>
          </w:p>
        </w:tc>
        <w:tc>
          <w:tcPr/>
          <w:p>
            <w:pPr>
              <w:pStyle w:val="Compact"/>
              <w:jc w:val="right"/>
            </w:pPr>
            <w:r>
              <w:t xml:space="preserve">1524.155</w:t>
            </w:r>
          </w:p>
        </w:tc>
        <w:tc>
          <w:tcPr/>
          <w:p>
            <w:pPr>
              <w:pStyle w:val="Compact"/>
              <w:jc w:val="right"/>
            </w:pPr>
            <w:r>
              <w:t xml:space="preserve">2.1039</w:t>
            </w:r>
          </w:p>
        </w:tc>
        <w:tc>
          <w:tcPr/>
          <w:p>
            <w:pPr>
              <w:pStyle w:val="Compact"/>
              <w:jc w:val="right"/>
            </w:pPr>
            <w:r>
              <w:t xml:space="preserve">1</w:t>
            </w:r>
          </w:p>
        </w:tc>
        <w:tc>
          <w:tcPr/>
          <w:p>
            <w:pPr>
              <w:pStyle w:val="Compact"/>
              <w:jc w:val="right"/>
            </w:pPr>
            <w:r>
              <w:t xml:space="preserve">5404.762</w:t>
            </w:r>
          </w:p>
        </w:tc>
        <w:tc>
          <w:tcPr/>
          <w:p>
            <w:pPr>
              <w:pStyle w:val="Compact"/>
              <w:jc w:val="right"/>
            </w:pPr>
            <w:r>
              <w:t xml:space="preserve">4.7413</w:t>
            </w:r>
          </w:p>
        </w:tc>
        <w:tc>
          <w:tcPr/>
          <w:p>
            <w:pPr>
              <w:pStyle w:val="Compact"/>
              <w:jc w:val="right"/>
            </w:pPr>
            <w:r>
              <w:t xml:space="preserve">3</w:t>
            </w:r>
          </w:p>
        </w:tc>
        <w:tc>
          <w:tcPr/>
          <w:p>
            <w:pPr>
              <w:pStyle w:val="Compact"/>
              <w:jc w:val="right"/>
            </w:pPr>
            <w:r>
              <w:t xml:space="preserve">0.0015</w:t>
            </w:r>
          </w:p>
        </w:tc>
        <w:tc>
          <w:tcPr/>
          <w:p>
            <w:pPr>
              <w:pStyle w:val="Compact"/>
              <w:jc w:val="left"/>
            </w:pPr>
            <w:r>
              <w:t xml:space="preserve">FALSE</w:t>
            </w:r>
          </w:p>
        </w:tc>
        <w:tc>
          <w:tcPr/>
          <w:p>
            <w:pPr>
              <w:pStyle w:val="Compact"/>
              <w:jc w:val="left"/>
            </w:pPr>
            <w:r>
              <w:t xml:space="preserve">Mixed evidence across holdout, rolling CV, or residual diagnostics</w:t>
            </w:r>
          </w:p>
        </w:tc>
      </w:tr>
      <w:tr>
        <w:tc>
          <w:tcPr/>
          <w:p>
            <w:pPr>
              <w:pStyle w:val="Compact"/>
              <w:jc w:val="left"/>
            </w:pPr>
            <w:r>
              <w:t xml:space="preserve">Naive</w:t>
            </w:r>
          </w:p>
        </w:tc>
        <w:tc>
          <w:tcPr/>
          <w:p>
            <w:pPr>
              <w:pStyle w:val="Compact"/>
              <w:jc w:val="right"/>
            </w:pPr>
            <w:r>
              <w:t xml:space="preserve">1939.849</w:t>
            </w:r>
          </w:p>
        </w:tc>
        <w:tc>
          <w:tcPr/>
          <w:p>
            <w:pPr>
              <w:pStyle w:val="Compact"/>
              <w:jc w:val="right"/>
            </w:pPr>
            <w:r>
              <w:t xml:space="preserve">1525.325</w:t>
            </w:r>
          </w:p>
        </w:tc>
        <w:tc>
          <w:tcPr/>
          <w:p>
            <w:pPr>
              <w:pStyle w:val="Compact"/>
              <w:jc w:val="right"/>
            </w:pPr>
            <w:r>
              <w:t xml:space="preserve">2.1056</w:t>
            </w:r>
          </w:p>
        </w:tc>
        <w:tc>
          <w:tcPr/>
          <w:p>
            <w:pPr>
              <w:pStyle w:val="Compact"/>
              <w:jc w:val="right"/>
            </w:pPr>
            <w:r>
              <w:t xml:space="preserve">2</w:t>
            </w:r>
          </w:p>
        </w:tc>
        <w:tc>
          <w:tcPr/>
          <w:p>
            <w:pPr>
              <w:pStyle w:val="Compact"/>
              <w:jc w:val="right"/>
            </w:pPr>
            <w:r>
              <w:t xml:space="preserve">5353.942</w:t>
            </w:r>
          </w:p>
        </w:tc>
        <w:tc>
          <w:tcPr/>
          <w:p>
            <w:pPr>
              <w:pStyle w:val="Compact"/>
              <w:jc w:val="right"/>
            </w:pPr>
            <w:r>
              <w:t xml:space="preserve">4.7008</w:t>
            </w:r>
          </w:p>
        </w:tc>
        <w:tc>
          <w:tcPr/>
          <w:p>
            <w:pPr>
              <w:pStyle w:val="Compact"/>
              <w:jc w:val="right"/>
            </w:pPr>
            <w:r>
              <w:t xml:space="preserve">1</w:t>
            </w:r>
          </w:p>
        </w:tc>
        <w:tc>
          <w:tcPr/>
          <w:p>
            <w:pPr>
              <w:pStyle w:val="Compact"/>
              <w:jc w:val="right"/>
            </w:pPr>
            <w:r>
              <w:t xml:space="preserve">NA</w:t>
            </w:r>
          </w:p>
        </w:tc>
        <w:tc>
          <w:tcPr/>
          <w:p>
            <w:pPr>
              <w:pStyle w:val="Compact"/>
              <w:jc w:val="left"/>
            </w:pPr>
            <w:r>
              <w:t xml:space="preserve">NA</w:t>
            </w:r>
          </w:p>
        </w:tc>
        <w:tc>
          <w:tcPr/>
          <w:p>
            <w:pPr>
              <w:pStyle w:val="Compact"/>
              <w:jc w:val="left"/>
            </w:pPr>
            <w:r>
              <w:t xml:space="preserve">Benchmark</w:t>
            </w:r>
          </w:p>
        </w:tc>
      </w:tr>
      <w:tr>
        <w:tc>
          <w:tcPr/>
          <w:p>
            <w:pPr>
              <w:pStyle w:val="Compact"/>
              <w:jc w:val="left"/>
            </w:pPr>
            <w:r>
              <w:t xml:space="preserve">SARIMA</w:t>
            </w:r>
          </w:p>
        </w:tc>
        <w:tc>
          <w:tcPr/>
          <w:p>
            <w:pPr>
              <w:pStyle w:val="Compact"/>
              <w:jc w:val="right"/>
            </w:pPr>
            <w:r>
              <w:t xml:space="preserve">1983.499</w:t>
            </w:r>
          </w:p>
        </w:tc>
        <w:tc>
          <w:tcPr/>
          <w:p>
            <w:pPr>
              <w:pStyle w:val="Compact"/>
              <w:jc w:val="right"/>
            </w:pPr>
            <w:r>
              <w:t xml:space="preserve">1581.495</w:t>
            </w:r>
          </w:p>
        </w:tc>
        <w:tc>
          <w:tcPr/>
          <w:p>
            <w:pPr>
              <w:pStyle w:val="Compact"/>
              <w:jc w:val="right"/>
            </w:pPr>
            <w:r>
              <w:t xml:space="preserve">2.1859</w:t>
            </w:r>
          </w:p>
        </w:tc>
        <w:tc>
          <w:tcPr/>
          <w:p>
            <w:pPr>
              <w:pStyle w:val="Compact"/>
              <w:jc w:val="right"/>
            </w:pPr>
            <w:r>
              <w:t xml:space="preserve">3</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0.0015</w:t>
            </w:r>
          </w:p>
        </w:tc>
        <w:tc>
          <w:tcPr/>
          <w:p>
            <w:pPr>
              <w:pStyle w:val="Compact"/>
              <w:jc w:val="left"/>
            </w:pPr>
            <w:r>
              <w:t xml:space="preserve">FALSE</w:t>
            </w:r>
          </w:p>
        </w:tc>
        <w:tc>
          <w:tcPr/>
          <w:p>
            <w:pPr>
              <w:pStyle w:val="Compact"/>
              <w:jc w:val="left"/>
            </w:pPr>
            <w:r>
              <w:t xml:space="preserve">Holdout result available; rolling CV not available</w:t>
            </w:r>
          </w:p>
        </w:tc>
      </w:tr>
      <w:tr>
        <w:tc>
          <w:tcPr/>
          <w:p>
            <w:pPr>
              <w:pStyle w:val="Compact"/>
              <w:jc w:val="left"/>
            </w:pPr>
            <w:r>
              <w:t xml:space="preserve">ETS</w:t>
            </w:r>
          </w:p>
        </w:tc>
        <w:tc>
          <w:tcPr/>
          <w:p>
            <w:pPr>
              <w:pStyle w:val="Compact"/>
              <w:jc w:val="right"/>
            </w:pPr>
            <w:r>
              <w:t xml:space="preserve">1986.718</w:t>
            </w:r>
          </w:p>
        </w:tc>
        <w:tc>
          <w:tcPr/>
          <w:p>
            <w:pPr>
              <w:pStyle w:val="Compact"/>
              <w:jc w:val="right"/>
            </w:pPr>
            <w:r>
              <w:t xml:space="preserve">1519.232</w:t>
            </w:r>
          </w:p>
        </w:tc>
        <w:tc>
          <w:tcPr/>
          <w:p>
            <w:pPr>
              <w:pStyle w:val="Compact"/>
              <w:jc w:val="right"/>
            </w:pPr>
            <w:r>
              <w:t xml:space="preserve">2.0821</w:t>
            </w:r>
          </w:p>
        </w:tc>
        <w:tc>
          <w:tcPr/>
          <w:p>
            <w:pPr>
              <w:pStyle w:val="Compact"/>
              <w:jc w:val="right"/>
            </w:pPr>
            <w:r>
              <w:t xml:space="preserve">4</w:t>
            </w:r>
          </w:p>
        </w:tc>
        <w:tc>
          <w:tcPr/>
          <w:p>
            <w:pPr>
              <w:pStyle w:val="Compact"/>
              <w:jc w:val="right"/>
            </w:pPr>
            <w:r>
              <w:t xml:space="preserve">5476.865</w:t>
            </w:r>
          </w:p>
        </w:tc>
        <w:tc>
          <w:tcPr/>
          <w:p>
            <w:pPr>
              <w:pStyle w:val="Compact"/>
              <w:jc w:val="right"/>
            </w:pPr>
            <w:r>
              <w:t xml:space="preserve">4.8084</w:t>
            </w:r>
          </w:p>
        </w:tc>
        <w:tc>
          <w:tcPr/>
          <w:p>
            <w:pPr>
              <w:pStyle w:val="Compact"/>
              <w:jc w:val="right"/>
            </w:pPr>
            <w:r>
              <w:t xml:space="preserve">4</w:t>
            </w:r>
          </w:p>
        </w:tc>
        <w:tc>
          <w:tcPr/>
          <w:p>
            <w:pPr>
              <w:pStyle w:val="Compact"/>
              <w:jc w:val="right"/>
            </w:pPr>
            <w:r>
              <w:t xml:space="preserve">0.0029</w:t>
            </w:r>
          </w:p>
        </w:tc>
        <w:tc>
          <w:tcPr/>
          <w:p>
            <w:pPr>
              <w:pStyle w:val="Compact"/>
              <w:jc w:val="left"/>
            </w:pPr>
            <w:r>
              <w:t xml:space="preserve">FALSE</w:t>
            </w:r>
          </w:p>
        </w:tc>
        <w:tc>
          <w:tcPr/>
          <w:p>
            <w:pPr>
              <w:pStyle w:val="Compact"/>
              <w:jc w:val="left"/>
            </w:pPr>
            <w:r>
              <w:t xml:space="preserve">Mixed evidence across holdout, rolling CV, or residual diagnostics</w:t>
            </w:r>
          </w:p>
        </w:tc>
      </w:tr>
      <w:tr>
        <w:tc>
          <w:tcPr/>
          <w:p>
            <w:pPr>
              <w:pStyle w:val="Compact"/>
              <w:jc w:val="left"/>
            </w:pPr>
            <w:r>
              <w:t xml:space="preserve">Drift</w:t>
            </w:r>
          </w:p>
        </w:tc>
        <w:tc>
          <w:tcPr/>
          <w:p>
            <w:pPr>
              <w:pStyle w:val="Compact"/>
              <w:jc w:val="right"/>
            </w:pPr>
            <w:r>
              <w:t xml:space="preserve">2020.673</w:t>
            </w:r>
          </w:p>
        </w:tc>
        <w:tc>
          <w:tcPr/>
          <w:p>
            <w:pPr>
              <w:pStyle w:val="Compact"/>
              <w:jc w:val="right"/>
            </w:pPr>
            <w:r>
              <w:t xml:space="preserve">1609.285</w:t>
            </w:r>
          </w:p>
        </w:tc>
        <w:tc>
          <w:tcPr/>
          <w:p>
            <w:pPr>
              <w:pStyle w:val="Compact"/>
              <w:jc w:val="right"/>
            </w:pPr>
            <w:r>
              <w:t xml:space="preserve">2.2307</w:t>
            </w:r>
          </w:p>
        </w:tc>
        <w:tc>
          <w:tcPr/>
          <w:p>
            <w:pPr>
              <w:pStyle w:val="Compact"/>
              <w:jc w:val="right"/>
            </w:pPr>
            <w:r>
              <w:t xml:space="preserve">5</w:t>
            </w:r>
          </w:p>
        </w:tc>
        <w:tc>
          <w:tcPr/>
          <w:p>
            <w:pPr>
              <w:pStyle w:val="Compact"/>
              <w:jc w:val="right"/>
            </w:pPr>
            <w:r>
              <w:t xml:space="preserve">5397.318</w:t>
            </w:r>
          </w:p>
        </w:tc>
        <w:tc>
          <w:tcPr/>
          <w:p>
            <w:pPr>
              <w:pStyle w:val="Compact"/>
              <w:jc w:val="right"/>
            </w:pPr>
            <w:r>
              <w:t xml:space="preserve">4.7551</w:t>
            </w:r>
          </w:p>
        </w:tc>
        <w:tc>
          <w:tcPr/>
          <w:p>
            <w:pPr>
              <w:pStyle w:val="Compact"/>
              <w:jc w:val="right"/>
            </w:pPr>
            <w:r>
              <w:t xml:space="preserve">2</w:t>
            </w:r>
          </w:p>
        </w:tc>
        <w:tc>
          <w:tcPr/>
          <w:p>
            <w:pPr>
              <w:pStyle w:val="Compact"/>
              <w:jc w:val="right"/>
            </w:pPr>
            <w:r>
              <w:t xml:space="preserve">NA</w:t>
            </w:r>
          </w:p>
        </w:tc>
        <w:tc>
          <w:tcPr/>
          <w:p>
            <w:pPr>
              <w:pStyle w:val="Compact"/>
              <w:jc w:val="left"/>
            </w:pPr>
            <w:r>
              <w:t xml:space="preserve">NA</w:t>
            </w:r>
          </w:p>
        </w:tc>
        <w:tc>
          <w:tcPr/>
          <w:p>
            <w:pPr>
              <w:pStyle w:val="Compact"/>
              <w:jc w:val="left"/>
            </w:pPr>
            <w:r>
              <w:t xml:space="preserve">Benchmark</w:t>
            </w:r>
          </w:p>
        </w:tc>
      </w:tr>
      <w:tr>
        <w:tc>
          <w:tcPr/>
          <w:p>
            <w:pPr>
              <w:pStyle w:val="Compact"/>
              <w:jc w:val="left"/>
            </w:pPr>
            <w:r>
              <w:t xml:space="preserve">ARIMAX (Lagged)</w:t>
            </w:r>
          </w:p>
        </w:tc>
        <w:tc>
          <w:tcPr/>
          <w:p>
            <w:pPr>
              <w:pStyle w:val="Compact"/>
              <w:jc w:val="right"/>
            </w:pPr>
            <w:r>
              <w:t xml:space="preserve">2025.855</w:t>
            </w:r>
          </w:p>
        </w:tc>
        <w:tc>
          <w:tcPr/>
          <w:p>
            <w:pPr>
              <w:pStyle w:val="Compact"/>
              <w:jc w:val="right"/>
            </w:pPr>
            <w:r>
              <w:t xml:space="preserve">1614.203</w:t>
            </w:r>
          </w:p>
        </w:tc>
        <w:tc>
          <w:tcPr/>
          <w:p>
            <w:pPr>
              <w:pStyle w:val="Compact"/>
              <w:jc w:val="right"/>
            </w:pPr>
            <w:r>
              <w:t xml:space="preserve">2.2386</w:t>
            </w:r>
          </w:p>
        </w:tc>
        <w:tc>
          <w:tcPr/>
          <w:p>
            <w:pPr>
              <w:pStyle w:val="Compact"/>
              <w:jc w:val="right"/>
            </w:pPr>
            <w:r>
              <w:t xml:space="preserve">6</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0.0003</w:t>
            </w:r>
          </w:p>
        </w:tc>
        <w:tc>
          <w:tcPr/>
          <w:p>
            <w:pPr>
              <w:pStyle w:val="Compact"/>
              <w:jc w:val="left"/>
            </w:pPr>
            <w:r>
              <w:t xml:space="preserve">FALSE</w:t>
            </w:r>
          </w:p>
        </w:tc>
        <w:tc>
          <w:tcPr/>
          <w:p>
            <w:pPr>
              <w:pStyle w:val="Compact"/>
              <w:jc w:val="left"/>
            </w:pPr>
            <w:r>
              <w:t xml:space="preserve">Holdout result available; rolling CV not available</w:t>
            </w:r>
          </w:p>
        </w:tc>
      </w:tr>
      <w:tr>
        <w:tc>
          <w:tcPr/>
          <w:p>
            <w:pPr>
              <w:pStyle w:val="Compact"/>
              <w:jc w:val="left"/>
            </w:pPr>
            <w:r>
              <w:t xml:space="preserve">ARIMA</w:t>
            </w:r>
          </w:p>
        </w:tc>
        <w:tc>
          <w:tcPr/>
          <w:p>
            <w:pPr>
              <w:pStyle w:val="Compact"/>
              <w:jc w:val="right"/>
            </w:pPr>
            <w:r>
              <w:t xml:space="preserve">2119.632</w:t>
            </w:r>
          </w:p>
        </w:tc>
        <w:tc>
          <w:tcPr/>
          <w:p>
            <w:pPr>
              <w:pStyle w:val="Compact"/>
              <w:jc w:val="right"/>
            </w:pPr>
            <w:r>
              <w:t xml:space="preserve">1711.404</w:t>
            </w:r>
          </w:p>
        </w:tc>
        <w:tc>
          <w:tcPr/>
          <w:p>
            <w:pPr>
              <w:pStyle w:val="Compact"/>
              <w:jc w:val="right"/>
            </w:pPr>
            <w:r>
              <w:t xml:space="preserve">2.3751</w:t>
            </w:r>
          </w:p>
        </w:tc>
        <w:tc>
          <w:tcPr/>
          <w:p>
            <w:pPr>
              <w:pStyle w:val="Compact"/>
              <w:jc w:val="right"/>
            </w:pPr>
            <w:r>
              <w:t xml:space="preserve">7</w:t>
            </w:r>
          </w:p>
        </w:tc>
        <w:tc>
          <w:tcPr/>
          <w:p>
            <w:pPr>
              <w:pStyle w:val="Compact"/>
              <w:jc w:val="right"/>
            </w:pPr>
            <w:r>
              <w:t xml:space="preserve">6501.435</w:t>
            </w:r>
          </w:p>
        </w:tc>
        <w:tc>
          <w:tcPr/>
          <w:p>
            <w:pPr>
              <w:pStyle w:val="Compact"/>
              <w:jc w:val="right"/>
            </w:pPr>
            <w:r>
              <w:t xml:space="preserve">5.5745</w:t>
            </w:r>
          </w:p>
        </w:tc>
        <w:tc>
          <w:tcPr/>
          <w:p>
            <w:pPr>
              <w:pStyle w:val="Compact"/>
              <w:jc w:val="right"/>
            </w:pPr>
            <w:r>
              <w:t xml:space="preserve">5</w:t>
            </w:r>
          </w:p>
        </w:tc>
        <w:tc>
          <w:tcPr/>
          <w:p>
            <w:pPr>
              <w:pStyle w:val="Compact"/>
              <w:jc w:val="right"/>
            </w:pPr>
            <w:r>
              <w:t xml:space="preserve">0.0003</w:t>
            </w:r>
          </w:p>
        </w:tc>
        <w:tc>
          <w:tcPr/>
          <w:p>
            <w:pPr>
              <w:pStyle w:val="Compact"/>
              <w:jc w:val="left"/>
            </w:pPr>
            <w:r>
              <w:t xml:space="preserve">FALSE</w:t>
            </w:r>
          </w:p>
        </w:tc>
        <w:tc>
          <w:tcPr/>
          <w:p>
            <w:pPr>
              <w:pStyle w:val="Compact"/>
              <w:jc w:val="left"/>
            </w:pPr>
            <w:r>
              <w:t xml:space="preserve">Mixed evidence across holdout, rolling CV, or residual diagnostics</w:t>
            </w:r>
          </w:p>
        </w:tc>
      </w:tr>
    </w:tbl>
    <w:p>
      <w:pPr>
        <w:pStyle w:val="BodyText"/>
      </w:pPr>
      <w:r>
        <w:t xml:space="preserve">Đọc bảng so sánh theo ba góc độ:</w:t>
      </w:r>
    </w:p>
    <w:p>
      <w:pPr>
        <w:pStyle w:val="Compact"/>
        <w:numPr>
          <w:ilvl w:val="0"/>
          <w:numId w:val="1007"/>
        </w:numPr>
      </w:pPr>
      <w:r>
        <w:rPr>
          <w:b/>
          <w:bCs/>
        </w:rPr>
        <w:t xml:space="preserve">Holdout (cột</w:t>
      </w:r>
      <w:r>
        <w:rPr>
          <w:b/>
          <w:bCs/>
        </w:rPr>
        <w:t xml:space="preserve"> </w:t>
      </w:r>
      <w:r>
        <w:rPr>
          <w:rStyle w:val="VerbatimChar"/>
          <w:b/>
          <w:bCs/>
        </w:rPr>
        <w:t xml:space="preserve">rmse</w:t>
      </w:r>
      <w:r>
        <w:rPr>
          <w:b/>
          <w:bCs/>
        </w:rPr>
        <w:t xml:space="preserve">,</w:t>
      </w:r>
      <w:r>
        <w:rPr>
          <w:b/>
          <w:bCs/>
        </w:rPr>
        <w:t xml:space="preserve"> </w:t>
      </w:r>
      <w:r>
        <w:rPr>
          <w:rStyle w:val="VerbatimChar"/>
          <w:b/>
          <w:bCs/>
        </w:rPr>
        <w:t xml:space="preserve">mae</w:t>
      </w:r>
      <w:r>
        <w:rPr>
          <w:b/>
          <w:bCs/>
        </w:rPr>
        <w:t xml:space="preserve">,</w:t>
      </w:r>
      <w:r>
        <w:rPr>
          <w:b/>
          <w:bCs/>
        </w:rPr>
        <w:t xml:space="preserve"> </w:t>
      </w:r>
      <w:r>
        <w:rPr>
          <w:rStyle w:val="VerbatimChar"/>
          <w:b/>
          <w:bCs/>
        </w:rPr>
        <w:t xml:space="preserve">mape</w:t>
      </w:r>
      <w:r>
        <w:rPr>
          <w:b/>
          <w:bCs/>
        </w:rPr>
        <w:t xml:space="preserve">,</w:t>
      </w:r>
      <w:r>
        <w:rPr>
          <w:b/>
          <w:bCs/>
        </w:rPr>
        <w:t xml:space="preserve"> </w:t>
      </w:r>
      <w:r>
        <w:rPr>
          <w:rStyle w:val="VerbatimChar"/>
          <w:b/>
          <w:bCs/>
        </w:rPr>
        <w:t xml:space="preserve">final_rmse_rank</w:t>
      </w:r>
      <w:r>
        <w:rPr>
          <w:b/>
          <w:bCs/>
        </w:rPr>
        <w:t xml:space="preserve">):</w:t>
      </w:r>
      <w:r>
        <w:t xml:space="preserve"> </w:t>
      </w:r>
      <w:r>
        <w:t xml:space="preserve">Nhìn vào cột</w:t>
      </w:r>
      <w:r>
        <w:t xml:space="preserve"> </w:t>
      </w:r>
      <w:r>
        <w:rPr>
          <w:rStyle w:val="VerbatimChar"/>
        </w:rPr>
        <w:t xml:space="preserve">final_rmse_rank</w:t>
      </w:r>
      <w:r>
        <w:t xml:space="preserve">, ETS Damped xếp hạng 1 với RMSE = 1,939.13, nhưng chỉ hơn Naive 0.72 đơn vị — mức cải thiện rất nhỏ so với benchmark đơn giản nhất. MAPE thấp nhất thuộc về ETS (2.08%), cho thấy thứ hạng thay đổi tùy theo metric được chọn.</w:t>
      </w:r>
    </w:p>
    <w:p>
      <w:pPr>
        <w:pStyle w:val="Compact"/>
        <w:numPr>
          <w:ilvl w:val="0"/>
          <w:numId w:val="1007"/>
        </w:numPr>
      </w:pPr>
      <w:r>
        <w:rPr>
          <w:b/>
          <w:bCs/>
        </w:rPr>
        <w:t xml:space="preserve">Rolling CV (cột</w:t>
      </w:r>
      <w:r>
        <w:rPr>
          <w:b/>
          <w:bCs/>
        </w:rPr>
        <w:t xml:space="preserve"> </w:t>
      </w:r>
      <w:r>
        <w:rPr>
          <w:rStyle w:val="VerbatimChar"/>
          <w:b/>
          <w:bCs/>
        </w:rPr>
        <w:t xml:space="preserve">cv_mean_rmse</w:t>
      </w:r>
      <w:r>
        <w:rPr>
          <w:b/>
          <w:bCs/>
        </w:rPr>
        <w:t xml:space="preserve">,</w:t>
      </w:r>
      <w:r>
        <w:rPr>
          <w:b/>
          <w:bCs/>
        </w:rPr>
        <w:t xml:space="preserve"> </w:t>
      </w:r>
      <w:r>
        <w:rPr>
          <w:rStyle w:val="VerbatimChar"/>
          <w:b/>
          <w:bCs/>
        </w:rPr>
        <w:t xml:space="preserve">cv_rmse_rank</w:t>
      </w:r>
      <w:r>
        <w:rPr>
          <w:b/>
          <w:bCs/>
        </w:rPr>
        <w:t xml:space="preserve">):</w:t>
      </w:r>
      <w:r>
        <w:t xml:space="preserve"> </w:t>
      </w:r>
      <w:r>
        <w:t xml:space="preserve">CV kiểm tra sự ổn định của kết quả trên nhiều cửa sổ thời gian. Naive dẫn đầu với mean RMSE 5,353.94. Nếu model dẫn holdout khác với model dẫn CV, kết quả holdout có thể không ổn định.</w:t>
      </w:r>
    </w:p>
    <w:p>
      <w:pPr>
        <w:pStyle w:val="Compact"/>
        <w:numPr>
          <w:ilvl w:val="0"/>
          <w:numId w:val="1007"/>
        </w:numPr>
      </w:pPr>
      <w:r>
        <w:rPr>
          <w:b/>
          <w:bCs/>
        </w:rPr>
        <w:t xml:space="preserve">Residual diagnostics (cột</w:t>
      </w:r>
      <w:r>
        <w:rPr>
          <w:b/>
          <w:bCs/>
        </w:rPr>
        <w:t xml:space="preserve"> </w:t>
      </w:r>
      <w:r>
        <w:rPr>
          <w:rStyle w:val="VerbatimChar"/>
          <w:b/>
          <w:bCs/>
        </w:rPr>
        <w:t xml:space="preserve">residual_diagnostic_pass</w:t>
      </w:r>
      <w:r>
        <w:rPr>
          <w:b/>
          <w:bCs/>
        </w:rPr>
        <w:t xml:space="preserve">):</w:t>
      </w:r>
      <w:r>
        <w:t xml:space="preserve"> </w:t>
      </w:r>
      <w:r>
        <w:t xml:space="preserve">Giá trị</w:t>
      </w:r>
      <w:r>
        <w:t xml:space="preserve"> </w:t>
      </w:r>
      <w:r>
        <w:rPr>
          <w:rStyle w:val="VerbatimChar"/>
        </w:rPr>
        <w:t xml:space="preserve">FALSE</w:t>
      </w:r>
      <w:r>
        <w:t xml:space="preserve"> </w:t>
      </w:r>
      <w:r>
        <w:t xml:space="preserve">nghĩa là model vẫn còn autocorrelation trong residual — có cấu trúc chưa được nắm bắt.</w:t>
      </w:r>
    </w:p>
    <w:p>
      <w:pPr>
        <w:pStyle w:val="TableCaption"/>
      </w:pPr>
      <w:r>
        <w:t xml:space="preserve">Ljung-Box trên residual của fitted forecast models</w:t>
      </w:r>
    </w:p>
    <w:tbl>
      <w:tblPr>
        <w:tblStyle w:val="Table"/>
        <w:tblW w:type="auto" w:w="0"/>
        <w:tblLook w:firstRow="1" w:lastRow="0" w:firstColumn="0" w:lastColumn="0" w:noHBand="0" w:noVBand="0" w:val="0020"/>
        <w:tblCaption w:val="Ljung-Box trên residual của fitted forecast mode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right"/>
            </w:pPr>
            <w:r>
              <w:t xml:space="preserve">lb_statistic</w:t>
            </w:r>
          </w:p>
        </w:tc>
        <w:tc>
          <w:tcPr/>
          <w:p>
            <w:pPr>
              <w:pStyle w:val="Compact"/>
              <w:jc w:val="right"/>
            </w:pPr>
            <w:r>
              <w:t xml:space="preserve">lb_p_value</w:t>
            </w:r>
          </w:p>
        </w:tc>
        <w:tc>
          <w:tcPr/>
          <w:p>
            <w:pPr>
              <w:pStyle w:val="Compact"/>
              <w:jc w:val="right"/>
            </w:pPr>
            <w:r>
              <w:t xml:space="preserve">test_lag</w:t>
            </w:r>
          </w:p>
        </w:tc>
        <w:tc>
          <w:tcPr/>
          <w:p>
            <w:pPr>
              <w:pStyle w:val="Compact"/>
              <w:jc w:val="right"/>
            </w:pPr>
            <w:r>
              <w:t xml:space="preserve">fitdf</w:t>
            </w:r>
          </w:p>
        </w:tc>
        <w:tc>
          <w:tcPr/>
          <w:p>
            <w:pPr>
              <w:pStyle w:val="Compact"/>
              <w:jc w:val="left"/>
            </w:pPr>
            <w:r>
              <w:t xml:space="preserve">white_noise</w:t>
            </w:r>
          </w:p>
        </w:tc>
      </w:tr>
      <w:tr>
        <w:tc>
          <w:tcPr/>
          <w:p>
            <w:pPr>
              <w:pStyle w:val="Compact"/>
              <w:jc w:val="left"/>
            </w:pPr>
            <w:r>
              <w:t xml:space="preserve">ARIMA</w:t>
            </w:r>
          </w:p>
        </w:tc>
        <w:tc>
          <w:tcPr/>
          <w:p>
            <w:pPr>
              <w:pStyle w:val="Compact"/>
              <w:jc w:val="right"/>
            </w:pPr>
            <w:r>
              <w:t xml:space="preserve">23.63248</w:t>
            </w:r>
          </w:p>
        </w:tc>
        <w:tc>
          <w:tcPr/>
          <w:p>
            <w:pPr>
              <w:pStyle w:val="Compact"/>
              <w:jc w:val="right"/>
            </w:pPr>
            <w:r>
              <w:t xml:space="preserve">0.00026</w:t>
            </w:r>
          </w:p>
        </w:tc>
        <w:tc>
          <w:tcPr/>
          <w:p>
            <w:pPr>
              <w:pStyle w:val="Compact"/>
              <w:jc w:val="right"/>
            </w:pPr>
            <w:r>
              <w:t xml:space="preserve">10</w:t>
            </w:r>
          </w:p>
        </w:tc>
        <w:tc>
          <w:tcPr/>
          <w:p>
            <w:pPr>
              <w:pStyle w:val="Compact"/>
              <w:jc w:val="right"/>
            </w:pPr>
            <w:r>
              <w:t xml:space="preserve">5</w:t>
            </w:r>
          </w:p>
        </w:tc>
        <w:tc>
          <w:tcPr/>
          <w:p>
            <w:pPr>
              <w:pStyle w:val="Compact"/>
              <w:jc w:val="left"/>
            </w:pPr>
            <w:r>
              <w:t xml:space="preserve">No (Reject H0)</w:t>
            </w:r>
          </w:p>
        </w:tc>
      </w:tr>
      <w:tr>
        <w:tc>
          <w:tcPr/>
          <w:p>
            <w:pPr>
              <w:pStyle w:val="Compact"/>
              <w:jc w:val="left"/>
            </w:pPr>
            <w:r>
              <w:t xml:space="preserve">SARIMA</w:t>
            </w:r>
          </w:p>
        </w:tc>
        <w:tc>
          <w:tcPr/>
          <w:p>
            <w:pPr>
              <w:pStyle w:val="Compact"/>
              <w:jc w:val="right"/>
            </w:pPr>
            <w:r>
              <w:t xml:space="preserve">25.07300</w:t>
            </w:r>
          </w:p>
        </w:tc>
        <w:tc>
          <w:tcPr/>
          <w:p>
            <w:pPr>
              <w:pStyle w:val="Compact"/>
              <w:jc w:val="right"/>
            </w:pPr>
            <w:r>
              <w:t xml:space="preserve">0.00151</w:t>
            </w:r>
          </w:p>
        </w:tc>
        <w:tc>
          <w:tcPr/>
          <w:p>
            <w:pPr>
              <w:pStyle w:val="Compact"/>
              <w:jc w:val="right"/>
            </w:pPr>
            <w:r>
              <w:t xml:space="preserve">10</w:t>
            </w:r>
          </w:p>
        </w:tc>
        <w:tc>
          <w:tcPr/>
          <w:p>
            <w:pPr>
              <w:pStyle w:val="Compact"/>
              <w:jc w:val="right"/>
            </w:pPr>
            <w:r>
              <w:t xml:space="preserve">2</w:t>
            </w:r>
          </w:p>
        </w:tc>
        <w:tc>
          <w:tcPr/>
          <w:p>
            <w:pPr>
              <w:pStyle w:val="Compact"/>
              <w:jc w:val="left"/>
            </w:pPr>
            <w:r>
              <w:t xml:space="preserve">No (Reject H0)</w:t>
            </w:r>
          </w:p>
        </w:tc>
      </w:tr>
      <w:tr>
        <w:tc>
          <w:tcPr/>
          <w:p>
            <w:pPr>
              <w:pStyle w:val="Compact"/>
              <w:jc w:val="left"/>
            </w:pPr>
            <w:r>
              <w:t xml:space="preserve">ETS</w:t>
            </w:r>
          </w:p>
        </w:tc>
        <w:tc>
          <w:tcPr/>
          <w:p>
            <w:pPr>
              <w:pStyle w:val="Compact"/>
              <w:jc w:val="right"/>
            </w:pPr>
            <w:r>
              <w:t xml:space="preserve">19.87305</w:t>
            </w:r>
          </w:p>
        </w:tc>
        <w:tc>
          <w:tcPr/>
          <w:p>
            <w:pPr>
              <w:pStyle w:val="Compact"/>
              <w:jc w:val="right"/>
            </w:pPr>
            <w:r>
              <w:t xml:space="preserve">0.00292</w:t>
            </w:r>
          </w:p>
        </w:tc>
        <w:tc>
          <w:tcPr/>
          <w:p>
            <w:pPr>
              <w:pStyle w:val="Compact"/>
              <w:jc w:val="right"/>
            </w:pPr>
            <w:r>
              <w:t xml:space="preserve">10</w:t>
            </w:r>
          </w:p>
        </w:tc>
        <w:tc>
          <w:tcPr/>
          <w:p>
            <w:pPr>
              <w:pStyle w:val="Compact"/>
              <w:jc w:val="right"/>
            </w:pPr>
            <w:r>
              <w:t xml:space="preserve">4</w:t>
            </w:r>
          </w:p>
        </w:tc>
        <w:tc>
          <w:tcPr/>
          <w:p>
            <w:pPr>
              <w:pStyle w:val="Compact"/>
              <w:jc w:val="left"/>
            </w:pPr>
            <w:r>
              <w:t xml:space="preserve">No (Reject H0)</w:t>
            </w:r>
          </w:p>
        </w:tc>
      </w:tr>
      <w:tr>
        <w:tc>
          <w:tcPr/>
          <w:p>
            <w:pPr>
              <w:pStyle w:val="Compact"/>
              <w:jc w:val="left"/>
            </w:pPr>
            <w:r>
              <w:t xml:space="preserve">ETS Damped</w:t>
            </w:r>
          </w:p>
        </w:tc>
        <w:tc>
          <w:tcPr/>
          <w:p>
            <w:pPr>
              <w:pStyle w:val="Compact"/>
              <w:jc w:val="right"/>
            </w:pPr>
            <w:r>
              <w:t xml:space="preserve">19.59529</w:t>
            </w:r>
          </w:p>
        </w:tc>
        <w:tc>
          <w:tcPr/>
          <w:p>
            <w:pPr>
              <w:pStyle w:val="Compact"/>
              <w:jc w:val="right"/>
            </w:pPr>
            <w:r>
              <w:t xml:space="preserve">0.00149</w:t>
            </w:r>
          </w:p>
        </w:tc>
        <w:tc>
          <w:tcPr/>
          <w:p>
            <w:pPr>
              <w:pStyle w:val="Compact"/>
              <w:jc w:val="right"/>
            </w:pPr>
            <w:r>
              <w:t xml:space="preserve">10</w:t>
            </w:r>
          </w:p>
        </w:tc>
        <w:tc>
          <w:tcPr/>
          <w:p>
            <w:pPr>
              <w:pStyle w:val="Compact"/>
              <w:jc w:val="right"/>
            </w:pPr>
            <w:r>
              <w:t xml:space="preserve">5</w:t>
            </w:r>
          </w:p>
        </w:tc>
        <w:tc>
          <w:tcPr/>
          <w:p>
            <w:pPr>
              <w:pStyle w:val="Compact"/>
              <w:jc w:val="left"/>
            </w:pPr>
            <w:r>
              <w:t xml:space="preserve">No (Reject H0)</w:t>
            </w:r>
          </w:p>
        </w:tc>
      </w:tr>
      <w:tr>
        <w:tc>
          <w:tcPr/>
          <w:p>
            <w:pPr>
              <w:pStyle w:val="Compact"/>
              <w:jc w:val="left"/>
            </w:pPr>
            <w:r>
              <w:t xml:space="preserve">ARIMAX</w:t>
            </w:r>
          </w:p>
        </w:tc>
        <w:tc>
          <w:tcPr/>
          <w:p>
            <w:pPr>
              <w:pStyle w:val="Compact"/>
              <w:jc w:val="right"/>
            </w:pPr>
            <w:r>
              <w:t xml:space="preserve">33.10920</w:t>
            </w:r>
          </w:p>
        </w:tc>
        <w:tc>
          <w:tcPr/>
          <w:p>
            <w:pPr>
              <w:pStyle w:val="Compact"/>
              <w:jc w:val="right"/>
            </w:pPr>
            <w:r>
              <w:t xml:space="preserve">0.00026</w:t>
            </w:r>
          </w:p>
        </w:tc>
        <w:tc>
          <w:tcPr/>
          <w:p>
            <w:pPr>
              <w:pStyle w:val="Compact"/>
              <w:jc w:val="right"/>
            </w:pPr>
            <w:r>
              <w:t xml:space="preserve">10</w:t>
            </w:r>
          </w:p>
        </w:tc>
        <w:tc>
          <w:tcPr/>
          <w:p>
            <w:pPr>
              <w:pStyle w:val="Compact"/>
              <w:jc w:val="right"/>
            </w:pPr>
            <w:r>
              <w:t xml:space="preserve">0</w:t>
            </w:r>
          </w:p>
        </w:tc>
        <w:tc>
          <w:tcPr/>
          <w:p>
            <w:pPr>
              <w:pStyle w:val="Compact"/>
              <w:jc w:val="left"/>
            </w:pPr>
            <w:r>
              <w:t xml:space="preserve">No (Reject H0)</w:t>
            </w:r>
          </w:p>
        </w:tc>
      </w:tr>
    </w:tbl>
    <w:p>
      <w:pPr>
        <w:pStyle w:val="BodyText"/>
      </w:pPr>
      <w:r>
        <w:t xml:space="preserve">Có 0 trong 5 fitted models vượt Ljung-Box ở mức 5%. Cột</w:t>
      </w:r>
      <w:r>
        <w:t xml:space="preserve"> </w:t>
      </w:r>
      <w:r>
        <w:rPr>
          <w:rStyle w:val="VerbatimChar"/>
        </w:rPr>
        <w:t xml:space="preserve">lb_p_value</w:t>
      </w:r>
      <w:r>
        <w:t xml:space="preserve"> </w:t>
      </w:r>
      <w:r>
        <w:t xml:space="preserve">cho thấy p-value của từng model: nếu p-value &lt; 0,05, residual có autocorrelation — model chưa nắm bắt hết cấu trúc mean. Hiện tất cả đều chưa đạt white noise. Kết hợp cả ba nguồn bằng chứng (holdout, CV, residual diagnostics), dự án chưa chứng minh model phức tạp cải thiện Naive một cách ổn định.</w:t>
      </w:r>
    </w:p>
    <w:p>
      <w:pPr>
        <w:pStyle w:val="CaptionedFigure"/>
      </w:pPr>
      <w:r>
        <w:drawing>
          <wp:inline>
            <wp:extent cx="5067300" cy="3040380"/>
            <wp:effectExtent b="0" l="0" r="0" t="0"/>
            <wp:docPr descr="ETS Damped trên holdout 30 phiên" title="" id="53" name="Picture"/>
            <a:graphic>
              <a:graphicData uri="http://schemas.openxmlformats.org/drawingml/2006/picture">
                <pic:pic>
                  <pic:nvPicPr>
                    <pic:cNvPr descr="report_files/8d83366d08b2f34e5b6383b76400133e06fcc9d2.png" id="54" name="Picture"/>
                    <pic:cNvPicPr>
                      <a:picLocks noChangeArrowheads="1" noChangeAspect="1"/>
                    </pic:cNvPicPr>
                  </pic:nvPicPr>
                  <pic:blipFill>
                    <a:blip r:embed="rId52"/>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ETS Damped trên holdout 30 phiên</w:t>
      </w:r>
    </w:p>
    <w:p>
      <w:pPr>
        <w:pStyle w:val="BodyText"/>
      </w:pPr>
      <w:r>
        <w:t xml:space="preserve">Biểu đồ gồm hai vùng chính:</w:t>
      </w:r>
      <w:r>
        <w:t xml:space="preserve"> </w:t>
      </w:r>
      <w:r>
        <w:rPr>
          <w:b/>
          <w:bCs/>
        </w:rPr>
        <w:t xml:space="preserve">phần bên trái</w:t>
      </w:r>
      <w:r>
        <w:t xml:space="preserve"> </w:t>
      </w:r>
      <w:r>
        <w:t xml:space="preserve">là dữ liệu lịch sử (training),</w:t>
      </w:r>
      <w:r>
        <w:t xml:space="preserve"> </w:t>
      </w:r>
      <w:r>
        <w:rPr>
          <w:b/>
          <w:bCs/>
        </w:rPr>
        <w:t xml:space="preserve">phần bên phải</w:t>
      </w:r>
      <w:r>
        <w:t xml:space="preserve"> </w:t>
      </w:r>
      <w:r>
        <w:t xml:space="preserve">là vùng forecast 30 phiên với đường dự báo (line) và dải prediction interval (vùng màu). Cần đọc biểu đồ ở phần cuối chuỗi: đường forecast cho thấy ETS Damped dự báo xu hướng tắt dần (không ngoại suy trend vô hạn), và dải prediction interval mở rộng dần theo horizon — phản ánh mức độ bất định tăng theo thời gian dự báo. Lưu ý rằng dải interval chỉ mô tả bất định</w:t>
      </w:r>
      <w:r>
        <w:t xml:space="preserve"> </w:t>
      </w:r>
      <w:r>
        <w:rPr>
          <w:b/>
          <w:bCs/>
        </w:rPr>
        <w:t xml:space="preserve">theo giả định của model</w:t>
      </w:r>
      <w:r>
        <w:t xml:space="preserve">, không phải cam kết giá tương lai chắc chắn nằm trong khoảng.</w:t>
      </w:r>
    </w:p>
    <w:p>
      <w:pPr>
        <w:pStyle w:val="CaptionedFigure"/>
      </w:pPr>
      <w:r>
        <w:drawing>
          <wp:inline>
            <wp:extent cx="5067300" cy="3167062"/>
            <wp:effectExtent b="0" l="0" r="0" t="0"/>
            <wp:docPr descr="Residual diagnostics của ETS Damped" title="" id="56" name="Picture"/>
            <a:graphic>
              <a:graphicData uri="http://schemas.openxmlformats.org/drawingml/2006/picture">
                <pic:pic>
                  <pic:nvPicPr>
                    <pic:cNvPr descr="report_files/84c5bd146dcebd1b4976bdd2bd2d2bddddc7dce4.png" id="57" name="Picture"/>
                    <pic:cNvPicPr>
                      <a:picLocks noChangeArrowheads="1" noChangeAspect="1"/>
                    </pic:cNvPicPr>
                  </pic:nvPicPr>
                  <pic:blipFill>
                    <a:blip r:embed="rId55"/>
                    <a:stretch>
                      <a:fillRect/>
                    </a:stretch>
                  </pic:blipFill>
                  <pic:spPr bwMode="auto">
                    <a:xfrm>
                      <a:off x="0" y="0"/>
                      <a:ext cx="5067300" cy="3167062"/>
                    </a:xfrm>
                    <a:prstGeom prst="rect">
                      <a:avLst/>
                    </a:prstGeom>
                    <a:noFill/>
                    <a:ln w="9525">
                      <a:noFill/>
                      <a:headEnd/>
                      <a:tailEnd/>
                    </a:ln>
                  </pic:spPr>
                </pic:pic>
              </a:graphicData>
            </a:graphic>
          </wp:inline>
        </w:drawing>
      </w:r>
    </w:p>
    <w:p>
      <w:pPr>
        <w:pStyle w:val="ImageCaption"/>
      </w:pPr>
      <w:r>
        <w:t xml:space="preserve">Residual diagnostics của ETS Damped</w:t>
      </w:r>
    </w:p>
    <w:bookmarkEnd w:id="58"/>
    <w:bookmarkStart w:id="59" w:name="kết-luận-phần-forecast"/>
    <w:p>
      <w:pPr>
        <w:pStyle w:val="Heading2"/>
      </w:pPr>
      <w:r>
        <w:rPr>
          <w:rStyle w:val="SectionNumber"/>
        </w:rPr>
        <w:t xml:space="preserve">4.5</w:t>
      </w:r>
      <w:r>
        <w:tab/>
      </w:r>
      <w:r>
        <w:t xml:space="preserve">Kết luận phần forecast</w:t>
      </w:r>
    </w:p>
    <w:p>
      <w:pPr>
        <w:pStyle w:val="FirstParagraph"/>
      </w:pPr>
      <w:r>
        <w:t xml:space="preserve">ETS Damped là holdout leader theo RMSE nhưng mức cải thiện so với Naive rất nhỏ; Naive dẫn rolling CV; mọi fitted model còn residual autocorrelation. Vì vậy báo cáo không chỉ định một model thắng chung cuộc và không dùng forecast này làm tín hiệu mua/bán. Kết quả phù hợp với nhận định thận trọng rằng mức giá khó dự báo ổn định trong protocol hiện tại, nhưng không chứng minh mọi giá tài chính luôn tuân theo random walk.</w:t>
      </w:r>
    </w:p>
    <w:bookmarkEnd w:id="59"/>
    <w:bookmarkEnd w:id="60"/>
    <w:bookmarkStart w:id="76" w:name="mô-hình-hóa-conditional-volatility"/>
    <w:p>
      <w:pPr>
        <w:pStyle w:val="Heading1"/>
      </w:pPr>
      <w:r>
        <w:rPr>
          <w:rStyle w:val="SectionNumber"/>
        </w:rPr>
        <w:t xml:space="preserve">5</w:t>
      </w:r>
      <w:r>
        <w:tab/>
      </w:r>
      <w:r>
        <w:t xml:space="preserve">Mô hình hóa conditional volatility</w:t>
      </w:r>
    </w:p>
    <w:bookmarkStart w:id="61" w:name="động-cơ-và-phương-trình"/>
    <w:p>
      <w:pPr>
        <w:pStyle w:val="Heading2"/>
      </w:pPr>
      <w:r>
        <w:rPr>
          <w:rStyle w:val="SectionNumber"/>
        </w:rPr>
        <w:t xml:space="preserve">5.1</w:t>
      </w:r>
      <w:r>
        <w:tab/>
      </w:r>
      <w:r>
        <w:t xml:space="preserve">Động cơ và phương trình</w:t>
      </w:r>
    </w:p>
    <w:p>
      <w:pPr>
        <w:pStyle w:val="FirstParagraph"/>
      </w:pPr>
      <w:r>
        <w:t xml:space="preserve">Trước khi fit GARCH, cần kiểm tra liệu return có thực sự cần mô hình phương sai có điều kiện hay không.</w:t>
      </w:r>
      <w:r>
        <w:t xml:space="preserve"> </w:t>
      </w:r>
      <w:r>
        <w:rPr>
          <w:b/>
          <w:bCs/>
        </w:rPr>
        <w:t xml:space="preserve">Kiểm định ARCH-LM</w:t>
      </w:r>
      <w:r>
        <w:t xml:space="preserve"> </w:t>
      </w:r>
      <w:r>
        <w:t xml:space="preserve">(Engle, 1982) làm điều này bằng cách hồi quy bình phương residual lên các lag của chính nó:</w:t>
      </w:r>
    </w:p>
    <w:p>
      <w:pPr>
        <w:pStyle w:val="Compact"/>
        <w:numPr>
          <w:ilvl w:val="0"/>
          <w:numId w:val="1008"/>
        </w:numPr>
      </w:pPr>
      <w:r>
        <w:rPr>
          <w:b/>
          <w:bCs/>
        </w:rPr>
        <w:t xml:space="preserve">H0:</w:t>
      </w:r>
      <w:r>
        <w:t xml:space="preserve"> </w:t>
      </w:r>
      <w:r>
        <w:t xml:space="preserve">Không có ARCH effect (phương sai không thay đổi theo thời gian).</w:t>
      </w:r>
    </w:p>
    <w:p>
      <w:pPr>
        <w:pStyle w:val="Compact"/>
        <w:numPr>
          <w:ilvl w:val="0"/>
          <w:numId w:val="1008"/>
        </w:numPr>
      </w:pPr>
      <w:r>
        <w:rPr>
          <w:b/>
          <w:bCs/>
        </w:rPr>
        <w:t xml:space="preserve">H1:</w:t>
      </w:r>
      <w:r>
        <w:t xml:space="preserve"> </w:t>
      </w:r>
      <w:r>
        <w:t xml:space="preserve">Có ARCH effect (phương sai phụ thuộc vào các shock quá khứ).</w:t>
      </w:r>
    </w:p>
    <w:p>
      <w:pPr>
        <w:pStyle w:val="FirstParagraph"/>
      </w:pPr>
      <w:r>
        <w:t xml:space="preserve">Kết quả: ARCH-LM trên raw return có p-value = 1.09e-38. Vì p-value rất nhỏ (&lt; 0,05), bác bỏ H0 — xác nhận rằng return FPT có ARCH effect và việc sử dụng conditional variance model là có căn cứ.</w:t>
      </w:r>
    </w:p>
    <w:p>
      <w:pPr>
        <w:pStyle w:val="BodyText"/>
      </w:pPr>
      <w:r>
        <w:t xml:space="preserve">Mean và innovation equations là:</w:t>
      </w:r>
    </w:p>
    <w:p>
      <w:pPr>
        <w:pStyle w:val="BodyText"/>
      </w:pPr>
      <m:oMathPara>
        <m:oMathParaPr>
          <m:jc m:val="center"/>
        </m:oMathParaPr>
        <m:oMath>
          <m:sSub>
            <m:e>
              <m:r>
                <m:t>r</m:t>
              </m:r>
            </m:e>
            <m:sub>
              <m:r>
                <m:t>t</m:t>
              </m:r>
            </m:sub>
          </m:sSub>
          <m:r>
            <m:rPr>
              <m:sty m:val="p"/>
            </m:rPr>
            <m:t>=</m:t>
          </m:r>
          <m:r>
            <m:t>μ</m:t>
          </m:r>
          <m:r>
            <m:rPr>
              <m:sty m:val="p"/>
            </m:rPr>
            <m:t>+</m:t>
          </m:r>
          <m:sSub>
            <m:e>
              <m:r>
                <m:t>ϵ</m:t>
              </m:r>
            </m:e>
            <m:sub>
              <m:r>
                <m:t>t</m:t>
              </m:r>
            </m:sub>
          </m:sSub>
          <m:r>
            <m:rPr>
              <m:sty m:val="p"/>
            </m:rPr>
            <m:t>,</m:t>
          </m:r>
          <m:r>
            <m:t>  </m:t>
          </m:r>
          <m:sSub>
            <m:e>
              <m:r>
                <m:t>ϵ</m:t>
              </m:r>
            </m:e>
            <m:sub>
              <m:r>
                <m:t>t</m:t>
              </m:r>
            </m:sub>
          </m:sSub>
          <m:r>
            <m:rPr>
              <m:sty m:val="p"/>
            </m:rPr>
            <m:t>=</m:t>
          </m:r>
          <m:sSub>
            <m:e>
              <m:r>
                <m:t>σ</m:t>
              </m:r>
            </m:e>
            <m:sub>
              <m:r>
                <m:t>t</m:t>
              </m:r>
            </m:sub>
          </m:sSub>
          <m:sSub>
            <m:e>
              <m:r>
                <m:t>z</m:t>
              </m:r>
            </m:e>
            <m:sub>
              <m:r>
                <m:t>t</m:t>
              </m:r>
            </m:sub>
          </m:sSub>
          <m:r>
            <m:rPr>
              <m:sty m:val="p"/>
            </m:rPr>
            <m:t>.</m:t>
          </m:r>
        </m:oMath>
      </m:oMathPara>
    </w:p>
    <w:p>
      <w:pPr>
        <w:pStyle w:val="FirstParagraph"/>
      </w:pPr>
      <w:r>
        <w:t xml:space="preserve">Trong đó</w:t>
      </w:r>
      <w:r>
        <w:t xml:space="preserve"> </w:t>
      </w:r>
      <m:oMath>
        <m:r>
          <m:t>μ</m:t>
        </m:r>
      </m:oMath>
      <w:r>
        <w:t xml:space="preserve"> </w:t>
      </w:r>
      <w:r>
        <w:t xml:space="preserve">là conditional mean của return,</w:t>
      </w:r>
      <w:r>
        <w:t xml:space="preserve"> </w:t>
      </w:r>
      <m:oMath>
        <m:sSub>
          <m:e>
            <m:r>
              <m:t>ϵ</m:t>
            </m:r>
          </m:e>
          <m:sub>
            <m:r>
              <m:t>t</m:t>
            </m:r>
          </m:sub>
        </m:sSub>
      </m:oMath>
      <w:r>
        <w:t xml:space="preserve"> </w:t>
      </w:r>
      <w:r>
        <w:t xml:space="preserve">là phần shock (chênh lệch giữa return thực tế và conditional mean),</w:t>
      </w:r>
      <w:r>
        <w:t xml:space="preserve"> </w:t>
      </w:r>
      <m:oMath>
        <m:sSub>
          <m:e>
            <m:r>
              <m:t>σ</m:t>
            </m:r>
          </m:e>
          <m:sub>
            <m:r>
              <m:t>t</m:t>
            </m:r>
          </m:sub>
        </m:sSub>
      </m:oMath>
      <w:r>
        <w:t xml:space="preserve"> </w:t>
      </w:r>
      <w:r>
        <w:t xml:space="preserve">là conditional standard deviation, và</w:t>
      </w:r>
      <w:r>
        <w:t xml:space="preserve"> </w:t>
      </w:r>
      <m:oMath>
        <m:sSub>
          <m:e>
            <m:r>
              <m:t>z</m:t>
            </m:r>
          </m:e>
          <m:sub>
            <m:r>
              <m:t>t</m:t>
            </m:r>
          </m:sub>
        </m:sSub>
      </m:oMath>
      <w:r>
        <w:t xml:space="preserve"> </w:t>
      </w:r>
      <w:r>
        <w:t xml:space="preserve">là standardized innovation (có mean 0, variance 1). Baseline sGARCH(1,1) mô hình hóa phương sai có điều kiện như sau:</w:t>
      </w:r>
    </w:p>
    <w:p>
      <w:pPr>
        <w:pStyle w:val="BodyText"/>
      </w:pPr>
      <m:oMathPara>
        <m:oMathParaPr>
          <m:jc m:val="center"/>
        </m:oMathParaPr>
        <m:oMath>
          <m:sSubSup>
            <m:e>
              <m:r>
                <m:t>σ</m:t>
              </m:r>
            </m:e>
            <m:sub>
              <m:r>
                <m:t>t</m:t>
              </m:r>
            </m:sub>
            <m:sup>
              <m:r>
                <m:t>2</m:t>
              </m:r>
            </m:sup>
          </m:sSubSup>
          <m:r>
            <m:rPr>
              <m:sty m:val="p"/>
            </m:rPr>
            <m:t>=</m:t>
          </m:r>
          <m:r>
            <m:t>ω</m:t>
          </m:r>
          <m:r>
            <m:rPr>
              <m:sty m:val="p"/>
            </m:rPr>
            <m:t>+</m:t>
          </m:r>
          <m:sSub>
            <m:e>
              <m:r>
                <m:t>α</m:t>
              </m:r>
            </m:e>
            <m:sub>
              <m:r>
                <m:t>1</m:t>
              </m:r>
            </m:sub>
          </m:sSub>
          <m:sSubSup>
            <m:e>
              <m:r>
                <m:t>ϵ</m:t>
              </m:r>
            </m:e>
            <m:sub>
              <m:r>
                <m:t>t</m:t>
              </m:r>
              <m:r>
                <m:rPr>
                  <m:sty m:val="p"/>
                </m:rPr>
                <m:t>−</m:t>
              </m:r>
              <m:r>
                <m:t>1</m:t>
              </m:r>
            </m:sub>
            <m:sup>
              <m:r>
                <m:t>2</m:t>
              </m:r>
            </m:sup>
          </m:sSubSup>
          <m:r>
            <m:rPr>
              <m:sty m:val="p"/>
            </m:rPr>
            <m:t>+</m:t>
          </m:r>
          <m:sSub>
            <m:e>
              <m:r>
                <m:t>β</m:t>
              </m:r>
            </m:e>
            <m:sub>
              <m:r>
                <m:t>1</m:t>
              </m:r>
            </m:sub>
          </m:sSub>
          <m:sSubSup>
            <m:e>
              <m:r>
                <m:t>σ</m:t>
              </m:r>
            </m:e>
            <m:sub>
              <m:r>
                <m:t>t</m:t>
              </m:r>
              <m:r>
                <m:rPr>
                  <m:sty m:val="p"/>
                </m:rPr>
                <m:t>−</m:t>
              </m:r>
              <m:r>
                <m:t>1</m:t>
              </m:r>
            </m:sub>
            <m:sup>
              <m:r>
                <m:t>2</m:t>
              </m:r>
            </m:sup>
          </m:sSubSup>
          <m:r>
            <m:rPr>
              <m:sty m:val="p"/>
            </m:rPr>
            <m:t>.</m:t>
          </m:r>
        </m:oMath>
      </m:oMathPara>
    </w:p>
    <w:p>
      <w:pPr>
        <w:pStyle w:val="FirstParagraph"/>
      </w:pPr>
      <w:r>
        <w:t xml:space="preserve">Công thức này có ba thành phần:</w:t>
      </w:r>
      <w:r>
        <w:t xml:space="preserve"> </w:t>
      </w:r>
      <m:oMath>
        <m:r>
          <m:t>ω</m:t>
        </m:r>
      </m:oMath>
      <w:r>
        <w:t xml:space="preserve"> </w:t>
      </w:r>
      <w:r>
        <w:t xml:space="preserve">là hằng số (mức variance nền),</w:t>
      </w:r>
      <w:r>
        <w:t xml:space="preserve"> </w:t>
      </w:r>
      <m:oMath>
        <m:sSub>
          <m:e>
            <m:r>
              <m:t>α</m:t>
            </m:r>
          </m:e>
          <m:sub>
            <m:r>
              <m:t>1</m:t>
            </m:r>
          </m:sub>
        </m:sSub>
        <m:sSubSup>
          <m:e>
            <m:r>
              <m:t>ϵ</m:t>
            </m:r>
          </m:e>
          <m:sub>
            <m:r>
              <m:t>t</m:t>
            </m:r>
            <m:r>
              <m:rPr>
                <m:sty m:val="p"/>
              </m:rPr>
              <m:t>−</m:t>
            </m:r>
            <m:r>
              <m:t>1</m:t>
            </m:r>
          </m:sub>
          <m:sup>
            <m:r>
              <m:t>2</m:t>
            </m:r>
          </m:sup>
        </m:sSubSup>
      </m:oMath>
      <w:r>
        <w:t xml:space="preserve"> </w:t>
      </w:r>
      <w:r>
        <w:t xml:space="preserve">đo phản ứng của phương sai với shock mới nhất (nếu</w:t>
      </w:r>
      <w:r>
        <w:t xml:space="preserve"> </w:t>
      </w:r>
      <m:oMath>
        <m:sSub>
          <m:e>
            <m:r>
              <m:t>α</m:t>
            </m:r>
          </m:e>
          <m:sub>
            <m:r>
              <m:t>1</m:t>
            </m:r>
          </m:sub>
        </m:sSub>
      </m:oMath>
      <w:r>
        <w:t xml:space="preserve"> </w:t>
      </w:r>
      <w:r>
        <w:t xml:space="preserve">lớn, một ngày biến động mạnh sẽ làm tăng nhanh phương sai hôm sau), và</w:t>
      </w:r>
      <w:r>
        <w:t xml:space="preserve"> </w:t>
      </w:r>
      <m:oMath>
        <m:sSub>
          <m:e>
            <m:r>
              <m:t>β</m:t>
            </m:r>
          </m:e>
          <m:sub>
            <m:r>
              <m:t>1</m:t>
            </m:r>
          </m:sub>
        </m:sSub>
        <m:sSubSup>
          <m:e>
            <m:r>
              <m:t>σ</m:t>
            </m:r>
          </m:e>
          <m:sub>
            <m:r>
              <m:t>t</m:t>
            </m:r>
            <m:r>
              <m:rPr>
                <m:sty m:val="p"/>
              </m:rPr>
              <m:t>−</m:t>
            </m:r>
            <m:r>
              <m:t>1</m:t>
            </m:r>
          </m:sub>
          <m:sup>
            <m:r>
              <m:t>2</m:t>
            </m:r>
          </m:sup>
        </m:sSubSup>
      </m:oMath>
      <w:r>
        <w:t xml:space="preserve"> </w:t>
      </w:r>
      <w:r>
        <w:t xml:space="preserve">đo</w:t>
      </w:r>
      <w:r>
        <w:t xml:space="preserve"> </w:t>
      </w:r>
      <w:r>
        <w:t xml:space="preserve">“bộ nhớ”</w:t>
      </w:r>
      <w:r>
        <w:t xml:space="preserve"> </w:t>
      </w:r>
      <w:r>
        <w:t xml:space="preserve">của variance quá khứ (nếu</w:t>
      </w:r>
      <w:r>
        <w:t xml:space="preserve"> </w:t>
      </w:r>
      <m:oMath>
        <m:sSub>
          <m:e>
            <m:r>
              <m:t>β</m:t>
            </m:r>
          </m:e>
          <m:sub>
            <m:r>
              <m:t>1</m:t>
            </m:r>
          </m:sub>
        </m:sSub>
      </m:oMath>
      <w:r>
        <w:t xml:space="preserve"> </w:t>
      </w:r>
      <w:r>
        <w:t xml:space="preserve">lớn, phương sai cao sẽ duy trì lâu). Tổng</w:t>
      </w:r>
      <w:r>
        <w:t xml:space="preserve"> </w:t>
      </w:r>
      <m:oMath>
        <m:sSub>
          <m:e>
            <m:r>
              <m:t>α</m:t>
            </m:r>
          </m:e>
          <m:sub>
            <m:r>
              <m:t>1</m:t>
            </m:r>
          </m:sub>
        </m:sSub>
        <m:r>
          <m:rPr>
            <m:sty m:val="p"/>
          </m:rPr>
          <m:t>+</m:t>
        </m:r>
        <m:sSub>
          <m:e>
            <m:r>
              <m:t>β</m:t>
            </m:r>
          </m:e>
          <m:sub>
            <m:r>
              <m:t>1</m:t>
            </m:r>
          </m:sub>
        </m:sSub>
      </m:oMath>
      <w:r>
        <w:t xml:space="preserve"> </w:t>
      </w:r>
      <w:r>
        <w:t xml:space="preserve">gần 1 nghĩa là volatility rất persistent. Lưu ý: công thức này chỉ áp dụng cho sGARCH; eGARCH và GJR-GARCH có parameterization riêng và không cộng</w:t>
      </w:r>
      <w:r>
        <w:t xml:space="preserve"> </w:t>
      </w:r>
      <m:oMath>
        <m:r>
          <m:t>α</m:t>
        </m:r>
        <m:r>
          <m:rPr>
            <m:sty m:val="p"/>
          </m:rPr>
          <m:t>+</m:t>
        </m:r>
        <m:r>
          <m:t>β</m:t>
        </m:r>
      </m:oMath>
      <w:r>
        <w:t xml:space="preserve"> </w:t>
      </w:r>
      <w:r>
        <w:t xml:space="preserve">theo cách tương tự.</w:t>
      </w:r>
    </w:p>
    <w:bookmarkEnd w:id="61"/>
    <w:bookmarkStart w:id="62" w:name="specification-được-so-sánh"/>
    <w:p>
      <w:pPr>
        <w:pStyle w:val="Heading2"/>
      </w:pPr>
      <w:r>
        <w:rPr>
          <w:rStyle w:val="SectionNumber"/>
        </w:rPr>
        <w:t xml:space="preserve">5.2</w:t>
      </w:r>
      <w:r>
        <w:tab/>
      </w:r>
      <w:r>
        <w:t xml:space="preserve">Specification được so sánh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Distribution</w:t>
            </w:r>
          </w:p>
        </w:tc>
        <w:tc>
          <w:tcPr/>
          <w:p>
            <w:pPr>
              <w:pStyle w:val="Compact"/>
            </w:pPr>
            <w:r>
              <w:t xml:space="preserve">Vai trò</w:t>
            </w:r>
          </w:p>
        </w:tc>
        <w:tc>
          <w:tcPr/>
          <w:p>
            <w:pPr>
              <w:pStyle w:val="Compact"/>
            </w:pPr>
            <w:r>
              <w:t xml:space="preserve">Giải thích</w:t>
            </w:r>
          </w:p>
        </w:tc>
      </w:tr>
      <w:tr>
        <w:tc>
          <w:tcPr/>
          <w:p>
            <w:pPr>
              <w:pStyle w:val="Compact"/>
            </w:pPr>
            <w:r>
              <w:t xml:space="preserve">sGARCH(1,1)</w:t>
            </w:r>
          </w:p>
        </w:tc>
        <w:tc>
          <w:tcPr/>
          <w:p>
            <w:pPr>
              <w:pStyle w:val="Compact"/>
            </w:pPr>
            <w:r>
              <w:t xml:space="preserve">Normal</w:t>
            </w:r>
          </w:p>
        </w:tc>
        <w:tc>
          <w:tcPr/>
          <w:p>
            <w:pPr>
              <w:pStyle w:val="Compact"/>
            </w:pPr>
            <w:r>
              <w:t xml:space="preserve">Baseline đối xứng</w:t>
            </w:r>
          </w:p>
        </w:tc>
        <w:tc>
          <w:tcPr/>
          <w:p>
            <w:pPr>
              <w:pStyle w:val="Compact"/>
            </w:pPr>
            <w:r>
              <w:t xml:space="preserve">Mô hình cơ bản nhất; giả định shock dương và âm ảnh hưởng như nhau, innovation tuân theo Normal</w:t>
            </w:r>
          </w:p>
        </w:tc>
      </w:tr>
      <w:tr>
        <w:tc>
          <w:tcPr/>
          <w:p>
            <w:pPr>
              <w:pStyle w:val="Compact"/>
            </w:pPr>
            <w:r>
              <w:t xml:space="preserve">sGARCH(1,1)</w:t>
            </w:r>
          </w:p>
        </w:tc>
        <w:tc>
          <w:tcPr/>
          <w:p>
            <w:pPr>
              <w:pStyle w:val="Compact"/>
            </w:pPr>
            <w:r>
              <w:t xml:space="preserve">Student-t</w:t>
            </w:r>
          </w:p>
        </w:tc>
        <w:tc>
          <w:tcPr/>
          <w:p>
            <w:pPr>
              <w:pStyle w:val="Compact"/>
            </w:pPr>
            <w:r>
              <w:t xml:space="preserve">Kiểm tra heavy tails</w:t>
            </w:r>
          </w:p>
        </w:tc>
        <w:tc>
          <w:tcPr/>
          <w:p>
            <w:pPr>
              <w:pStyle w:val="Compact"/>
            </w:pPr>
            <w:r>
              <w:t xml:space="preserve">Giữ cấu trúc sGARCH nhưng thay Normal bằng Student-t để xem heavy tails có cải thiện fit không</w:t>
            </w:r>
          </w:p>
        </w:tc>
      </w:tr>
      <w:tr>
        <w:tc>
          <w:tcPr/>
          <w:p>
            <w:pPr>
              <w:pStyle w:val="Compact"/>
            </w:pPr>
            <w:r>
              <w:t xml:space="preserve">eGARCH(1,1)</w:t>
            </w:r>
          </w:p>
        </w:tc>
        <w:tc>
          <w:tcPr/>
          <w:p>
            <w:pPr>
              <w:pStyle w:val="Compact"/>
            </w:pPr>
            <w:r>
              <w:t xml:space="preserve">Student-t</w:t>
            </w:r>
          </w:p>
        </w:tc>
        <w:tc>
          <w:tcPr/>
          <w:p>
            <w:pPr>
              <w:pStyle w:val="Compact"/>
            </w:pPr>
            <w:r>
              <w:t xml:space="preserve">Log variance và asymmetry</w:t>
            </w:r>
          </w:p>
        </w:tc>
        <w:tc>
          <w:tcPr/>
          <w:p>
            <w:pPr>
              <w:pStyle w:val="Compact"/>
            </w:pPr>
            <w:r>
              <w:t xml:space="preserve">Mô hình hóa</w:t>
            </w:r>
            <w:r>
              <w:t xml:space="preserve"> </w:t>
            </w:r>
            <m:oMath>
              <m:r>
                <m:rPr>
                  <m:sty m:val="p"/>
                </m:rPr>
                <m:t>log</m:t>
              </m:r>
              <m:r>
                <m:rPr>
                  <m:sty m:val="p"/>
                </m:rPr>
                <m:t>(</m:t>
              </m:r>
              <m:sSubSup>
                <m:e>
                  <m:r>
                    <m:t>σ</m:t>
                  </m:r>
                </m:e>
                <m:sub>
                  <m:r>
                    <m:t>t</m:t>
                  </m:r>
                </m:sub>
                <m:sup>
                  <m:r>
                    <m:t>2</m:t>
                  </m:r>
                </m:sup>
              </m:sSubSup>
              <m:r>
                <m:rPr>
                  <m:sty m:val="p"/>
                </m:rPr>
                <m:t>)</m:t>
              </m:r>
            </m:oMath>
            <w:r>
              <w:t xml:space="preserve"> </w:t>
            </w:r>
            <w:r>
              <w:t xml:space="preserve">thay vì</w:t>
            </w:r>
            <w:r>
              <w:t xml:space="preserve"> </w:t>
            </w:r>
            <m:oMath>
              <m:sSubSup>
                <m:e>
                  <m:r>
                    <m:t>σ</m:t>
                  </m:r>
                </m:e>
                <m:sub>
                  <m:r>
                    <m:t>t</m:t>
                  </m:r>
                </m:sub>
                <m:sup>
                  <m:r>
                    <m:t>2</m:t>
                  </m:r>
                </m:sup>
              </m:sSubSup>
            </m:oMath>
            <w:r>
              <w:t xml:space="preserve">, cho phép shock âm và dương tác động khác nhau lên volatility</w:t>
            </w:r>
          </w:p>
        </w:tc>
      </w:tr>
      <w:tr>
        <w:tc>
          <w:tcPr/>
          <w:p>
            <w:pPr>
              <w:pStyle w:val="Compact"/>
            </w:pPr>
            <w:r>
              <w:t xml:space="preserve">GJR-GARCH(1,1)</w:t>
            </w:r>
          </w:p>
        </w:tc>
        <w:tc>
          <w:tcPr/>
          <w:p>
            <w:pPr>
              <w:pStyle w:val="Compact"/>
            </w:pPr>
            <w:r>
              <w:t xml:space="preserve">Student-t</w:t>
            </w:r>
          </w:p>
        </w:tc>
        <w:tc>
          <w:tcPr/>
          <w:p>
            <w:pPr>
              <w:pStyle w:val="Compact"/>
            </w:pPr>
            <w:r>
              <w:t xml:space="preserve">Indicator cho shock âm</w:t>
            </w:r>
          </w:p>
        </w:tc>
        <w:tc>
          <w:tcPr/>
          <w:p>
            <w:pPr>
              <w:pStyle w:val="Compact"/>
            </w:pPr>
            <w:r>
              <w:t xml:space="preserve">Thêm biến indicator</w:t>
            </w:r>
            <w:r>
              <w:t xml:space="preserve"> </w:t>
            </w:r>
            <m:oMath>
              <m:r>
                <m:t>I</m:t>
              </m:r>
              <m:r>
                <m:rPr>
                  <m:sty m:val="p"/>
                </m:rPr>
                <m:t>(</m:t>
              </m:r>
              <m:sSub>
                <m:e>
                  <m:r>
                    <m:t>ϵ</m:t>
                  </m:r>
                </m:e>
                <m:sub>
                  <m:r>
                    <m:t>t</m:t>
                  </m:r>
                  <m:r>
                    <m:rPr>
                      <m:sty m:val="p"/>
                    </m:rPr>
                    <m:t>−</m:t>
                  </m:r>
                  <m:r>
                    <m:t>1</m:t>
                  </m:r>
                </m:sub>
              </m:sSub>
              <m:r>
                <m:rPr>
                  <m:sty m:val="p"/>
                </m:rPr>
                <m:t>&lt;</m:t>
              </m:r>
              <m:r>
                <m:t>0</m:t>
              </m:r>
              <m:r>
                <m:rPr>
                  <m:sty m:val="p"/>
                </m:rPr>
                <m:t>)</m:t>
              </m:r>
            </m:oMath>
            <w:r>
              <w:t xml:space="preserve"> </w:t>
            </w:r>
            <w:r>
              <w:t xml:space="preserve">để ước lượng tác động bất đối xứng</w:t>
            </w:r>
          </w:p>
        </w:tc>
      </w:tr>
    </w:tbl>
    <w:p>
      <w:pPr>
        <w:pStyle w:val="BodyText"/>
      </w:pPr>
      <w:r>
        <w:t xml:space="preserve">Cả bốn model dùng cùng 2,786 returns và mean equation ARMA(0,0), nên AIC/BIC có thể so sánh tương đối trên cùng response/sample. Cả bốn optimizer báo convergence bằng 0.</w:t>
      </w:r>
    </w:p>
    <w:bookmarkEnd w:id="62"/>
    <w:bookmarkStart w:id="63" w:name="so-sánh-fit-và-diagnostics"/>
    <w:p>
      <w:pPr>
        <w:pStyle w:val="Heading2"/>
      </w:pPr>
      <w:r>
        <w:rPr>
          <w:rStyle w:val="SectionNumber"/>
        </w:rPr>
        <w:t xml:space="preserve">5.3</w:t>
      </w:r>
      <w:r>
        <w:tab/>
      </w:r>
      <w:r>
        <w:t xml:space="preserve">So sánh fit và diagnostics</w:t>
      </w:r>
    </w:p>
    <w:p>
      <w:pPr>
        <w:pStyle w:val="TableCaption"/>
      </w:pPr>
      <w:r>
        <w:t xml:space="preserve">So sánh GARCH: Core = Ljung-Box + ARCH-LM, Sign = sign-bias, Stable = Nyblom, GOF = Pearson</w:t>
      </w:r>
    </w:p>
    <w:tbl>
      <w:tblPr>
        <w:tblStyle w:val="Table"/>
        <w:tblW w:type="pct" w:w="5000"/>
        <w:tblLayout w:type="fixed"/>
        <w:tblLook w:firstRow="1" w:lastRow="0" w:firstColumn="0" w:lastColumn="0" w:noHBand="0" w:noVBand="0" w:val="0020"/>
        <w:tblCaption w:val="So sánh GARCH: Core = Ljung-Box + ARCH-LM, Sign = sign-bias, Stable = Nyblom, GOF = Pearson"/>
      </w:tblPr>
      <w:tblGrid>
        <w:gridCol w:w="901"/>
        <w:gridCol w:w="426"/>
        <w:gridCol w:w="426"/>
        <w:gridCol w:w="379"/>
        <w:gridCol w:w="426"/>
        <w:gridCol w:w="237"/>
        <w:gridCol w:w="237"/>
        <w:gridCol w:w="331"/>
        <w:gridCol w:w="284"/>
        <w:gridCol w:w="426"/>
        <w:gridCol w:w="3841"/>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right"/>
            </w:pPr>
            <w:r>
              <w:t xml:space="preserve">BIC</w:t>
            </w:r>
          </w:p>
        </w:tc>
        <w:tc>
          <w:tcPr/>
          <w:p>
            <w:pPr>
              <w:pStyle w:val="Compact"/>
              <w:jc w:val="right"/>
            </w:pPr>
            <w:r>
              <w:t xml:space="preserve">ΔAIC</w:t>
            </w:r>
          </w:p>
        </w:tc>
        <w:tc>
          <w:tcPr/>
          <w:p>
            <w:pPr>
              <w:pStyle w:val="Compact"/>
              <w:jc w:val="right"/>
            </w:pPr>
            <w:r>
              <w:t xml:space="preserve">Persist.</w:t>
            </w:r>
          </w:p>
        </w:tc>
        <w:tc>
          <w:tcPr/>
          <w:p>
            <w:pPr>
              <w:pStyle w:val="Compact"/>
              <w:jc w:val="left"/>
            </w:pPr>
            <w:r>
              <w:t xml:space="preserve">Core</w:t>
            </w:r>
          </w:p>
        </w:tc>
        <w:tc>
          <w:tcPr/>
          <w:p>
            <w:pPr>
              <w:pStyle w:val="Compact"/>
              <w:jc w:val="left"/>
            </w:pPr>
            <w:r>
              <w:t xml:space="preserve">Sign</w:t>
            </w:r>
          </w:p>
        </w:tc>
        <w:tc>
          <w:tcPr/>
          <w:p>
            <w:pPr>
              <w:pStyle w:val="Compact"/>
              <w:jc w:val="left"/>
            </w:pPr>
            <w:r>
              <w:t xml:space="preserve">Stable</w:t>
            </w:r>
          </w:p>
        </w:tc>
        <w:tc>
          <w:tcPr/>
          <w:p>
            <w:pPr>
              <w:pStyle w:val="Compact"/>
              <w:jc w:val="left"/>
            </w:pPr>
            <w:r>
              <w:t xml:space="preserve">GOF</w:t>
            </w:r>
          </w:p>
        </w:tc>
        <w:tc>
          <w:tcPr/>
          <w:p>
            <w:pPr>
              <w:pStyle w:val="Compact"/>
              <w:jc w:val="left"/>
            </w:pPr>
            <w:r>
              <w:t xml:space="preserve">Ứng viên</w:t>
            </w:r>
          </w:p>
        </w:tc>
        <w:tc>
          <w:tcPr/>
          <w:p>
            <w:pPr>
              <w:pStyle w:val="Compact"/>
              <w:jc w:val="left"/>
            </w:pPr>
            <w:r>
              <w:t xml:space="preserve">Đánh giá</w:t>
            </w:r>
          </w:p>
        </w:tc>
      </w:tr>
      <w:tr>
        <w:tc>
          <w:tcPr/>
          <w:p>
            <w:pPr>
              <w:pStyle w:val="Compact"/>
              <w:jc w:val="left"/>
            </w:pPr>
            <w:r>
              <w:t xml:space="preserve">gjrGARCH-Student-t</w:t>
            </w:r>
          </w:p>
        </w:tc>
        <w:tc>
          <w:tcPr/>
          <w:p>
            <w:pPr>
              <w:pStyle w:val="Compact"/>
              <w:jc w:val="right"/>
            </w:pPr>
            <w:r>
              <w:t xml:space="preserve">-5.63443</w:t>
            </w:r>
          </w:p>
        </w:tc>
        <w:tc>
          <w:tcPr/>
          <w:p>
            <w:pPr>
              <w:pStyle w:val="Compact"/>
              <w:jc w:val="right"/>
            </w:pPr>
            <w:r>
              <w:t xml:space="preserve">-5.62165</w:t>
            </w:r>
          </w:p>
        </w:tc>
        <w:tc>
          <w:tcPr/>
          <w:p>
            <w:pPr>
              <w:pStyle w:val="Compact"/>
              <w:jc w:val="right"/>
            </w:pPr>
            <w:r>
              <w:t xml:space="preserve">0.00000</w:t>
            </w:r>
          </w:p>
        </w:tc>
        <w:tc>
          <w:tcPr/>
          <w:p>
            <w:pPr>
              <w:pStyle w:val="Compact"/>
              <w:jc w:val="right"/>
            </w:pPr>
            <w:r>
              <w:t xml:space="preserve">0.98574</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r>
        <w:tc>
          <w:tcPr/>
          <w:p>
            <w:pPr>
              <w:pStyle w:val="Compact"/>
              <w:jc w:val="left"/>
            </w:pPr>
            <w:r>
              <w:t xml:space="preserve">eGARCH-Student-t</w:t>
            </w:r>
          </w:p>
        </w:tc>
        <w:tc>
          <w:tcPr/>
          <w:p>
            <w:pPr>
              <w:pStyle w:val="Compact"/>
              <w:jc w:val="right"/>
            </w:pPr>
            <w:r>
              <w:t xml:space="preserve">-5.63306</w:t>
            </w:r>
          </w:p>
        </w:tc>
        <w:tc>
          <w:tcPr/>
          <w:p>
            <w:pPr>
              <w:pStyle w:val="Compact"/>
              <w:jc w:val="right"/>
            </w:pPr>
            <w:r>
              <w:t xml:space="preserve">-5.62028</w:t>
            </w:r>
          </w:p>
        </w:tc>
        <w:tc>
          <w:tcPr/>
          <w:p>
            <w:pPr>
              <w:pStyle w:val="Compact"/>
              <w:jc w:val="right"/>
            </w:pPr>
            <w:r>
              <w:t xml:space="preserve">0.00137</w:t>
            </w:r>
          </w:p>
        </w:tc>
        <w:tc>
          <w:tcPr/>
          <w:p>
            <w:pPr>
              <w:pStyle w:val="Compact"/>
              <w:jc w:val="right"/>
            </w:pPr>
            <w:r>
              <w:t xml:space="preserve">0.96267</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TRUE</w:t>
            </w:r>
          </w:p>
        </w:tc>
        <w:tc>
          <w:tcPr/>
          <w:p>
            <w:pPr>
              <w:pStyle w:val="Compact"/>
              <w:jc w:val="left"/>
            </w:pPr>
            <w:r>
              <w:t xml:space="preserve">Core diagnostics and joint stability pass; distribution GOF remains a limitation</w:t>
            </w:r>
          </w:p>
        </w:tc>
      </w:tr>
      <w:tr>
        <w:tc>
          <w:tcPr/>
          <w:p>
            <w:pPr>
              <w:pStyle w:val="Compact"/>
              <w:jc w:val="left"/>
            </w:pPr>
            <w:r>
              <w:t xml:space="preserve">sGARCH-Student-t</w:t>
            </w:r>
          </w:p>
        </w:tc>
        <w:tc>
          <w:tcPr/>
          <w:p>
            <w:pPr>
              <w:pStyle w:val="Compact"/>
              <w:jc w:val="right"/>
            </w:pPr>
            <w:r>
              <w:t xml:space="preserve">-5.63173</w:t>
            </w:r>
          </w:p>
        </w:tc>
        <w:tc>
          <w:tcPr/>
          <w:p>
            <w:pPr>
              <w:pStyle w:val="Compact"/>
              <w:jc w:val="right"/>
            </w:pPr>
            <w:r>
              <w:t xml:space="preserve">-5.62109</w:t>
            </w:r>
          </w:p>
        </w:tc>
        <w:tc>
          <w:tcPr/>
          <w:p>
            <w:pPr>
              <w:pStyle w:val="Compact"/>
              <w:jc w:val="right"/>
            </w:pPr>
            <w:r>
              <w:t xml:space="preserve">0.00269</w:t>
            </w:r>
          </w:p>
        </w:tc>
        <w:tc>
          <w:tcPr/>
          <w:p>
            <w:pPr>
              <w:pStyle w:val="Compact"/>
              <w:jc w:val="right"/>
            </w:pPr>
            <w:r>
              <w:t xml:space="preserve">0.98914</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r>
        <w:tc>
          <w:tcPr/>
          <w:p>
            <w:pPr>
              <w:pStyle w:val="Compact"/>
              <w:jc w:val="left"/>
            </w:pPr>
            <w:r>
              <w:t xml:space="preserve">sGARCH-Normal</w:t>
            </w:r>
          </w:p>
        </w:tc>
        <w:tc>
          <w:tcPr/>
          <w:p>
            <w:pPr>
              <w:pStyle w:val="Compact"/>
              <w:jc w:val="right"/>
            </w:pPr>
            <w:r>
              <w:t xml:space="preserve">-5.50730</w:t>
            </w:r>
          </w:p>
        </w:tc>
        <w:tc>
          <w:tcPr/>
          <w:p>
            <w:pPr>
              <w:pStyle w:val="Compact"/>
              <w:jc w:val="right"/>
            </w:pPr>
            <w:r>
              <w:t xml:space="preserve">-5.49878</w:t>
            </w:r>
          </w:p>
        </w:tc>
        <w:tc>
          <w:tcPr/>
          <w:p>
            <w:pPr>
              <w:pStyle w:val="Compact"/>
              <w:jc w:val="right"/>
            </w:pPr>
            <w:r>
              <w:t xml:space="preserve">0.12713</w:t>
            </w:r>
          </w:p>
        </w:tc>
        <w:tc>
          <w:tcPr/>
          <w:p>
            <w:pPr>
              <w:pStyle w:val="Compact"/>
              <w:jc w:val="right"/>
            </w:pPr>
            <w:r>
              <w:t xml:space="preserve">0.96451</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bl>
    <w:p>
      <w:pPr>
        <w:pStyle w:val="BodyText"/>
      </w:pPr>
      <w:r>
        <w:t xml:space="preserve">Đọc bảng so sánh theo hai nhóm:</w:t>
      </w:r>
    </w:p>
    <w:p>
      <w:pPr>
        <w:pStyle w:val="Compact"/>
        <w:numPr>
          <w:ilvl w:val="0"/>
          <w:numId w:val="1009"/>
        </w:numPr>
      </w:pPr>
      <w:r>
        <w:rPr>
          <w:b/>
          <w:bCs/>
        </w:rPr>
        <w:t xml:space="preserve">Fit (cột AIC, BIC, ΔAIC):</w:t>
      </w:r>
      <w:r>
        <w:t xml:space="preserve"> </w:t>
      </w:r>
      <w:r>
        <w:t xml:space="preserve">AIC và BIC càng nhỏ càng tốt. So sánh cột AIC: Student-t cải thiện AIC rõ rệt so với sGARCH-Normal, xác nhận rằng heavy tails quan sát trong EDA là có ý nghĩa. GJR-GARCH-Student-t có AIC thấp nhất, nhưng cột</w:t>
      </w:r>
      <w:r>
        <w:t xml:space="preserve"> </w:t>
      </w:r>
      <w:r>
        <w:rPr>
          <w:b/>
          <w:bCs/>
        </w:rPr>
        <w:t xml:space="preserve">Stable = FALSE</w:t>
      </w:r>
      <w:r>
        <w:t xml:space="preserve"> </w:t>
      </w:r>
      <w:r>
        <w:t xml:space="preserve">cho thấy Nyblom bác bỏ parameter stability. eGARCH-Student-t chỉ kém GJR 0.00137 AIC (đọc cột ΔAIC) — chênh lệch rất nhỏ.</w:t>
      </w:r>
    </w:p>
    <w:p>
      <w:pPr>
        <w:pStyle w:val="Compact"/>
        <w:numPr>
          <w:ilvl w:val="0"/>
          <w:numId w:val="1009"/>
        </w:numPr>
      </w:pPr>
      <w:r>
        <w:rPr>
          <w:b/>
          <w:bCs/>
        </w:rPr>
        <w:t xml:space="preserve">Diagnostics (cột Core, Sign, Stable, GOF):</w:t>
      </w:r>
      <w:r>
        <w:t xml:space="preserve"> </w:t>
      </w:r>
      <w:r>
        <w:rPr>
          <w:rStyle w:val="VerbatimChar"/>
        </w:rPr>
        <w:t xml:space="preserve">TRUE</w:t>
      </w:r>
      <w:r>
        <w:t xml:space="preserve"> </w:t>
      </w:r>
      <w:r>
        <w:t xml:space="preserve">nghĩa là vượt kiểm định,</w:t>
      </w:r>
      <w:r>
        <w:t xml:space="preserve"> </w:t>
      </w:r>
      <w:r>
        <w:rPr>
          <w:rStyle w:val="VerbatimChar"/>
        </w:rPr>
        <w:t xml:space="preserve">FALSE</w:t>
      </w:r>
      <w:r>
        <w:t xml:space="preserve"> </w:t>
      </w:r>
      <w:r>
        <w:t xml:space="preserve">là không vượt. eGARCH-Student-t là model duy nhất đạt cả Core, Sign và Stable; vì vậy đây là ứng viên cân bằng theo quy tắc định trước, không phải model</w:t>
      </w:r>
      <w:r>
        <w:t xml:space="preserve"> </w:t>
      </w:r>
      <w:r>
        <w:t xml:space="preserve">“hoàn hảo”</w:t>
      </w:r>
      <w:r>
        <w:t xml:space="preserve"> </w:t>
      </w:r>
      <w:r>
        <w:t xml:space="preserve">vì cột GOF vẫn là FALSE.</w:t>
      </w:r>
    </w:p>
    <w:p>
      <w:pPr>
        <w:pStyle w:val="TableCaption"/>
      </w:pPr>
      <w:r>
        <w:t xml:space="preserve">P-value và statistics chẩn đoán GARCH</w:t>
      </w:r>
    </w:p>
    <w:tbl>
      <w:tblPr>
        <w:tblStyle w:val="Table"/>
        <w:tblW w:type="pct" w:w="5000"/>
        <w:tblLayout w:type="fixed"/>
        <w:tblLook w:firstRow="1" w:lastRow="0" w:firstColumn="0" w:lastColumn="0" w:noHBand="0" w:noVBand="0" w:val="0020"/>
        <w:tblCaption w:val="P-value và statistics chẩn đoán GARCH"/>
      </w:tblPr>
      <w:tblGrid>
        <w:gridCol w:w="1074"/>
        <w:gridCol w:w="1188"/>
        <w:gridCol w:w="1131"/>
        <w:gridCol w:w="565"/>
        <w:gridCol w:w="1018"/>
        <w:gridCol w:w="735"/>
        <w:gridCol w:w="1188"/>
        <w:gridCol w:w="1018"/>
      </w:tblGrid>
      <w:tr>
        <w:trPr>
          <w:tblHeader w:val="on"/>
        </w:trPr>
        <w:tc>
          <w:tcPr/>
          <w:p>
            <w:pPr>
              <w:pStyle w:val="Compact"/>
              <w:jc w:val="left"/>
            </w:pPr>
            <w:r>
              <w:t xml:space="preserve">model</w:t>
            </w:r>
          </w:p>
        </w:tc>
        <w:tc>
          <w:tcPr/>
          <w:p>
            <w:pPr>
              <w:pStyle w:val="Compact"/>
              <w:jc w:val="right"/>
            </w:pPr>
            <w:r>
              <w:t xml:space="preserve">ljung_box_residual_p</w:t>
            </w:r>
          </w:p>
        </w:tc>
        <w:tc>
          <w:tcPr/>
          <w:p>
            <w:pPr>
              <w:pStyle w:val="Compact"/>
              <w:jc w:val="right"/>
            </w:pPr>
            <w:r>
              <w:t xml:space="preserve">ljung_box_squared_p</w:t>
            </w:r>
          </w:p>
        </w:tc>
        <w:tc>
          <w:tcPr/>
          <w:p>
            <w:pPr>
              <w:pStyle w:val="Compact"/>
              <w:jc w:val="right"/>
            </w:pPr>
            <w:r>
              <w:t xml:space="preserve">arch_lm_p</w:t>
            </w:r>
          </w:p>
        </w:tc>
        <w:tc>
          <w:tcPr/>
          <w:p>
            <w:pPr>
              <w:pStyle w:val="Compact"/>
              <w:jc w:val="right"/>
            </w:pPr>
            <w:r>
              <w:t xml:space="preserve">sign_bias_joint_p</w:t>
            </w:r>
          </w:p>
        </w:tc>
        <w:tc>
          <w:tcPr/>
          <w:p>
            <w:pPr>
              <w:pStyle w:val="Compact"/>
              <w:jc w:val="right"/>
            </w:pPr>
            <w:r>
              <w:t xml:space="preserve">nyblom_joint</w:t>
            </w:r>
          </w:p>
        </w:tc>
        <w:tc>
          <w:tcPr/>
          <w:p>
            <w:pPr>
              <w:pStyle w:val="Compact"/>
              <w:jc w:val="right"/>
            </w:pPr>
            <w:r>
              <w:t xml:space="preserve">nyblom_5pct_critical</w:t>
            </w:r>
          </w:p>
        </w:tc>
        <w:tc>
          <w:tcPr/>
          <w:p>
            <w:pPr>
              <w:pStyle w:val="Compact"/>
              <w:jc w:val="right"/>
            </w:pPr>
            <w:r>
              <w:t xml:space="preserve">pearson_group20_p</w:t>
            </w:r>
          </w:p>
        </w:tc>
      </w:tr>
      <w:tr>
        <w:tc>
          <w:tcPr/>
          <w:p>
            <w:pPr>
              <w:pStyle w:val="Compact"/>
              <w:jc w:val="left"/>
            </w:pPr>
            <w:r>
              <w:t xml:space="preserve">gjrGARCH-Student-t</w:t>
            </w:r>
          </w:p>
        </w:tc>
        <w:tc>
          <w:tcPr/>
          <w:p>
            <w:pPr>
              <w:pStyle w:val="Compact"/>
              <w:jc w:val="right"/>
            </w:pPr>
            <w:r>
              <w:t xml:space="preserve">0.86798</w:t>
            </w:r>
          </w:p>
        </w:tc>
        <w:tc>
          <w:tcPr/>
          <w:p>
            <w:pPr>
              <w:pStyle w:val="Compact"/>
              <w:jc w:val="right"/>
            </w:pPr>
            <w:r>
              <w:t xml:space="preserve">0.63184</w:t>
            </w:r>
          </w:p>
        </w:tc>
        <w:tc>
          <w:tcPr/>
          <w:p>
            <w:pPr>
              <w:pStyle w:val="Compact"/>
              <w:jc w:val="right"/>
            </w:pPr>
            <w:r>
              <w:t xml:space="preserve">0.36593</w:t>
            </w:r>
          </w:p>
        </w:tc>
        <w:tc>
          <w:tcPr/>
          <w:p>
            <w:pPr>
              <w:pStyle w:val="Compact"/>
              <w:jc w:val="right"/>
            </w:pPr>
            <w:r>
              <w:t xml:space="preserve">0.08642</w:t>
            </w:r>
          </w:p>
        </w:tc>
        <w:tc>
          <w:tcPr/>
          <w:p>
            <w:pPr>
              <w:pStyle w:val="Compact"/>
              <w:jc w:val="right"/>
            </w:pPr>
            <w:r>
              <w:t xml:space="preserve">27.34785</w:t>
            </w:r>
          </w:p>
        </w:tc>
        <w:tc>
          <w:tcPr/>
          <w:p>
            <w:pPr>
              <w:pStyle w:val="Compact"/>
              <w:jc w:val="right"/>
            </w:pPr>
            <w:r>
              <w:t xml:space="preserve">1.68</w:t>
            </w:r>
          </w:p>
        </w:tc>
        <w:tc>
          <w:tcPr/>
          <w:p>
            <w:pPr>
              <w:pStyle w:val="Compact"/>
              <w:jc w:val="right"/>
            </w:pPr>
            <w:r>
              <w:t xml:space="preserve">0</w:t>
            </w:r>
          </w:p>
        </w:tc>
      </w:tr>
      <w:tr>
        <w:tc>
          <w:tcPr/>
          <w:p>
            <w:pPr>
              <w:pStyle w:val="Compact"/>
              <w:jc w:val="left"/>
            </w:pPr>
            <w:r>
              <w:t xml:space="preserve">eGARCH-Student-t</w:t>
            </w:r>
          </w:p>
        </w:tc>
        <w:tc>
          <w:tcPr/>
          <w:p>
            <w:pPr>
              <w:pStyle w:val="Compact"/>
              <w:jc w:val="right"/>
            </w:pPr>
            <w:r>
              <w:t xml:space="preserve">0.87726</w:t>
            </w:r>
          </w:p>
        </w:tc>
        <w:tc>
          <w:tcPr/>
          <w:p>
            <w:pPr>
              <w:pStyle w:val="Compact"/>
              <w:jc w:val="right"/>
            </w:pPr>
            <w:r>
              <w:t xml:space="preserve">0.84232</w:t>
            </w:r>
          </w:p>
        </w:tc>
        <w:tc>
          <w:tcPr/>
          <w:p>
            <w:pPr>
              <w:pStyle w:val="Compact"/>
              <w:jc w:val="right"/>
            </w:pPr>
            <w:r>
              <w:t xml:space="preserve">0.64581</w:t>
            </w:r>
          </w:p>
        </w:tc>
        <w:tc>
          <w:tcPr/>
          <w:p>
            <w:pPr>
              <w:pStyle w:val="Compact"/>
              <w:jc w:val="right"/>
            </w:pPr>
            <w:r>
              <w:t xml:space="preserve">0.10172</w:t>
            </w:r>
          </w:p>
        </w:tc>
        <w:tc>
          <w:tcPr/>
          <w:p>
            <w:pPr>
              <w:pStyle w:val="Compact"/>
              <w:jc w:val="right"/>
            </w:pPr>
            <w:r>
              <w:t xml:space="preserve">1.50476</w:t>
            </w:r>
          </w:p>
        </w:tc>
        <w:tc>
          <w:tcPr/>
          <w:p>
            <w:pPr>
              <w:pStyle w:val="Compact"/>
              <w:jc w:val="right"/>
            </w:pPr>
            <w:r>
              <w:t xml:space="preserve">1.68</w:t>
            </w:r>
          </w:p>
        </w:tc>
        <w:tc>
          <w:tcPr/>
          <w:p>
            <w:pPr>
              <w:pStyle w:val="Compact"/>
              <w:jc w:val="right"/>
            </w:pPr>
            <w:r>
              <w:t xml:space="preserve">0</w:t>
            </w:r>
          </w:p>
        </w:tc>
      </w:tr>
      <w:tr>
        <w:tc>
          <w:tcPr/>
          <w:p>
            <w:pPr>
              <w:pStyle w:val="Compact"/>
              <w:jc w:val="left"/>
            </w:pPr>
            <w:r>
              <w:t xml:space="preserve">sGARCH-Student-t</w:t>
            </w:r>
          </w:p>
        </w:tc>
        <w:tc>
          <w:tcPr/>
          <w:p>
            <w:pPr>
              <w:pStyle w:val="Compact"/>
              <w:jc w:val="right"/>
            </w:pPr>
            <w:r>
              <w:t xml:space="preserve">0.85852</w:t>
            </w:r>
          </w:p>
        </w:tc>
        <w:tc>
          <w:tcPr/>
          <w:p>
            <w:pPr>
              <w:pStyle w:val="Compact"/>
              <w:jc w:val="right"/>
            </w:pPr>
            <w:r>
              <w:t xml:space="preserve">0.78320</w:t>
            </w:r>
          </w:p>
        </w:tc>
        <w:tc>
          <w:tcPr/>
          <w:p>
            <w:pPr>
              <w:pStyle w:val="Compact"/>
              <w:jc w:val="right"/>
            </w:pPr>
            <w:r>
              <w:t xml:space="preserve">0.49370</w:t>
            </w:r>
          </w:p>
        </w:tc>
        <w:tc>
          <w:tcPr/>
          <w:p>
            <w:pPr>
              <w:pStyle w:val="Compact"/>
              <w:jc w:val="right"/>
            </w:pPr>
            <w:r>
              <w:t xml:space="preserve">0.06011</w:t>
            </w:r>
          </w:p>
        </w:tc>
        <w:tc>
          <w:tcPr/>
          <w:p>
            <w:pPr>
              <w:pStyle w:val="Compact"/>
              <w:jc w:val="right"/>
            </w:pPr>
            <w:r>
              <w:t xml:space="preserve">11.88983</w:t>
            </w:r>
          </w:p>
        </w:tc>
        <w:tc>
          <w:tcPr/>
          <w:p>
            <w:pPr>
              <w:pStyle w:val="Compact"/>
              <w:jc w:val="right"/>
            </w:pPr>
            <w:r>
              <w:t xml:space="preserve">1.47</w:t>
            </w:r>
          </w:p>
        </w:tc>
        <w:tc>
          <w:tcPr/>
          <w:p>
            <w:pPr>
              <w:pStyle w:val="Compact"/>
              <w:jc w:val="right"/>
            </w:pPr>
            <w:r>
              <w:t xml:space="preserve">0</w:t>
            </w:r>
          </w:p>
        </w:tc>
      </w:tr>
      <w:tr>
        <w:tc>
          <w:tcPr/>
          <w:p>
            <w:pPr>
              <w:pStyle w:val="Compact"/>
              <w:jc w:val="left"/>
            </w:pPr>
            <w:r>
              <w:t xml:space="preserve">sGARCH-Normal</w:t>
            </w:r>
          </w:p>
        </w:tc>
        <w:tc>
          <w:tcPr/>
          <w:p>
            <w:pPr>
              <w:pStyle w:val="Compact"/>
              <w:jc w:val="right"/>
            </w:pPr>
            <w:r>
              <w:t xml:space="preserve">0.81728</w:t>
            </w:r>
          </w:p>
        </w:tc>
        <w:tc>
          <w:tcPr/>
          <w:p>
            <w:pPr>
              <w:pStyle w:val="Compact"/>
              <w:jc w:val="right"/>
            </w:pPr>
            <w:r>
              <w:t xml:space="preserve">0.88108</w:t>
            </w:r>
          </w:p>
        </w:tc>
        <w:tc>
          <w:tcPr/>
          <w:p>
            <w:pPr>
              <w:pStyle w:val="Compact"/>
              <w:jc w:val="right"/>
            </w:pPr>
            <w:r>
              <w:t xml:space="preserve">0.80962</w:t>
            </w:r>
          </w:p>
        </w:tc>
        <w:tc>
          <w:tcPr/>
          <w:p>
            <w:pPr>
              <w:pStyle w:val="Compact"/>
              <w:jc w:val="right"/>
            </w:pPr>
            <w:r>
              <w:t xml:space="preserve">0.10291</w:t>
            </w:r>
          </w:p>
        </w:tc>
        <w:tc>
          <w:tcPr/>
          <w:p>
            <w:pPr>
              <w:pStyle w:val="Compact"/>
              <w:jc w:val="right"/>
            </w:pPr>
            <w:r>
              <w:t xml:space="preserve">12.89914</w:t>
            </w:r>
          </w:p>
        </w:tc>
        <w:tc>
          <w:tcPr/>
          <w:p>
            <w:pPr>
              <w:pStyle w:val="Compact"/>
              <w:jc w:val="right"/>
            </w:pPr>
            <w:r>
              <w:t xml:space="preserve">1.24</w:t>
            </w:r>
          </w:p>
        </w:tc>
        <w:tc>
          <w:tcPr/>
          <w:p>
            <w:pPr>
              <w:pStyle w:val="Compact"/>
              <w:jc w:val="right"/>
            </w:pPr>
            <w:r>
              <w:t xml:space="preserve">0</w:t>
            </w:r>
          </w:p>
        </w:tc>
      </w:tr>
    </w:tbl>
    <w:p>
      <w:pPr>
        <w:pStyle w:val="BodyText"/>
      </w:pPr>
      <w:r>
        <w:t xml:space="preserve">Để hiểu bảng chẩn đoán trên, cần biết mục đích của từng kiểm định:</w:t>
      </w:r>
    </w:p>
    <w:p>
      <w:pPr>
        <w:pStyle w:val="Compact"/>
        <w:numPr>
          <w:ilvl w:val="0"/>
          <w:numId w:val="1010"/>
        </w:numPr>
      </w:pPr>
      <w:r>
        <w:rPr>
          <w:b/>
          <w:bCs/>
        </w:rPr>
        <w:t xml:space="preserve">Ljung-Box standardized residual</w:t>
      </w:r>
      <w:r>
        <w:t xml:space="preserve"> </w:t>
      </w:r>
      <w:r>
        <w:t xml:space="preserve">(</w:t>
      </w:r>
      <w:r>
        <w:rPr>
          <w:rStyle w:val="VerbatimChar"/>
        </w:rPr>
        <w:t xml:space="preserve">ljung_box_residual_p</w:t>
      </w:r>
      <w:r>
        <w:t xml:space="preserve">): Kiểm tra xem residual sau khi chuẩn hóa còn autocorrelation tuyến tính không. P-value &gt; 0,05 nghĩa là model đã nắm bắt được mean dynamics.</w:t>
      </w:r>
    </w:p>
    <w:p>
      <w:pPr>
        <w:pStyle w:val="Compact"/>
        <w:numPr>
          <w:ilvl w:val="0"/>
          <w:numId w:val="1010"/>
        </w:numPr>
      </w:pPr>
      <w:r>
        <w:rPr>
          <w:b/>
          <w:bCs/>
        </w:rPr>
        <w:t xml:space="preserve">Ljung-Box squared residual</w:t>
      </w:r>
      <w:r>
        <w:t xml:space="preserve"> </w:t>
      </w:r>
      <w:r>
        <w:t xml:space="preserve">(</w:t>
      </w:r>
      <w:r>
        <w:rPr>
          <w:rStyle w:val="VerbatimChar"/>
        </w:rPr>
        <w:t xml:space="preserve">ljung_box_squared_p</w:t>
      </w:r>
      <w:r>
        <w:t xml:space="preserve">): Kiểm tra xem bình phương residual còn autocorrelation không. P-value &gt; 0,05 nghĩa là model đã nắm bắt được variance dynamics.</w:t>
      </w:r>
    </w:p>
    <w:p>
      <w:pPr>
        <w:pStyle w:val="Compact"/>
        <w:numPr>
          <w:ilvl w:val="0"/>
          <w:numId w:val="1010"/>
        </w:numPr>
      </w:pPr>
      <w:r>
        <w:rPr>
          <w:b/>
          <w:bCs/>
        </w:rPr>
        <w:t xml:space="preserve">ARCH-LM sau fit</w:t>
      </w:r>
      <w:r>
        <w:t xml:space="preserve"> </w:t>
      </w:r>
      <w:r>
        <w:t xml:space="preserve">(</w:t>
      </w:r>
      <w:r>
        <w:rPr>
          <w:rStyle w:val="VerbatimChar"/>
        </w:rPr>
        <w:t xml:space="preserve">arch_lm_p</w:t>
      </w:r>
      <w:r>
        <w:t xml:space="preserve">): Tương tự kiểm định pre-fit, nhưng chạy trên residual sau khi fit GARCH. P-value &gt; 0,05 nghĩa là không còn ARCH effect dư thừa.</w:t>
      </w:r>
    </w:p>
    <w:p>
      <w:pPr>
        <w:pStyle w:val="Compact"/>
        <w:numPr>
          <w:ilvl w:val="0"/>
          <w:numId w:val="1010"/>
        </w:numPr>
      </w:pPr>
      <w:r>
        <w:rPr>
          <w:b/>
          <w:bCs/>
        </w:rPr>
        <w:t xml:space="preserve">Sign-bias joint test</w:t>
      </w:r>
      <w:r>
        <w:t xml:space="preserve"> </w:t>
      </w:r>
      <w:r>
        <w:t xml:space="preserve">(</w:t>
      </w:r>
      <w:r>
        <w:rPr>
          <w:rStyle w:val="VerbatimChar"/>
        </w:rPr>
        <w:t xml:space="preserve">sign_bias_joint_p</w:t>
      </w:r>
      <w:r>
        <w:t xml:space="preserve">): Kiểm tra xem shock dương và âm có ảnh hưởng khác nhau lên variance mà model chưa nắm bắt không. P-value &gt; 0,05 nghĩa là asymmetry đã được model giải quyết.</w:t>
      </w:r>
    </w:p>
    <w:p>
      <w:pPr>
        <w:pStyle w:val="Compact"/>
        <w:numPr>
          <w:ilvl w:val="0"/>
          <w:numId w:val="1010"/>
        </w:numPr>
      </w:pPr>
      <w:r>
        <w:rPr>
          <w:b/>
          <w:bCs/>
        </w:rPr>
        <w:t xml:space="preserve">Nyblom stability</w:t>
      </w:r>
      <w:r>
        <w:t xml:space="preserve"> </w:t>
      </w:r>
      <w:r>
        <w:t xml:space="preserve">(</w:t>
      </w:r>
      <w:r>
        <w:rPr>
          <w:rStyle w:val="VerbatimChar"/>
        </w:rPr>
        <w:t xml:space="preserve">nyblom_joint</w:t>
      </w:r>
      <w:r>
        <w:t xml:space="preserve">): Kiểm tra xem các tham số của model có ổn định trong suốt sample hay thay đổi theo thời gian. Giá trị joint statistic nhỏ hơn ngưỡng 5% (</w:t>
      </w:r>
      <w:r>
        <w:rPr>
          <w:rStyle w:val="VerbatimChar"/>
        </w:rPr>
        <w:t xml:space="preserve">nyblom_5pct_critical</w:t>
      </w:r>
      <w:r>
        <w:t xml:space="preserve">) nghĩa là không có bằng chứng tham số bất ổn.</w:t>
      </w:r>
    </w:p>
    <w:p>
      <w:pPr>
        <w:pStyle w:val="Compact"/>
        <w:numPr>
          <w:ilvl w:val="0"/>
          <w:numId w:val="1010"/>
        </w:numPr>
      </w:pPr>
      <w:r>
        <w:rPr>
          <w:b/>
          <w:bCs/>
        </w:rPr>
        <w:t xml:space="preserve">Adjusted Pearson GOF</w:t>
      </w:r>
      <w:r>
        <w:t xml:space="preserve"> </w:t>
      </w:r>
      <w:r>
        <w:t xml:space="preserve">(</w:t>
      </w:r>
      <w:r>
        <w:rPr>
          <w:rStyle w:val="VerbatimChar"/>
        </w:rPr>
        <w:t xml:space="preserve">pearson_group20_p</w:t>
      </w:r>
      <w:r>
        <w:t xml:space="preserve">): Kiểm tra xem phân phối đã chọn (Normal hoặc Student-t) có fit tốt với dữ liệu không. P-value &gt; 0,05 nghĩa là không bác bỏ distribution fit.</w:t>
      </w:r>
    </w:p>
    <w:p>
      <w:pPr>
        <w:pStyle w:val="FirstParagraph"/>
      </w:pPr>
      <w:r>
        <w:t xml:space="preserve">Kết quả: Ljung-Box (cả residual và squared), ARCH-LM và sign-bias đều chưa bác bỏ H0 ở mức 5% cho cả bốn model — các model đã nắm bắt được cấu trúc mean và variance chính. Tuy nhiên,</w:t>
      </w:r>
      <w:r>
        <w:t xml:space="preserve"> </w:t>
      </w:r>
      <w:r>
        <w:rPr>
          <w:b/>
          <w:bCs/>
        </w:rPr>
        <w:t xml:space="preserve">Nyblom chỉ chấp nhận joint stability cho eGARCH</w:t>
      </w:r>
      <w:r>
        <w:t xml:space="preserve"> </w:t>
      </w:r>
      <w:r>
        <w:t xml:space="preserve">(nhìn cột</w:t>
      </w:r>
      <w:r>
        <w:t xml:space="preserve"> </w:t>
      </w:r>
      <w:r>
        <w:rPr>
          <w:rStyle w:val="VerbatimChar"/>
        </w:rPr>
        <w:t xml:space="preserve">nyblom_joint</w:t>
      </w:r>
      <w:r>
        <w:t xml:space="preserve"> </w:t>
      </w:r>
      <w:r>
        <w:t xml:space="preserve">&lt;</w:t>
      </w:r>
      <w:r>
        <w:t xml:space="preserve"> </w:t>
      </w:r>
      <w:r>
        <w:rPr>
          <w:rStyle w:val="VerbatimChar"/>
        </w:rPr>
        <w:t xml:space="preserve">nyblom_5pct_critical</w:t>
      </w:r>
      <w:r>
        <w:t xml:space="preserve">); ba model còn lại có tham số có thể không ổn định qua thời gian.</w:t>
      </w:r>
      <w:r>
        <w:t xml:space="preserve"> </w:t>
      </w:r>
      <w:r>
        <w:rPr>
          <w:b/>
          <w:bCs/>
        </w:rPr>
        <w:t xml:space="preserve">Adjusted Pearson GOF bác bỏ distribution fit</w:t>
      </w:r>
      <w:r>
        <w:t xml:space="preserve"> </w:t>
      </w:r>
      <w:r>
        <w:t xml:space="preserve">ở cả bốn specification — đây là hạn chế chung.</w:t>
      </w:r>
    </w:p>
    <w:bookmarkEnd w:id="63"/>
    <w:bookmarkStart w:id="64" w:name="tham-số-candidate"/>
    <w:p>
      <w:pPr>
        <w:pStyle w:val="Heading2"/>
      </w:pPr>
      <w:r>
        <w:rPr>
          <w:rStyle w:val="SectionNumber"/>
        </w:rPr>
        <w:t xml:space="preserve">5.4</w:t>
      </w:r>
      <w:r>
        <w:tab/>
      </w:r>
      <w:r>
        <w:t xml:space="preserve">Tham số candidate</w:t>
      </w:r>
    </w:p>
    <w:p>
      <w:pPr>
        <w:pStyle w:val="TableCaption"/>
      </w:pPr>
      <w:r>
        <w:t xml:space="preserve">Tham số eGARCH-Student-t: conventional và robust inference</w:t>
      </w:r>
    </w:p>
    <w:tbl>
      <w:tblPr>
        <w:tblStyle w:val="Table"/>
        <w:tblW w:type="pct" w:w="5000"/>
        <w:tblLayout w:type="fixed"/>
        <w:tblLook w:firstRow="1" w:lastRow="0" w:firstColumn="0" w:lastColumn="0" w:noHBand="0" w:noVBand="0" w:val="0020"/>
        <w:tblCaption w:val="Tham số eGARCH-Student-t: conventional và robust inference"/>
      </w:tblPr>
      <w:tblGrid>
        <w:gridCol w:w="1115"/>
        <w:gridCol w:w="1115"/>
        <w:gridCol w:w="1115"/>
        <w:gridCol w:w="1003"/>
        <w:gridCol w:w="1896"/>
        <w:gridCol w:w="1673"/>
      </w:tblGrid>
      <w:tr>
        <w:trPr>
          <w:tblHeader w:val="on"/>
        </w:trPr>
        <w:tc>
          <w:tcPr/>
          <w:p>
            <w:pPr>
              <w:pStyle w:val="Compact"/>
              <w:jc w:val="left"/>
            </w:pPr>
            <w:r>
              <w:t xml:space="preserve">parameter</w:t>
            </w:r>
          </w:p>
        </w:tc>
        <w:tc>
          <w:tcPr/>
          <w:p>
            <w:pPr>
              <w:pStyle w:val="Compact"/>
              <w:jc w:val="right"/>
            </w:pPr>
            <w:r>
              <w:t xml:space="preserve">estimate</w:t>
            </w:r>
          </w:p>
        </w:tc>
        <w:tc>
          <w:tcPr/>
          <w:p>
            <w:pPr>
              <w:pStyle w:val="Compact"/>
              <w:jc w:val="right"/>
            </w:pPr>
            <w:r>
              <w:t xml:space="preserve">std_error</w:t>
            </w:r>
          </w:p>
        </w:tc>
        <w:tc>
          <w:tcPr/>
          <w:p>
            <w:pPr>
              <w:pStyle w:val="Compact"/>
              <w:jc w:val="right"/>
            </w:pPr>
            <w:r>
              <w:t xml:space="preserve">p_value</w:t>
            </w:r>
          </w:p>
        </w:tc>
        <w:tc>
          <w:tcPr/>
          <w:p>
            <w:pPr>
              <w:pStyle w:val="Compact"/>
              <w:jc w:val="right"/>
            </w:pPr>
            <w:r>
              <w:t xml:space="preserve">robust_std_error</w:t>
            </w:r>
          </w:p>
        </w:tc>
        <w:tc>
          <w:tcPr/>
          <w:p>
            <w:pPr>
              <w:pStyle w:val="Compact"/>
              <w:jc w:val="right"/>
            </w:pPr>
            <w:r>
              <w:t xml:space="preserve">robust_p_value</w:t>
            </w:r>
          </w:p>
        </w:tc>
      </w:tr>
      <w:tr>
        <w:tc>
          <w:tcPr/>
          <w:p>
            <w:pPr>
              <w:pStyle w:val="Compact"/>
              <w:jc w:val="left"/>
            </w:pPr>
            <w:r>
              <w:t xml:space="preserve">mu</w:t>
            </w:r>
          </w:p>
        </w:tc>
        <w:tc>
          <w:tcPr/>
          <w:p>
            <w:pPr>
              <w:pStyle w:val="Compact"/>
              <w:jc w:val="right"/>
            </w:pPr>
            <w:r>
              <w:t xml:space="preserve">0.000477</w:t>
            </w:r>
          </w:p>
        </w:tc>
        <w:tc>
          <w:tcPr/>
          <w:p>
            <w:pPr>
              <w:pStyle w:val="Compact"/>
              <w:jc w:val="right"/>
            </w:pPr>
            <w:r>
              <w:t xml:space="preserve">0.000227</w:t>
            </w:r>
          </w:p>
        </w:tc>
        <w:tc>
          <w:tcPr/>
          <w:p>
            <w:pPr>
              <w:pStyle w:val="Compact"/>
              <w:jc w:val="right"/>
            </w:pPr>
            <w:r>
              <w:t xml:space="preserve">0.035675</w:t>
            </w:r>
          </w:p>
        </w:tc>
        <w:tc>
          <w:tcPr/>
          <w:p>
            <w:pPr>
              <w:pStyle w:val="Compact"/>
              <w:jc w:val="right"/>
            </w:pPr>
            <w:r>
              <w:t xml:space="preserve">0.000233</w:t>
            </w:r>
          </w:p>
        </w:tc>
        <w:tc>
          <w:tcPr/>
          <w:p>
            <w:pPr>
              <w:pStyle w:val="Compact"/>
              <w:jc w:val="right"/>
            </w:pPr>
            <w:r>
              <w:t xml:space="preserve">0.040683</w:t>
            </w:r>
          </w:p>
        </w:tc>
      </w:tr>
      <w:tr>
        <w:tc>
          <w:tcPr/>
          <w:p>
            <w:pPr>
              <w:pStyle w:val="Compact"/>
              <w:jc w:val="left"/>
            </w:pPr>
            <w:r>
              <w:t xml:space="preserve">omega</w:t>
            </w:r>
          </w:p>
        </w:tc>
        <w:tc>
          <w:tcPr/>
          <w:p>
            <w:pPr>
              <w:pStyle w:val="Compact"/>
              <w:jc w:val="right"/>
            </w:pPr>
            <w:r>
              <w:t xml:space="preserve">-0.303887</w:t>
            </w:r>
          </w:p>
        </w:tc>
        <w:tc>
          <w:tcPr/>
          <w:p>
            <w:pPr>
              <w:pStyle w:val="Compact"/>
              <w:jc w:val="right"/>
            </w:pPr>
            <w:r>
              <w:t xml:space="preserve">0.042127</w:t>
            </w:r>
          </w:p>
        </w:tc>
        <w:tc>
          <w:tcPr/>
          <w:p>
            <w:pPr>
              <w:pStyle w:val="Compact"/>
              <w:jc w:val="right"/>
            </w:pPr>
            <w:r>
              <w:t xml:space="preserve">0.000000</w:t>
            </w:r>
          </w:p>
        </w:tc>
        <w:tc>
          <w:tcPr/>
          <w:p>
            <w:pPr>
              <w:pStyle w:val="Compact"/>
              <w:jc w:val="right"/>
            </w:pPr>
            <w:r>
              <w:t xml:space="preserve">0.049889</w:t>
            </w:r>
          </w:p>
        </w:tc>
        <w:tc>
          <w:tcPr/>
          <w:p>
            <w:pPr>
              <w:pStyle w:val="Compact"/>
              <w:jc w:val="right"/>
            </w:pPr>
            <w:r>
              <w:t xml:space="preserve">0.000000</w:t>
            </w:r>
          </w:p>
        </w:tc>
      </w:tr>
      <w:tr>
        <w:tc>
          <w:tcPr/>
          <w:p>
            <w:pPr>
              <w:pStyle w:val="Compact"/>
              <w:jc w:val="left"/>
            </w:pPr>
            <w:r>
              <w:t xml:space="preserve">alpha1</w:t>
            </w:r>
          </w:p>
        </w:tc>
        <w:tc>
          <w:tcPr/>
          <w:p>
            <w:pPr>
              <w:pStyle w:val="Compact"/>
              <w:jc w:val="right"/>
            </w:pPr>
            <w:r>
              <w:t xml:space="preserve">-0.047986</w:t>
            </w:r>
          </w:p>
        </w:tc>
        <w:tc>
          <w:tcPr/>
          <w:p>
            <w:pPr>
              <w:pStyle w:val="Compact"/>
              <w:jc w:val="right"/>
            </w:pPr>
            <w:r>
              <w:t xml:space="preserve">0.022958</w:t>
            </w:r>
          </w:p>
        </w:tc>
        <w:tc>
          <w:tcPr/>
          <w:p>
            <w:pPr>
              <w:pStyle w:val="Compact"/>
              <w:jc w:val="right"/>
            </w:pPr>
            <w:r>
              <w:t xml:space="preserve">0.036606</w:t>
            </w:r>
          </w:p>
        </w:tc>
        <w:tc>
          <w:tcPr/>
          <w:p>
            <w:pPr>
              <w:pStyle w:val="Compact"/>
              <w:jc w:val="right"/>
            </w:pPr>
            <w:r>
              <w:t xml:space="preserve">0.034960</w:t>
            </w:r>
          </w:p>
        </w:tc>
        <w:tc>
          <w:tcPr/>
          <w:p>
            <w:pPr>
              <w:pStyle w:val="Compact"/>
              <w:jc w:val="right"/>
            </w:pPr>
            <w:r>
              <w:t xml:space="preserve">0.169877</w:t>
            </w:r>
          </w:p>
        </w:tc>
      </w:tr>
      <w:tr>
        <w:tc>
          <w:tcPr/>
          <w:p>
            <w:pPr>
              <w:pStyle w:val="Compact"/>
              <w:jc w:val="left"/>
            </w:pPr>
            <w:r>
              <w:t xml:space="preserve">beta1</w:t>
            </w:r>
          </w:p>
        </w:tc>
        <w:tc>
          <w:tcPr/>
          <w:p>
            <w:pPr>
              <w:pStyle w:val="Compact"/>
              <w:jc w:val="right"/>
            </w:pPr>
            <w:r>
              <w:t xml:space="preserve">0.962670</w:t>
            </w:r>
          </w:p>
        </w:tc>
        <w:tc>
          <w:tcPr/>
          <w:p>
            <w:pPr>
              <w:pStyle w:val="Compact"/>
              <w:jc w:val="right"/>
            </w:pPr>
            <w:r>
              <w:t xml:space="preserve">0.005071</w:t>
            </w:r>
          </w:p>
        </w:tc>
        <w:tc>
          <w:tcPr/>
          <w:p>
            <w:pPr>
              <w:pStyle w:val="Compact"/>
              <w:jc w:val="right"/>
            </w:pPr>
            <w:r>
              <w:t xml:space="preserve">0.000000</w:t>
            </w:r>
          </w:p>
        </w:tc>
        <w:tc>
          <w:tcPr/>
          <w:p>
            <w:pPr>
              <w:pStyle w:val="Compact"/>
              <w:jc w:val="right"/>
            </w:pPr>
            <w:r>
              <w:t xml:space="preserve">0.005892</w:t>
            </w:r>
          </w:p>
        </w:tc>
        <w:tc>
          <w:tcPr/>
          <w:p>
            <w:pPr>
              <w:pStyle w:val="Compact"/>
              <w:jc w:val="right"/>
            </w:pPr>
            <w:r>
              <w:t xml:space="preserve">0.000000</w:t>
            </w:r>
          </w:p>
        </w:tc>
      </w:tr>
      <w:tr>
        <w:tc>
          <w:tcPr/>
          <w:p>
            <w:pPr>
              <w:pStyle w:val="Compact"/>
              <w:jc w:val="left"/>
            </w:pPr>
            <w:r>
              <w:t xml:space="preserve">gamma1</w:t>
            </w:r>
          </w:p>
        </w:tc>
        <w:tc>
          <w:tcPr/>
          <w:p>
            <w:pPr>
              <w:pStyle w:val="Compact"/>
              <w:jc w:val="right"/>
            </w:pPr>
            <w:r>
              <w:t xml:space="preserve">0.240236</w:t>
            </w:r>
          </w:p>
        </w:tc>
        <w:tc>
          <w:tcPr/>
          <w:p>
            <w:pPr>
              <w:pStyle w:val="Compact"/>
              <w:jc w:val="right"/>
            </w:pPr>
            <w:r>
              <w:t xml:space="preserve">0.029413</w:t>
            </w:r>
          </w:p>
        </w:tc>
        <w:tc>
          <w:tcPr/>
          <w:p>
            <w:pPr>
              <w:pStyle w:val="Compact"/>
              <w:jc w:val="right"/>
            </w:pPr>
            <w:r>
              <w:t xml:space="preserve">0.000000</w:t>
            </w:r>
          </w:p>
        </w:tc>
        <w:tc>
          <w:tcPr/>
          <w:p>
            <w:pPr>
              <w:pStyle w:val="Compact"/>
              <w:jc w:val="right"/>
            </w:pPr>
            <w:r>
              <w:t xml:space="preserve">0.028302</w:t>
            </w:r>
          </w:p>
        </w:tc>
        <w:tc>
          <w:tcPr/>
          <w:p>
            <w:pPr>
              <w:pStyle w:val="Compact"/>
              <w:jc w:val="right"/>
            </w:pPr>
            <w:r>
              <w:t xml:space="preserve">0.000000</w:t>
            </w:r>
          </w:p>
        </w:tc>
      </w:tr>
      <w:tr>
        <w:tc>
          <w:tcPr/>
          <w:p>
            <w:pPr>
              <w:pStyle w:val="Compact"/>
              <w:jc w:val="left"/>
            </w:pPr>
            <w:r>
              <w:t xml:space="preserve">shape</w:t>
            </w:r>
          </w:p>
        </w:tc>
        <w:tc>
          <w:tcPr/>
          <w:p>
            <w:pPr>
              <w:pStyle w:val="Compact"/>
              <w:jc w:val="right"/>
            </w:pPr>
            <w:r>
              <w:t xml:space="preserve">3.596439</w:t>
            </w:r>
          </w:p>
        </w:tc>
        <w:tc>
          <w:tcPr/>
          <w:p>
            <w:pPr>
              <w:pStyle w:val="Compact"/>
              <w:jc w:val="right"/>
            </w:pPr>
            <w:r>
              <w:t xml:space="preserve">0.275833</w:t>
            </w:r>
          </w:p>
        </w:tc>
        <w:tc>
          <w:tcPr/>
          <w:p>
            <w:pPr>
              <w:pStyle w:val="Compact"/>
              <w:jc w:val="right"/>
            </w:pPr>
            <w:r>
              <w:t xml:space="preserve">0.000000</w:t>
            </w:r>
          </w:p>
        </w:tc>
        <w:tc>
          <w:tcPr/>
          <w:p>
            <w:pPr>
              <w:pStyle w:val="Compact"/>
              <w:jc w:val="right"/>
            </w:pPr>
            <w:r>
              <w:t xml:space="preserve">0.260436</w:t>
            </w:r>
          </w:p>
        </w:tc>
        <w:tc>
          <w:tcPr/>
          <w:p>
            <w:pPr>
              <w:pStyle w:val="Compact"/>
              <w:jc w:val="right"/>
            </w:pPr>
            <w:r>
              <w:t xml:space="preserve">0.000000</w:t>
            </w:r>
          </w:p>
        </w:tc>
      </w:tr>
    </w:tbl>
    <w:p>
      <w:pPr>
        <w:pStyle w:val="BodyText"/>
      </w:pPr>
      <w:r>
        <w:t xml:space="preserve">Bảng tham số gồm hai loại inference:</w:t>
      </w:r>
      <w:r>
        <w:t xml:space="preserve"> </w:t>
      </w:r>
      <w:r>
        <w:rPr>
          <w:b/>
          <w:bCs/>
        </w:rPr>
        <w:t xml:space="preserve">conventional</w:t>
      </w:r>
      <w:r>
        <w:t xml:space="preserve"> </w:t>
      </w:r>
      <w:r>
        <w:t xml:space="preserve">(giả định distribution đúng) và</w:t>
      </w:r>
      <w:r>
        <w:t xml:space="preserve"> </w:t>
      </w:r>
      <w:r>
        <w:rPr>
          <w:b/>
          <w:bCs/>
        </w:rPr>
        <w:t xml:space="preserve">robust</w:t>
      </w:r>
      <w:r>
        <w:t xml:space="preserve"> </w:t>
      </w:r>
      <w:r>
        <w:t xml:space="preserve">(không yêu cầu distribution đúng hoàn toàn). Vì Pearson GOF đã bác bỏ distribution fit,</w:t>
      </w:r>
      <w:r>
        <w:t xml:space="preserve"> </w:t>
      </w:r>
      <w:r>
        <w:rPr>
          <w:b/>
          <w:bCs/>
        </w:rPr>
        <w:t xml:space="preserve">robust inference quan trọng hơn</w:t>
      </w:r>
      <w:r>
        <w:t xml:space="preserve">. Cách đọc: so sánh cột</w:t>
      </w:r>
      <w:r>
        <w:t xml:space="preserve"> </w:t>
      </w:r>
      <w:r>
        <w:rPr>
          <w:rStyle w:val="VerbatimChar"/>
        </w:rPr>
        <w:t xml:space="preserve">p_value</w:t>
      </w:r>
      <w:r>
        <w:t xml:space="preserve"> </w:t>
      </w:r>
      <w:r>
        <w:t xml:space="preserve">và</w:t>
      </w:r>
      <w:r>
        <w:t xml:space="preserve"> </w:t>
      </w:r>
      <w:r>
        <w:rPr>
          <w:rStyle w:val="VerbatimChar"/>
        </w:rPr>
        <w:t xml:space="preserve">robust_p_value</w:t>
      </w:r>
      <w:r>
        <w:t xml:space="preserve"> </w:t>
      </w:r>
      <w:r>
        <w:t xml:space="preserve">của từng tham số — nếu một tham số có conventional p-value nhỏ nhưng robust p-value lớn, không nên diễn giải mạnh rằng tham số đó có ý nghĩa.</w:t>
      </w:r>
      <w:r>
        <w:t xml:space="preserve"> </w:t>
      </w:r>
      <w:r>
        <w:rPr>
          <w:rStyle w:val="VerbatimChar"/>
        </w:rPr>
        <w:t xml:space="preserve">beta1</w:t>
      </w:r>
      <w:r>
        <w:t xml:space="preserve"> </w:t>
      </w:r>
      <w:r>
        <w:t xml:space="preserve">của eGARCH gần 1 cho thấy volatility có memory dài theo parameterization của model — shock trong quá khứ ảnh hưởng đến phương sai hiện tại rất lâu. Lưu ý: không cộng</w:t>
      </w:r>
      <w:r>
        <w:t xml:space="preserve"> </w:t>
      </w:r>
      <w:r>
        <w:rPr>
          <w:rStyle w:val="VerbatimChar"/>
        </w:rPr>
        <w:t xml:space="preserve">alpha1 + beta1</w:t>
      </w:r>
      <w:r>
        <w:t xml:space="preserve"> </w:t>
      </w:r>
      <w:r>
        <w:t xml:space="preserve">như sGARCH vì eGARCH mô hình hóa</w:t>
      </w:r>
      <w:r>
        <w:t xml:space="preserve"> </w:t>
      </w:r>
      <m:oMath>
        <m:r>
          <m:rPr>
            <m:sty m:val="p"/>
          </m:rPr>
          <m:t>log</m:t>
        </m:r>
        <m:r>
          <m:rPr>
            <m:sty m:val="p"/>
          </m:rPr>
          <m:t>(</m:t>
        </m:r>
        <m:sSubSup>
          <m:e>
            <m:r>
              <m:t>σ</m:t>
            </m:r>
          </m:e>
          <m:sub>
            <m:r>
              <m:t>t</m:t>
            </m:r>
          </m:sub>
          <m:sup>
            <m:r>
              <m:t>2</m:t>
            </m:r>
          </m:sup>
        </m:sSubSup>
        <m:r>
          <m:rPr>
            <m:sty m:val="p"/>
          </m:rPr>
          <m:t>)</m:t>
        </m:r>
      </m:oMath>
      <w:r>
        <w:t xml:space="preserve">, không phải</w:t>
      </w:r>
      <w:r>
        <w:t xml:space="preserve"> </w:t>
      </w:r>
      <m:oMath>
        <m:sSubSup>
          <m:e>
            <m:r>
              <m:t>σ</m:t>
            </m:r>
          </m:e>
          <m:sub>
            <m:r>
              <m:t>t</m:t>
            </m:r>
          </m:sub>
          <m:sup>
            <m:r>
              <m:t>2</m:t>
            </m:r>
          </m:sup>
        </m:sSubSup>
      </m:oMath>
      <w:r>
        <w:t xml:space="preserve">.</w:t>
      </w:r>
    </w:p>
    <w:bookmarkEnd w:id="64"/>
    <w:bookmarkStart w:id="74" w:name="volatility-và-asymmetry-theo-thời-gian"/>
    <w:p>
      <w:pPr>
        <w:pStyle w:val="Heading2"/>
      </w:pPr>
      <w:r>
        <w:rPr>
          <w:rStyle w:val="SectionNumber"/>
        </w:rPr>
        <w:t xml:space="preserve">5.5</w:t>
      </w:r>
      <w:r>
        <w:tab/>
      </w:r>
      <w:r>
        <w:t xml:space="preserve">Volatility và asymmetry theo thời gian</w:t>
      </w:r>
    </w:p>
    <w:p>
      <w:pPr>
        <w:pStyle w:val="CaptionedFigure"/>
      </w:pPr>
      <w:r>
        <w:drawing>
          <wp:inline>
            <wp:extent cx="5067300" cy="2994313"/>
            <wp:effectExtent b="0" l="0" r="0" t="0"/>
            <wp:docPr descr="Conditional volatility của bốn GARCH specification" title="" id="66" name="Picture"/>
            <a:graphic>
              <a:graphicData uri="http://schemas.openxmlformats.org/drawingml/2006/picture">
                <pic:pic>
                  <pic:nvPicPr>
                    <pic:cNvPr descr="report_files/ef53e153bad1ed53bb918cdd5108976475da0254.png" id="67" name="Picture"/>
                    <pic:cNvPicPr>
                      <a:picLocks noChangeArrowheads="1" noChangeAspect="1"/>
                    </pic:cNvPicPr>
                  </pic:nvPicPr>
                  <pic:blipFill>
                    <a:blip r:embed="rId65"/>
                    <a:stretch>
                      <a:fillRect/>
                    </a:stretch>
                  </pic:blipFill>
                  <pic:spPr bwMode="auto">
                    <a:xfrm>
                      <a:off x="0" y="0"/>
                      <a:ext cx="5067300" cy="2994313"/>
                    </a:xfrm>
                    <a:prstGeom prst="rect">
                      <a:avLst/>
                    </a:prstGeom>
                    <a:noFill/>
                    <a:ln w="9525">
                      <a:noFill/>
                      <a:headEnd/>
                      <a:tailEnd/>
                    </a:ln>
                  </pic:spPr>
                </pic:pic>
              </a:graphicData>
            </a:graphic>
          </wp:inline>
        </w:drawing>
      </w:r>
    </w:p>
    <w:p>
      <w:pPr>
        <w:pStyle w:val="ImageCaption"/>
      </w:pPr>
      <w:r>
        <w:t xml:space="preserve">Conditional volatility của bốn GARCH specification</w:t>
      </w:r>
    </w:p>
    <w:p>
      <w:pPr>
        <w:pStyle w:val="BodyText"/>
      </w:pPr>
      <w:r>
        <w:t xml:space="preserve">Biểu đồ vẽ bốn đường conditional volatility (</w:t>
      </w:r>
      <m:oMath>
        <m:sSub>
          <m:e>
            <m:r>
              <m:t>σ</m:t>
            </m:r>
          </m:e>
          <m:sub>
            <m:r>
              <m:t>t</m:t>
            </m:r>
          </m:sub>
        </m:sSub>
      </m:oMath>
      <w:r>
        <w:t xml:space="preserve">) theo thời gian, mỗi đường tương ứng một GARCH specification. Cần chú ý: (1) bốn đường</w:t>
      </w:r>
      <w:r>
        <w:t xml:space="preserve"> </w:t>
      </w:r>
      <w:r>
        <w:rPr>
          <w:b/>
          <w:bCs/>
        </w:rPr>
        <w:t xml:space="preserve">broadly đồng biến</w:t>
      </w:r>
      <w:r>
        <w:t xml:space="preserve"> </w:t>
      </w:r>
      <w:r>
        <w:t xml:space="preserve">— cùng tăng và giảm theo các giai đoạn, xác nhận rằng các specification đều phát hiện cùng các cụm biến động; (2) các</w:t>
      </w:r>
      <w:r>
        <w:t xml:space="preserve"> </w:t>
      </w:r>
      <w:r>
        <w:rPr>
          <w:b/>
          <w:bCs/>
        </w:rPr>
        <w:t xml:space="preserve">đỉnh (peaks)</w:t>
      </w:r>
      <w:r>
        <w:t xml:space="preserve"> </w:t>
      </w:r>
      <w:r>
        <w:t xml:space="preserve">tương ứng các giai đoạn model ước lượng conditional volatility cao — nhưng báo cáo không tự gán nguyên nhân sự kiện nếu chưa có nguồn bên ngoài xác nhận; (3) sự khác biệt giữa các đường thể hiện ở độ nhạy với shock — eGARCH và GJR có thể phản ứng khác nhau với shock âm do cấu trúc bất đối xứng.</w:t>
      </w:r>
    </w:p>
    <w:p>
      <w:pPr>
        <w:pStyle w:val="CaptionedFigure"/>
      </w:pPr>
      <w:r>
        <w:drawing>
          <wp:inline>
            <wp:extent cx="5067300" cy="2714625"/>
            <wp:effectExtent b="0" l="0" r="0" t="0"/>
            <wp:docPr descr="ACF standardized residual và squared standardized residual" title="" id="69" name="Picture"/>
            <a:graphic>
              <a:graphicData uri="http://schemas.openxmlformats.org/drawingml/2006/picture">
                <pic:pic>
                  <pic:nvPicPr>
                    <pic:cNvPr descr="report_files/cd953a7a2a5a9f7512c96fab26871cc62d0469f9.png" id="70" name="Picture"/>
                    <pic:cNvPicPr>
                      <a:picLocks noChangeArrowheads="1" noChangeAspect="1"/>
                    </pic:cNvPicPr>
                  </pic:nvPicPr>
                  <pic:blipFill>
                    <a:blip r:embed="rId68"/>
                    <a:stretch>
                      <a:fillRect/>
                    </a:stretch>
                  </pic:blipFill>
                  <pic:spPr bwMode="auto">
                    <a:xfrm>
                      <a:off x="0" y="0"/>
                      <a:ext cx="5067300" cy="2714625"/>
                    </a:xfrm>
                    <a:prstGeom prst="rect">
                      <a:avLst/>
                    </a:prstGeom>
                    <a:noFill/>
                    <a:ln w="9525">
                      <a:noFill/>
                      <a:headEnd/>
                      <a:tailEnd/>
                    </a:ln>
                  </pic:spPr>
                </pic:pic>
              </a:graphicData>
            </a:graphic>
          </wp:inline>
        </w:drawing>
      </w:r>
    </w:p>
    <w:p>
      <w:pPr>
        <w:pStyle w:val="ImageCaption"/>
      </w:pPr>
      <w:r>
        <w:t xml:space="preserve">ACF standardized residual và squared standardized residual</w:t>
      </w:r>
    </w:p>
    <w:p>
      <w:pPr>
        <w:pStyle w:val="CaptionedFigure"/>
      </w:pPr>
      <w:r>
        <w:drawing>
          <wp:inline>
            <wp:extent cx="5067300" cy="2533650"/>
            <wp:effectExtent b="0" l="0" r="0" t="0"/>
            <wp:docPr descr="News-impact curves của eGARCH và GJR-GARCH" title="" id="72" name="Picture"/>
            <a:graphic>
              <a:graphicData uri="http://schemas.openxmlformats.org/drawingml/2006/picture">
                <pic:pic>
                  <pic:nvPicPr>
                    <pic:cNvPr descr="report_files/3a07c567705fc3134a94f1decac1d74b3c9e7f08.png" id="73" name="Picture"/>
                    <pic:cNvPicPr>
                      <a:picLocks noChangeArrowheads="1" noChangeAspect="1"/>
                    </pic:cNvPicPr>
                  </pic:nvPicPr>
                  <pic:blipFill>
                    <a:blip r:embed="rId71"/>
                    <a:stretch>
                      <a:fillRect/>
                    </a:stretch>
                  </pic:blipFill>
                  <pic:spPr bwMode="auto">
                    <a:xfrm>
                      <a:off x="0" y="0"/>
                      <a:ext cx="5067300" cy="2533650"/>
                    </a:xfrm>
                    <a:prstGeom prst="rect">
                      <a:avLst/>
                    </a:prstGeom>
                    <a:noFill/>
                    <a:ln w="9525">
                      <a:noFill/>
                      <a:headEnd/>
                      <a:tailEnd/>
                    </a:ln>
                  </pic:spPr>
                </pic:pic>
              </a:graphicData>
            </a:graphic>
          </wp:inline>
        </w:drawing>
      </w:r>
    </w:p>
    <w:p>
      <w:pPr>
        <w:pStyle w:val="ImageCaption"/>
      </w:pPr>
      <w:r>
        <w:t xml:space="preserve">News-impact curves của eGARCH và GJR-GARCH</w:t>
      </w:r>
    </w:p>
    <w:p>
      <w:pPr>
        <w:pStyle w:val="BodyText"/>
      </w:pPr>
      <w:r>
        <w:t xml:space="preserve">News-impact curves cho thấy cách conditional variance phản ứng với standardized shock</w:t>
      </w:r>
      <w:r>
        <w:t xml:space="preserve"> </w:t>
      </w:r>
      <m:oMath>
        <m:sSub>
          <m:e>
            <m:r>
              <m:t>z</m:t>
            </m:r>
          </m:e>
          <m:sub>
            <m:r>
              <m:t>t</m:t>
            </m:r>
          </m:sub>
        </m:sSub>
      </m:oMath>
      <w:r>
        <w:t xml:space="preserve"> </w:t>
      </w:r>
      <w:r>
        <w:t xml:space="preserve">có độ lớn khác nhau. Trục X là độ lớn shock (giá trị âm = shock giảm giá, dương = shock tăng giá), trục Y là conditional variance kết quả. Nếu đường cong</w:t>
      </w:r>
      <w:r>
        <w:t xml:space="preserve"> </w:t>
      </w:r>
      <w:r>
        <w:rPr>
          <w:b/>
          <w:bCs/>
        </w:rPr>
        <w:t xml:space="preserve">đối xứng</w:t>
      </w:r>
      <w:r>
        <w:t xml:space="preserve"> </w:t>
      </w:r>
      <w:r>
        <w:t xml:space="preserve">qua</w:t>
      </w:r>
      <w:r>
        <w:t xml:space="preserve"> </w:t>
      </w:r>
      <m:oMath>
        <m:sSub>
          <m:e>
            <m:r>
              <m:t>z</m:t>
            </m:r>
          </m:e>
          <m:sub>
            <m:r>
              <m:t>t</m:t>
            </m:r>
          </m:sub>
        </m:sSub>
        <m:r>
          <m:rPr>
            <m:sty m:val="p"/>
          </m:rPr>
          <m:t>=</m:t>
        </m:r>
        <m:r>
          <m:t>0</m:t>
        </m:r>
      </m:oMath>
      <w:r>
        <w:t xml:space="preserve">, shock âm và dương cùng độ lớn tác động như nhau. Nếu đường cong</w:t>
      </w:r>
      <w:r>
        <w:t xml:space="preserve"> </w:t>
      </w:r>
      <w:r>
        <w:rPr>
          <w:b/>
          <w:bCs/>
        </w:rPr>
        <w:t xml:space="preserve">dốc hơn ở phía âm</w:t>
      </w:r>
      <w:r>
        <w:t xml:space="preserve">, shock giảm giá làm tăng volatility mạnh hơn shock tăng giá cùng độ lớn — đây là hiệu ứng bất đối xứng (leverage effect) phổ biến trong tài chính. Việc diễn giải leverage cụ thể phải dựa trên dấu, parameterization và robust significance của package.</w:t>
      </w:r>
    </w:p>
    <w:bookmarkEnd w:id="74"/>
    <w:bookmarkStart w:id="75" w:name="kết-luận-phần-volatility"/>
    <w:p>
      <w:pPr>
        <w:pStyle w:val="Heading2"/>
      </w:pPr>
      <w:r>
        <w:rPr>
          <w:rStyle w:val="SectionNumber"/>
        </w:rPr>
        <w:t xml:space="preserve">5.6</w:t>
      </w:r>
      <w:r>
        <w:tab/>
      </w:r>
      <w:r>
        <w:t xml:space="preserve">Kết luận phần volatility</w:t>
      </w:r>
    </w:p>
    <w:p>
      <w:pPr>
        <w:pStyle w:val="FirstParagraph"/>
      </w:pPr>
      <w:r>
        <w:t xml:space="preserve">eGARCH-Student-t là ứng viên cân bằng nhất trong bốn specification đã thử vì fit gần GJR, core diagnostics đạt và Nyblom stability đạt. Pearson GOF vẫn bị bác bỏ và dự án chưa đánh giá volatility forecast ngoài mẫu bằng QLIKE/MSE hoặc VaR backtest. Do đó kết quả chỉ mô tả conditional volatility lịch sử, không phải hệ thống quản trị rủi ro sẵn sàng triển khai.</w:t>
      </w:r>
    </w:p>
    <w:bookmarkEnd w:id="75"/>
    <w:bookmarkEnd w:id="76"/>
    <w:bookmarkStart w:id="80" w:name="kết-luận-hạn-chế-và-hướng-phát-triển"/>
    <w:p>
      <w:pPr>
        <w:pStyle w:val="Heading1"/>
      </w:pPr>
      <w:r>
        <w:rPr>
          <w:rStyle w:val="SectionNumber"/>
        </w:rPr>
        <w:t xml:space="preserve">6</w:t>
      </w:r>
      <w:r>
        <w:tab/>
      </w:r>
      <w:r>
        <w:t xml:space="preserve">Kết luận, hạn chế và hướng phát triển</w:t>
      </w:r>
    </w:p>
    <w:bookmarkStart w:id="77" w:name="kết-luận"/>
    <w:p>
      <w:pPr>
        <w:pStyle w:val="Heading2"/>
      </w:pPr>
      <w:r>
        <w:rPr>
          <w:rStyle w:val="SectionNumber"/>
        </w:rPr>
        <w:t xml:space="preserve">6.1</w:t>
      </w:r>
      <w:r>
        <w:tab/>
      </w:r>
      <w:r>
        <w:t xml:space="preserve">Kết luận</w:t>
      </w:r>
    </w:p>
    <w:p>
      <w:pPr>
        <w:pStyle w:val="Compact"/>
        <w:numPr>
          <w:ilvl w:val="0"/>
          <w:numId w:val="1011"/>
        </w:numPr>
      </w:pPr>
      <w:r>
        <w:t xml:space="preserve">Raw data có 2,960 dòng; sau khi loại 173 hàng volume bằng 0 và chuẩn hóa 1 OHLC row, dữ liệu model còn 2,787 dòng và 2,786 log returns.</w:t>
      </w:r>
    </w:p>
    <w:p>
      <w:pPr>
        <w:pStyle w:val="Compact"/>
        <w:numPr>
          <w:ilvl w:val="0"/>
          <w:numId w:val="1011"/>
        </w:numPr>
      </w:pPr>
      <w:r>
        <w:t xml:space="preserve">ADF chưa bác bỏ unit root cho</w:t>
      </w:r>
      <w:r>
        <w:t xml:space="preserve"> </w:t>
      </w:r>
      <w:r>
        <w:rPr>
          <w:rStyle w:val="VerbatimChar"/>
        </w:rPr>
        <w:t xml:space="preserve">close</w:t>
      </w:r>
      <w:r>
        <w:t xml:space="preserve"> </w:t>
      </w:r>
      <w:r>
        <w:t xml:space="preserve">và</w:t>
      </w:r>
      <w:r>
        <w:t xml:space="preserve"> </w:t>
      </w:r>
      <w:r>
        <w:rPr>
          <w:rStyle w:val="VerbatimChar"/>
        </w:rPr>
        <w:t xml:space="preserve">log_close</w:t>
      </w:r>
      <w:r>
        <w:t xml:space="preserve">, nhưng bác bỏ unit root cho</w:t>
      </w:r>
      <w:r>
        <w:t xml:space="preserve"> </w:t>
      </w:r>
      <w:r>
        <w:rPr>
          <w:rStyle w:val="VerbatimChar"/>
        </w:rPr>
        <w:t xml:space="preserve">return</w:t>
      </w:r>
      <w:r>
        <w:t xml:space="preserve">.</w:t>
      </w:r>
    </w:p>
    <w:p>
      <w:pPr>
        <w:pStyle w:val="Compact"/>
        <w:numPr>
          <w:ilvl w:val="0"/>
          <w:numId w:val="1011"/>
        </w:numPr>
      </w:pPr>
      <w:r>
        <w:t xml:space="preserve">ETS Damped dẫn holdout theo RMSE nhưng chỉ hơn Naive 0.72; Naive dẫn rolling CV; mọi fitted forecast model còn residual autocorrelation.</w:t>
      </w:r>
    </w:p>
    <w:p>
      <w:pPr>
        <w:pStyle w:val="Compact"/>
        <w:numPr>
          <w:ilvl w:val="0"/>
          <w:numId w:val="1011"/>
        </w:numPr>
      </w:pPr>
      <w:r>
        <w:t xml:space="preserve">Pre-fit ARCH-LM phát hiện ARCH effect. Student-t cải thiện relative fit so với Normal trong GARCH.</w:t>
      </w:r>
    </w:p>
    <w:p>
      <w:pPr>
        <w:pStyle w:val="Compact"/>
        <w:numPr>
          <w:ilvl w:val="0"/>
          <w:numId w:val="1011"/>
        </w:numPr>
      </w:pPr>
      <w:r>
        <w:t xml:space="preserve">GJR có AIC thấp nhất nhưng parameter stability không đạt; eGARCH-Student-t là ứng viên cân bằng nhờ fit gần GJR, core diagnostics và Nyblom stability đạt.</w:t>
      </w:r>
    </w:p>
    <w:p>
      <w:pPr>
        <w:pStyle w:val="Compact"/>
        <w:numPr>
          <w:ilvl w:val="0"/>
          <w:numId w:val="1011"/>
        </w:numPr>
      </w:pPr>
      <w:r>
        <w:t xml:space="preserve">Distribution GOF còn bị bác bỏ cho cả bốn GARCH, nên không có model hoàn hảo.</w:t>
      </w:r>
    </w:p>
    <w:p>
      <w:pPr>
        <w:pStyle w:val="FirstParagraph"/>
      </w:pPr>
      <w:r>
        <w:t xml:space="preserve">Các kết luận trên chỉ áp dụng cho sample, specification và protocol hiện tại. Dự án không chứng minh quan hệ nhân quả, không định giá FPT và không đưa ra khuyến nghị đầu tư.</w:t>
      </w:r>
    </w:p>
    <w:bookmarkEnd w:id="77"/>
    <w:bookmarkStart w:id="78" w:name="hạn-chế"/>
    <w:p>
      <w:pPr>
        <w:pStyle w:val="Heading2"/>
      </w:pPr>
      <w:r>
        <w:rPr>
          <w:rStyle w:val="SectionNumber"/>
        </w:rPr>
        <w:t xml:space="preserve">6.2</w:t>
      </w:r>
      <w:r>
        <w:tab/>
      </w:r>
      <w:r>
        <w:t xml:space="preserve">Hạn chế</w:t>
      </w:r>
    </w:p>
    <w:p>
      <w:pPr>
        <w:pStyle w:val="Compact"/>
        <w:numPr>
          <w:ilvl w:val="0"/>
          <w:numId w:val="1012"/>
        </w:numPr>
      </w:pPr>
      <w:r>
        <w:t xml:space="preserve">Chỉ sử dụng lịch sử một cổ phiếu từ một nhà cung cấp.</w:t>
      </w:r>
    </w:p>
    <w:p>
      <w:pPr>
        <w:pStyle w:val="Compact"/>
        <w:numPr>
          <w:ilvl w:val="0"/>
          <w:numId w:val="1012"/>
        </w:numPr>
      </w:pPr>
      <w:r>
        <w:t xml:space="preserve">Holdout 30 phiên ngắn; kết quả nhạy với cửa sổ đánh giá.</w:t>
      </w:r>
    </w:p>
    <w:p>
      <w:pPr>
        <w:pStyle w:val="Compact"/>
        <w:numPr>
          <w:ilvl w:val="0"/>
          <w:numId w:val="1012"/>
        </w:numPr>
      </w:pPr>
      <w:r>
        <w:t xml:space="preserve">SARIMA và ARIMAX chưa có rolling CV cùng coverage.</w:t>
      </w:r>
    </w:p>
    <w:p>
      <w:pPr>
        <w:pStyle w:val="Compact"/>
        <w:numPr>
          <w:ilvl w:val="0"/>
          <w:numId w:val="1012"/>
        </w:numPr>
      </w:pPr>
      <w:r>
        <w:t xml:space="preserve">Tất cả fitted forecast models còn residual autocorrelation.</w:t>
      </w:r>
    </w:p>
    <w:p>
      <w:pPr>
        <w:pStyle w:val="Compact"/>
        <w:numPr>
          <w:ilvl w:val="0"/>
          <w:numId w:val="1012"/>
        </w:numPr>
      </w:pPr>
      <w:r>
        <w:t xml:space="preserve">Ba trong bốn GARCH không đạt Nyblom joint stability.</w:t>
      </w:r>
    </w:p>
    <w:p>
      <w:pPr>
        <w:pStyle w:val="Compact"/>
        <w:numPr>
          <w:ilvl w:val="0"/>
          <w:numId w:val="1012"/>
        </w:numPr>
      </w:pPr>
      <w:r>
        <w:t xml:space="preserve">Pearson GOF bác bỏ distribution fit ở cả bốn GARCH.</w:t>
      </w:r>
    </w:p>
    <w:p>
      <w:pPr>
        <w:pStyle w:val="Compact"/>
        <w:numPr>
          <w:ilvl w:val="0"/>
          <w:numId w:val="1012"/>
        </w:numPr>
      </w:pPr>
      <w:r>
        <w:t xml:space="preserve">Chưa có out-of-sample volatility loss hoặc VaR backtest.</w:t>
      </w:r>
    </w:p>
    <w:p>
      <w:pPr>
        <w:pStyle w:val="Compact"/>
        <w:numPr>
          <w:ilvl w:val="0"/>
          <w:numId w:val="1012"/>
        </w:numPr>
      </w:pPr>
      <w:r>
        <w:t xml:space="preserve">Chưa kiểm tra structural breaks một cách chuyên biệt.</w:t>
      </w:r>
    </w:p>
    <w:bookmarkEnd w:id="78"/>
    <w:bookmarkStart w:id="79" w:name="hướng-phát-triển"/>
    <w:p>
      <w:pPr>
        <w:pStyle w:val="Heading2"/>
      </w:pPr>
      <w:r>
        <w:rPr>
          <w:rStyle w:val="SectionNumber"/>
        </w:rPr>
        <w:t xml:space="preserve">6.3</w:t>
      </w:r>
      <w:r>
        <w:tab/>
      </w:r>
      <w:r>
        <w:t xml:space="preserve">Hướng phát triển</w:t>
      </w:r>
    </w:p>
    <w:p>
      <w:pPr>
        <w:pStyle w:val="Compact"/>
        <w:numPr>
          <w:ilvl w:val="0"/>
          <w:numId w:val="1013"/>
        </w:numPr>
      </w:pPr>
      <w:r>
        <w:t xml:space="preserve">Chạy cùng rolling-origin folds cho toàn bộ forecast models.</w:t>
      </w:r>
    </w:p>
    <w:p>
      <w:pPr>
        <w:pStyle w:val="Compact"/>
        <w:numPr>
          <w:ilvl w:val="0"/>
          <w:numId w:val="1013"/>
        </w:numPr>
      </w:pPr>
      <w:r>
        <w:t xml:space="preserve">Bổ sung MASE và prediction-interval coverage.</w:t>
      </w:r>
    </w:p>
    <w:p>
      <w:pPr>
        <w:pStyle w:val="Compact"/>
        <w:numPr>
          <w:ilvl w:val="0"/>
          <w:numId w:val="1013"/>
        </w:numPr>
      </w:pPr>
      <w:r>
        <w:t xml:space="preserve">Dùng rolling/expanding evaluation cho volatility với QLIKE hoặc MSE trên variance proxy.</w:t>
      </w:r>
    </w:p>
    <w:p>
      <w:pPr>
        <w:pStyle w:val="Compact"/>
        <w:numPr>
          <w:ilvl w:val="0"/>
          <w:numId w:val="1013"/>
        </w:numPr>
      </w:pPr>
      <w:r>
        <w:t xml:space="preserve">Thực hiện VaR backtest bằng Kupiec và Christoffersen.</w:t>
      </w:r>
    </w:p>
    <w:p>
      <w:pPr>
        <w:pStyle w:val="Compact"/>
        <w:numPr>
          <w:ilvl w:val="0"/>
          <w:numId w:val="1013"/>
        </w:numPr>
      </w:pPr>
      <w:r>
        <w:t xml:space="preserve">Thử skewed Student-t/GED và kiểm tra distribution fit.</w:t>
      </w:r>
    </w:p>
    <w:p>
      <w:pPr>
        <w:pStyle w:val="Compact"/>
        <w:numPr>
          <w:ilvl w:val="0"/>
          <w:numId w:val="1013"/>
        </w:numPr>
      </w:pPr>
      <w:r>
        <w:t xml:space="preserve">Kiểm tra structural breaks hoặc regime-switching.</w:t>
      </w:r>
    </w:p>
    <w:p>
      <w:pPr>
        <w:pStyle w:val="Compact"/>
        <w:numPr>
          <w:ilvl w:val="0"/>
          <w:numId w:val="1013"/>
        </w:numPr>
      </w:pPr>
      <w:r>
        <w:t xml:space="preserve">Thêm VN-Index, biến vĩ mô hoặc thông tin doanh nghiệp với thiết kế chống leakage.</w:t>
      </w:r>
    </w:p>
    <w:p>
      <w:pPr>
        <w:pStyle w:val="FirstParagraph"/>
      </w:pPr>
      <w:r>
        <w:t xml:space="preserve">Ưu tiên của nghiên cứu tiếp theo là đánh giá công bằng và ngoài mẫu, không phải chỉ tăng số lượng model.</w:t>
      </w:r>
    </w:p>
    <w:bookmarkEnd w:id="79"/>
    <w:bookmarkEnd w:id="80"/>
    <w:bookmarkStart w:id="83" w:name="phụ-lục"/>
    <w:p>
      <w:pPr>
        <w:pStyle w:val="Heading1"/>
      </w:pPr>
      <w:r>
        <w:rPr>
          <w:rStyle w:val="SectionNumber"/>
        </w:rPr>
        <w:t xml:space="preserve">7</w:t>
      </w:r>
      <w:r>
        <w:tab/>
      </w:r>
      <w:r>
        <w:t xml:space="preserve">Phụ lục</w:t>
      </w:r>
    </w:p>
    <w:bookmarkStart w:id="81" w:name="cách-tái-lập"/>
    <w:p>
      <w:pPr>
        <w:pStyle w:val="Heading2"/>
      </w:pPr>
      <w:r>
        <w:rPr>
          <w:rStyle w:val="SectionNumber"/>
        </w:rPr>
        <w:t xml:space="preserve">7.1</w:t>
      </w:r>
      <w:r>
        <w:tab/>
      </w:r>
      <w:r>
        <w:t xml:space="preserve">Cách tái lập</w:t>
      </w:r>
    </w:p>
    <w:p>
      <w:pPr>
        <w:pStyle w:val="FirstParagraph"/>
      </w:pPr>
      <w:r>
        <w:t xml:space="preserve">Từ project root, chạy một lệnh:</w:t>
      </w:r>
    </w:p>
    <w:p>
      <w:pPr>
        <w:pStyle w:val="SourceCode"/>
      </w:pPr>
      <w:r>
        <w:rPr>
          <w:rStyle w:val="FunctionTok"/>
        </w:rPr>
        <w:t xml:space="preserve">source</w:t>
      </w:r>
      <w:r>
        <w:rPr>
          <w:rStyle w:val="NormalTok"/>
        </w:rPr>
        <w:t xml:space="preserve">(</w:t>
      </w:r>
      <w:r>
        <w:rPr>
          <w:rStyle w:val="StringTok"/>
        </w:rPr>
        <w:t xml:space="preserve">"R/run_all.R"</w:t>
      </w:r>
      <w:r>
        <w:rPr>
          <w:rStyle w:val="NormalTok"/>
        </w:rPr>
        <w:t xml:space="preserve">)</w:t>
      </w:r>
    </w:p>
    <w:p>
      <w:pPr>
        <w:pStyle w:val="FirstParagraph"/>
      </w:pPr>
      <w:r>
        <w:t xml:space="preserve">Entry point kiểm tra package, chạy script 01-06, ghi</w:t>
      </w:r>
      <w:r>
        <w:t xml:space="preserve"> </w:t>
      </w:r>
      <w:r>
        <w:rPr>
          <w:rStyle w:val="VerbatimChar"/>
        </w:rPr>
        <w:t xml:space="preserve">output/pipeline_log.txt</w:t>
      </w:r>
      <w:r>
        <w:t xml:space="preserve">, rồi render báo cáo và khung slide Word. Các package chính gồm</w:t>
      </w:r>
      <w:r>
        <w:t xml:space="preserve"> </w:t>
      </w:r>
      <w:r>
        <w:rPr>
          <w:rStyle w:val="VerbatimChar"/>
        </w:rPr>
        <w:t xml:space="preserve">tidyverse</w:t>
      </w:r>
      <w:r>
        <w:t xml:space="preserve">,</w:t>
      </w:r>
      <w:r>
        <w:t xml:space="preserve"> </w:t>
      </w:r>
      <w:r>
        <w:rPr>
          <w:rStyle w:val="VerbatimChar"/>
        </w:rPr>
        <w:t xml:space="preserve">forecast</w:t>
      </w:r>
      <w:r>
        <w:t xml:space="preserve">,</w:t>
      </w:r>
      <w:r>
        <w:t xml:space="preserve"> </w:t>
      </w:r>
      <w:r>
        <w:rPr>
          <w:rStyle w:val="VerbatimChar"/>
        </w:rPr>
        <w:t xml:space="preserve">tseries</w:t>
      </w:r>
      <w:r>
        <w:t xml:space="preserve">,</w:t>
      </w:r>
      <w:r>
        <w:t xml:space="preserve"> </w:t>
      </w:r>
      <w:r>
        <w:rPr>
          <w:rStyle w:val="VerbatimChar"/>
        </w:rPr>
        <w:t xml:space="preserve">FinTS</w:t>
      </w:r>
      <w:r>
        <w:t xml:space="preserve">,</w:t>
      </w:r>
      <w:r>
        <w:t xml:space="preserve"> </w:t>
      </w:r>
      <w:r>
        <w:rPr>
          <w:rStyle w:val="VerbatimChar"/>
        </w:rPr>
        <w:t xml:space="preserve">rugarch</w:t>
      </w:r>
      <w:r>
        <w:t xml:space="preserve">,</w:t>
      </w:r>
      <w:r>
        <w:t xml:space="preserve"> </w:t>
      </w:r>
      <w:r>
        <w:rPr>
          <w:rStyle w:val="VerbatimChar"/>
        </w:rPr>
        <w:t xml:space="preserve">openxlsx</w:t>
      </w:r>
      <w:r>
        <w:t xml:space="preserve">,</w:t>
      </w:r>
      <w:r>
        <w:t xml:space="preserve"> </w:t>
      </w:r>
      <w:r>
        <w:rPr>
          <w:rStyle w:val="VerbatimChar"/>
        </w:rPr>
        <w:t xml:space="preserve">knitr</w:t>
      </w:r>
      <w:r>
        <w:t xml:space="preserve"> </w:t>
      </w:r>
      <w:r>
        <w:t xml:space="preserve">và</w:t>
      </w:r>
      <w:r>
        <w:t xml:space="preserve"> </w:t>
      </w:r>
      <w:r>
        <w:rPr>
          <w:rStyle w:val="VerbatimChar"/>
        </w:rPr>
        <w:t xml:space="preserve">rmarkdown</w:t>
      </w:r>
      <w:r>
        <w:t xml:space="preserve">.</w:t>
      </w:r>
    </w:p>
    <w:bookmarkEnd w:id="81"/>
    <w:bookmarkStart w:id="82" w:name="quy-tắc-diễn-giải-kiểm-định"/>
    <w:p>
      <w:pPr>
        <w:pStyle w:val="Heading2"/>
      </w:pPr>
      <w:r>
        <w:rPr>
          <w:rStyle w:val="SectionNumber"/>
        </w:rPr>
        <w:t xml:space="preserve">7.2</w:t>
      </w:r>
      <w:r>
        <w:tab/>
      </w:r>
      <w:r>
        <w:t xml:space="preserve">Quy tắc diễn giải kiểm định</w:t>
      </w:r>
    </w:p>
    <w:p>
      <w:pPr>
        <w:pStyle w:val="Compact"/>
        <w:numPr>
          <w:ilvl w:val="0"/>
          <w:numId w:val="1014"/>
        </w:numPr>
      </w:pPr>
      <w:r>
        <w:t xml:space="preserve">P-value nhỏ hơn 0,05: bác bỏ H0 ở mức 5%.</w:t>
      </w:r>
    </w:p>
    <w:p>
      <w:pPr>
        <w:pStyle w:val="Compact"/>
        <w:numPr>
          <w:ilvl w:val="0"/>
          <w:numId w:val="1014"/>
        </w:numPr>
      </w:pPr>
      <w:r>
        <w:t xml:space="preserve">P-value lớn hơn hoặc bằng 0,05: chưa đủ bằng chứng bác bỏ H0.</w:t>
      </w:r>
    </w:p>
    <w:p>
      <w:pPr>
        <w:pStyle w:val="Compact"/>
        <w:numPr>
          <w:ilvl w:val="0"/>
          <w:numId w:val="1014"/>
        </w:numPr>
      </w:pPr>
      <w:r>
        <w:t xml:space="preserve">P-value lớn không chứng minh H0 đúng hoặc model hoàn hảo.</w:t>
      </w:r>
    </w:p>
    <w:p>
      <w:pPr>
        <w:pStyle w:val="Compact"/>
        <w:numPr>
          <w:ilvl w:val="0"/>
          <w:numId w:val="1014"/>
        </w:numPr>
      </w:pPr>
      <w:r>
        <w:t xml:space="preserve">AIC/BIC chỉ so sánh các model dùng cùng response và sample.</w:t>
      </w:r>
    </w:p>
    <w:p>
      <w:pPr>
        <w:pStyle w:val="Compact"/>
        <w:numPr>
          <w:ilvl w:val="0"/>
          <w:numId w:val="1014"/>
        </w:numPr>
      </w:pPr>
      <w:r>
        <w:t xml:space="preserve">Metric holdout/CV đánh giá ngoài mẫu; AIC/BIC đánh giá relative in-sample fit.</w:t>
      </w:r>
    </w:p>
    <w:bookmarkEnd w:id="82"/>
    <w:bookmarkEnd w:id="83"/>
    <w:bookmarkStart w:id="84" w:name="đóng-góp-thành-viên"/>
    <w:p>
      <w:pPr>
        <w:pStyle w:val="Heading1"/>
      </w:pPr>
      <w:r>
        <w:rPr>
          <w:rStyle w:val="SectionNumber"/>
        </w:rPr>
        <w:t xml:space="preserve">8</w:t>
      </w:r>
      <w:r>
        <w:tab/>
      </w:r>
      <w:r>
        <w:t xml:space="preserve">Đóng góp thành viên</w:t>
      </w:r>
    </w:p>
    <w:tbl>
      <w:tblPr>
        <w:tblStyle w:val="Table"/>
        <w:tblW w:type="pct" w:w="5000"/>
        <w:tblLayout w:type="fixed"/>
        <w:tblLook w:firstRow="1" w:lastRow="0" w:firstColumn="0" w:lastColumn="0" w:noHBand="0" w:noVBand="0" w:val="0020"/>
      </w:tblPr>
      <w:tblGrid>
        <w:gridCol w:w="1827"/>
        <w:gridCol w:w="2436"/>
        <w:gridCol w:w="1827"/>
        <w:gridCol w:w="1827"/>
      </w:tblGrid>
      <w:tr>
        <w:trPr>
          <w:tblHeader w:val="on"/>
        </w:trPr>
        <w:tc>
          <w:tcPr/>
          <w:p>
            <w:pPr>
              <w:pStyle w:val="Compact"/>
            </w:pPr>
            <w:r>
              <w:t xml:space="preserve">Thành viên</w:t>
            </w:r>
          </w:p>
        </w:tc>
        <w:tc>
          <w:tcPr/>
          <w:p>
            <w:pPr>
              <w:pStyle w:val="Compact"/>
              <w:jc w:val="right"/>
            </w:pPr>
            <w:r>
              <w:t xml:space="preserve">Tỷ lệ</w:t>
            </w:r>
          </w:p>
        </w:tc>
        <w:tc>
          <w:tcPr/>
          <w:p>
            <w:pPr>
              <w:pStyle w:val="Compact"/>
            </w:pPr>
            <w:r>
              <w:t xml:space="preserve">Phạm vi đóng góp</w:t>
            </w:r>
          </w:p>
        </w:tc>
        <w:tc>
          <w:tcPr/>
          <w:p>
            <w:pPr>
              <w:pStyle w:val="Compact"/>
            </w:pPr>
            <w:r>
              <w:t xml:space="preserve">Artifact chính</w:t>
            </w:r>
          </w:p>
        </w:tc>
      </w:tr>
      <w:tr>
        <w:tc>
          <w:tcPr/>
          <w:p>
            <w:pPr>
              <w:pStyle w:val="Compact"/>
            </w:pPr>
            <w:r>
              <w:t xml:space="preserve">Trần Thiên Lực (24133037)</w:t>
            </w:r>
          </w:p>
        </w:tc>
        <w:tc>
          <w:tcPr/>
          <w:p>
            <w:pPr>
              <w:pStyle w:val="Compact"/>
              <w:jc w:val="right"/>
            </w:pPr>
            <w:r>
              <w:t xml:space="preserve">30%</w:t>
            </w:r>
          </w:p>
        </w:tc>
        <w:tc>
          <w:tcPr/>
          <w:p>
            <w:pPr>
              <w:pStyle w:val="Compact"/>
            </w:pPr>
            <w:r>
              <w:t xml:space="preserve">Nguồn dữ liệu, cleaning, quality checks và EDA</w:t>
            </w:r>
          </w:p>
        </w:tc>
        <w:tc>
          <w:tcPr/>
          <w:p>
            <w:pPr>
              <w:pStyle w:val="Compact"/>
            </w:pPr>
            <w:r>
              <w:t xml:space="preserve">Notebook,</w:t>
            </w:r>
            <w:r>
              <w:t xml:space="preserve"> </w:t>
            </w:r>
            <w:r>
              <w:rPr>
                <w:rStyle w:val="VerbatimChar"/>
              </w:rPr>
              <w:t xml:space="preserve">R/01</w:t>
            </w:r>
            <w:r>
              <w:t xml:space="preserve">,</w:t>
            </w:r>
            <w:r>
              <w:t xml:space="preserve"> </w:t>
            </w:r>
            <w:r>
              <w:rPr>
                <w:rStyle w:val="VerbatimChar"/>
              </w:rPr>
              <w:t xml:space="preserve">R/02</w:t>
            </w:r>
            <w:r>
              <w:t xml:space="preserve">, dữ liệu và hình EDA</w:t>
            </w:r>
          </w:p>
        </w:tc>
      </w:tr>
      <w:tr>
        <w:tc>
          <w:tcPr/>
          <w:p>
            <w:pPr>
              <w:pStyle w:val="Compact"/>
            </w:pPr>
            <w:r>
              <w:t xml:space="preserve">Nguyễn Đức Học (24162039)</w:t>
            </w:r>
          </w:p>
        </w:tc>
        <w:tc>
          <w:tcPr/>
          <w:p>
            <w:pPr>
              <w:pStyle w:val="Compact"/>
              <w:jc w:val="right"/>
            </w:pPr>
            <w:r>
              <w:t xml:space="preserve">35%</w:t>
            </w:r>
          </w:p>
        </w:tc>
        <w:tc>
          <w:tcPr/>
          <w:p>
            <w:pPr>
              <w:pStyle w:val="Compact"/>
            </w:pPr>
            <w:r>
              <w:t xml:space="preserve">ADF, forecast framework, benchmark, rolling CV và diagnostics</w:t>
            </w:r>
          </w:p>
        </w:tc>
        <w:tc>
          <w:tcPr/>
          <w:p>
            <w:pPr>
              <w:pStyle w:val="Compact"/>
            </w:pPr>
            <w:r>
              <w:rPr>
                <w:rStyle w:val="VerbatimChar"/>
              </w:rPr>
              <w:t xml:space="preserve">R/03</w:t>
            </w:r>
            <w:r>
              <w:t xml:space="preserve">, bảng/hình forecast</w:t>
            </w:r>
          </w:p>
        </w:tc>
      </w:tr>
      <w:tr>
        <w:tc>
          <w:tcPr/>
          <w:p>
            <w:pPr>
              <w:pStyle w:val="Compact"/>
            </w:pPr>
            <w:r>
              <w:t xml:space="preserve">Lê Đặng Hoàng Anh (24162006)</w:t>
            </w:r>
          </w:p>
        </w:tc>
        <w:tc>
          <w:tcPr/>
          <w:p>
            <w:pPr>
              <w:pStyle w:val="Compact"/>
              <w:jc w:val="right"/>
            </w:pPr>
            <w:r>
              <w:t xml:space="preserve">35%</w:t>
            </w:r>
          </w:p>
        </w:tc>
        <w:tc>
          <w:tcPr/>
          <w:p>
            <w:pPr>
              <w:pStyle w:val="Compact"/>
            </w:pPr>
            <w:r>
              <w:t xml:space="preserve">GARCH variants, diagnostics, comparison và tích hợp báo cáo</w:t>
            </w:r>
          </w:p>
        </w:tc>
        <w:tc>
          <w:tcPr/>
          <w:p>
            <w:pPr>
              <w:pStyle w:val="Compact"/>
            </w:pPr>
            <w:r>
              <w:rPr>
                <w:rStyle w:val="VerbatimChar"/>
              </w:rPr>
              <w:t xml:space="preserve">R/04</w:t>
            </w:r>
            <w:r>
              <w:t xml:space="preserve">-</w:t>
            </w:r>
            <w:r>
              <w:rPr>
                <w:rStyle w:val="VerbatimChar"/>
              </w:rPr>
              <w:t xml:space="preserve">R/06</w:t>
            </w:r>
            <w:r>
              <w:t xml:space="preserve">, Word và khung slide</w:t>
            </w:r>
          </w:p>
        </w:tc>
      </w:tr>
    </w:tbl>
    <w:bookmarkEnd w:id="84"/>
    <w:bookmarkStart w:id="85" w:name="tài-liệu-tham-khảo"/>
    <w:p>
      <w:pPr>
        <w:pStyle w:val="Heading1"/>
      </w:pPr>
      <w:r>
        <w:rPr>
          <w:rStyle w:val="SectionNumber"/>
        </w:rPr>
        <w:t xml:space="preserve">9</w:t>
      </w:r>
      <w:r>
        <w:tab/>
      </w:r>
      <w:r>
        <w:t xml:space="preserve">Tài liệu tham khảo</w:t>
      </w:r>
    </w:p>
    <w:p>
      <w:pPr>
        <w:pStyle w:val="Compact"/>
        <w:numPr>
          <w:ilvl w:val="0"/>
          <w:numId w:val="1015"/>
        </w:numPr>
      </w:pPr>
      <w:r>
        <w:t xml:space="preserve">Hyndman, R. J., &amp; Athanasopoulos, G. (2021).</w:t>
      </w:r>
      <w:r>
        <w:t xml:space="preserve"> </w:t>
      </w:r>
      <w:r>
        <w:rPr>
          <w:i/>
          <w:iCs/>
        </w:rPr>
        <w:t xml:space="preserve">Forecasting: Principles and Practice</w:t>
      </w:r>
      <w:r>
        <w:t xml:space="preserve"> </w:t>
      </w:r>
      <w:r>
        <w:t xml:space="preserve">(3rd ed.). OTexts.</w:t>
      </w:r>
    </w:p>
    <w:p>
      <w:pPr>
        <w:pStyle w:val="Compact"/>
        <w:numPr>
          <w:ilvl w:val="0"/>
          <w:numId w:val="1015"/>
        </w:numPr>
      </w:pPr>
      <w:r>
        <w:t xml:space="preserve">Tsay, R. S. (2010).</w:t>
      </w:r>
      <w:r>
        <w:t xml:space="preserve"> </w:t>
      </w:r>
      <w:r>
        <w:rPr>
          <w:i/>
          <w:iCs/>
        </w:rPr>
        <w:t xml:space="preserve">Analysis of Financial Time Series</w:t>
      </w:r>
      <w:r>
        <w:t xml:space="preserve"> </w:t>
      </w:r>
      <w:r>
        <w:t xml:space="preserve">(3rd ed.). Wiley.</w:t>
      </w:r>
    </w:p>
    <w:p>
      <w:pPr>
        <w:pStyle w:val="Compact"/>
        <w:numPr>
          <w:ilvl w:val="0"/>
          <w:numId w:val="1015"/>
        </w:numPr>
      </w:pPr>
      <w:r>
        <w:t xml:space="preserve">Engle, R. F. (1982). Autoregressive conditional heteroscedasticity with estimates of the variance of United Kingdom inflation.</w:t>
      </w:r>
      <w:r>
        <w:t xml:space="preserve"> </w:t>
      </w:r>
      <w:r>
        <w:rPr>
          <w:i/>
          <w:iCs/>
        </w:rPr>
        <w:t xml:space="preserve">Econometrica</w:t>
      </w:r>
      <w:r>
        <w:t xml:space="preserve">, 50(4), 987-1007.</w:t>
      </w:r>
    </w:p>
    <w:p>
      <w:pPr>
        <w:pStyle w:val="Compact"/>
        <w:numPr>
          <w:ilvl w:val="0"/>
          <w:numId w:val="1015"/>
        </w:numPr>
      </w:pPr>
      <w:r>
        <w:t xml:space="preserve">Bollerslev, T. (1986). Generalized autoregressive conditional heteroskedasticity.</w:t>
      </w:r>
      <w:r>
        <w:t xml:space="preserve"> </w:t>
      </w:r>
      <w:r>
        <w:rPr>
          <w:i/>
          <w:iCs/>
        </w:rPr>
        <w:t xml:space="preserve">Journal of Econometrics</w:t>
      </w:r>
      <w:r>
        <w:t xml:space="preserve">, 31(3), 307-327.</w:t>
      </w:r>
    </w:p>
    <w:p>
      <w:pPr>
        <w:pStyle w:val="Compact"/>
        <w:numPr>
          <w:ilvl w:val="0"/>
          <w:numId w:val="1015"/>
        </w:numPr>
      </w:pPr>
      <w:r>
        <w:t xml:space="preserve">Nelson, D. B. (1991). Conditional heteroskedasticity in asset returns: A new approach.</w:t>
      </w:r>
      <w:r>
        <w:t xml:space="preserve"> </w:t>
      </w:r>
      <w:r>
        <w:rPr>
          <w:i/>
          <w:iCs/>
        </w:rPr>
        <w:t xml:space="preserve">Econometrica</w:t>
      </w:r>
      <w:r>
        <w:t xml:space="preserve">, 59(2), 347-370.</w:t>
      </w:r>
    </w:p>
    <w:p>
      <w:pPr>
        <w:pStyle w:val="Compact"/>
        <w:numPr>
          <w:ilvl w:val="0"/>
          <w:numId w:val="1015"/>
        </w:numPr>
      </w:pPr>
      <w:r>
        <w:t xml:space="preserve">Glosten, L. R., Jagannathan, R., &amp; Runkle, D. E. (1993). On the relation between expected value and volatility of nominal excess returns.</w:t>
      </w:r>
      <w:r>
        <w:t xml:space="preserve"> </w:t>
      </w:r>
      <w:r>
        <w:rPr>
          <w:i/>
          <w:iCs/>
        </w:rPr>
        <w:t xml:space="preserve">Journal of Finance</w:t>
      </w:r>
      <w:r>
        <w:t xml:space="preserve">, 48(5), 1779-1801.</w:t>
      </w:r>
    </w:p>
    <w:p>
      <w:pPr>
        <w:pStyle w:val="Compact"/>
        <w:numPr>
          <w:ilvl w:val="0"/>
          <w:numId w:val="1015"/>
        </w:numPr>
      </w:pPr>
      <w:r>
        <w:t xml:space="preserve">Ghalanos, A.</w:t>
      </w:r>
      <w:r>
        <w:t xml:space="preserve"> </w:t>
      </w:r>
      <w:r>
        <w:rPr>
          <w:i/>
          <w:iCs/>
        </w:rPr>
        <w:t xml:space="preserve">rugarch: Univariate GARCH Models</w:t>
      </w:r>
      <w:r>
        <w:t xml:space="preserve">. R package documentation.</w:t>
      </w:r>
    </w:p>
    <w:p>
      <w:pPr>
        <w:pStyle w:val="Compact"/>
        <w:numPr>
          <w:ilvl w:val="0"/>
          <w:numId w:val="1015"/>
        </w:numPr>
      </w:pPr>
      <w:r>
        <w:t xml:space="preserve">Yahoo Finance. Historical data for</w:t>
      </w:r>
      <w:r>
        <w:t xml:space="preserve"> </w:t>
      </w:r>
      <w:r>
        <w:rPr>
          <w:rStyle w:val="VerbatimChar"/>
        </w:rPr>
        <w:t xml:space="preserve">FPT.VN</w:t>
      </w:r>
      <w:r>
        <w:t xml:space="preserve">, accessed through the reproducible notebook in this repository.</w:t>
      </w:r>
    </w:p>
    <w:bookmarkEnd w:id="85"/>
    <w:bookmarkStart w:id="86" w:name="peer-assessment"/>
    <w:p>
      <w:pPr>
        <w:pStyle w:val="Heading1"/>
      </w:pPr>
      <w:r>
        <w:rPr>
          <w:rStyle w:val="SectionNumber"/>
        </w:rPr>
        <w:t xml:space="preserve">10</w:t>
      </w:r>
      <w:r>
        <w:tab/>
      </w:r>
      <w:r>
        <w:t xml:space="preserve">Peer assessment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viên</w:t>
            </w:r>
          </w:p>
        </w:tc>
        <w:tc>
          <w:tcPr/>
          <w:p>
            <w:pPr>
              <w:pStyle w:val="Compact"/>
            </w:pPr>
            <w:r>
              <w:t xml:space="preserve">Phần hoàn thành</w:t>
            </w:r>
          </w:p>
        </w:tc>
        <w:tc>
          <w:tcPr/>
          <w:p>
            <w:pPr>
              <w:pStyle w:val="Compact"/>
            </w:pPr>
            <w:r>
              <w:t xml:space="preserve">Hạn chế cần hiểu khi bảo vệ</w:t>
            </w:r>
          </w:p>
        </w:tc>
        <w:tc>
          <w:tcPr/>
          <w:p>
            <w:pPr>
              <w:pStyle w:val="Compact"/>
            </w:pPr>
            <w:r>
              <w:t xml:space="preserve">Trạng thái</w:t>
            </w:r>
          </w:p>
        </w:tc>
      </w:tr>
      <w:tr>
        <w:tc>
          <w:tcPr/>
          <w:p>
            <w:pPr>
              <w:pStyle w:val="Compact"/>
            </w:pPr>
            <w:r>
              <w:t xml:space="preserve">Trần Thiên Lực</w:t>
            </w:r>
          </w:p>
        </w:tc>
        <w:tc>
          <w:tcPr/>
          <w:p>
            <w:pPr>
              <w:pStyle w:val="Compact"/>
            </w:pPr>
            <w:r>
              <w:t xml:space="preserve">Data handoff, cleaning và 9 hình EDA</w:t>
            </w:r>
          </w:p>
        </w:tc>
        <w:tc>
          <w:tcPr/>
          <w:p>
            <w:pPr>
              <w:pStyle w:val="Compact"/>
            </w:pPr>
            <w:r>
              <w:t xml:space="preserve">Yahoo Finance có thể điều chỉnh lịch sử</w:t>
            </w:r>
          </w:p>
        </w:tc>
        <w:tc>
          <w:tcPr/>
          <w:p>
            <w:pPr>
              <w:pStyle w:val="Compact"/>
            </w:pPr>
            <w:r>
              <w:t xml:space="preserve">Hoàn thành</w:t>
            </w:r>
          </w:p>
        </w:tc>
      </w:tr>
      <w:tr>
        <w:tc>
          <w:tcPr/>
          <w:p>
            <w:pPr>
              <w:pStyle w:val="Compact"/>
            </w:pPr>
            <w:r>
              <w:t xml:space="preserve">Nguyễn Đức Học</w:t>
            </w:r>
          </w:p>
        </w:tc>
        <w:tc>
          <w:tcPr/>
          <w:p>
            <w:pPr>
              <w:pStyle w:val="Compact"/>
            </w:pPr>
            <w:r>
              <w:t xml:space="preserve">Bảy holdout models, CV và diagnostics</w:t>
            </w:r>
          </w:p>
        </w:tc>
        <w:tc>
          <w:tcPr/>
          <w:p>
            <w:pPr>
              <w:pStyle w:val="Compact"/>
            </w:pPr>
            <w:r>
              <w:t xml:space="preserve">ARIMAX/SARIMA chưa có cùng CV coverage; residual chưa white noise</w:t>
            </w:r>
          </w:p>
        </w:tc>
        <w:tc>
          <w:tcPr/>
          <w:p>
            <w:pPr>
              <w:pStyle w:val="Compact"/>
            </w:pPr>
            <w:r>
              <w:t xml:space="preserve">Hoàn thành</w:t>
            </w:r>
          </w:p>
        </w:tc>
      </w:tr>
      <w:tr>
        <w:tc>
          <w:tcPr/>
          <w:p>
            <w:pPr>
              <w:pStyle w:val="Compact"/>
            </w:pPr>
            <w:r>
              <w:t xml:space="preserve">Lê Đặng Hoàng Anh</w:t>
            </w:r>
          </w:p>
        </w:tc>
        <w:tc>
          <w:tcPr/>
          <w:p>
            <w:pPr>
              <w:pStyle w:val="Compact"/>
            </w:pPr>
            <w:r>
              <w:t xml:space="preserve">Bốn GARCH, diagnostics và báo cáo</w:t>
            </w:r>
          </w:p>
        </w:tc>
        <w:tc>
          <w:tcPr/>
          <w:p>
            <w:pPr>
              <w:pStyle w:val="Compact"/>
            </w:pPr>
            <w:r>
              <w:t xml:space="preserve">Chưa có volatility backtest ngoài mẫu; GOF còn bị bác bỏ</w:t>
            </w:r>
          </w:p>
        </w:tc>
        <w:tc>
          <w:tcPr/>
          <w:p>
            <w:pPr>
              <w:pStyle w:val="Compact"/>
            </w:pPr>
            <w:r>
              <w:t xml:space="preserve">Hoàn thành</w:t>
            </w:r>
          </w:p>
        </w:tc>
      </w:tr>
    </w:tbl>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71" Target="media/rId71.png" /><Relationship Type="http://schemas.openxmlformats.org/officeDocument/2006/relationships/image" Id="rId41" Target="media/rId41.png" /><Relationship Type="http://schemas.openxmlformats.org/officeDocument/2006/relationships/image" Id="rId27" Target="media/rId27.png" /><Relationship Type="http://schemas.openxmlformats.org/officeDocument/2006/relationships/image" Id="rId55" Target="media/rId55.png" /><Relationship Type="http://schemas.openxmlformats.org/officeDocument/2006/relationships/image" Id="rId52" Target="media/rId52.png" /><Relationship Type="http://schemas.openxmlformats.org/officeDocument/2006/relationships/image" Id="rId37" Target="media/rId37.png" /><Relationship Type="http://schemas.openxmlformats.org/officeDocument/2006/relationships/image" Id="rId68" Target="media/rId68.png" /><Relationship Type="http://schemas.openxmlformats.org/officeDocument/2006/relationships/image" Id="rId34" Target="media/rId34.png" /><Relationship Type="http://schemas.openxmlformats.org/officeDocument/2006/relationships/image" Id="rId44" Target="media/rId44.png" /><Relationship Type="http://schemas.openxmlformats.org/officeDocument/2006/relationships/image" Id="rId65" Target="media/rId65.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Dự báo giá và phân tích biến động cổ phiếu FPT bằng mô hình chuỗi thời gian</dc:title>
  <dc:creator>Trần Thiên Lực - 24133037; Nguyễn Đức Học - 24162039; Lê Đặng Hoàng Anh - 24162006</dc:creator>
  <dc:language>vi</dc:language>
  <cp:keywords/>
  <dcterms:created xsi:type="dcterms:W3CDTF">2026-06-23T12:33:19Z</dcterms:created>
  <dcterms:modified xsi:type="dcterms:W3CDTF">2026-06-23T12:33:19Z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23/06/2026</vt:lpwstr>
  </property>
  <property fmtid="{D5CDD505-2E9C-101B-9397-08002B2CF9AE}" pid="3" name="output">
    <vt:lpwstr/>
  </property>
  <property fmtid="{D5CDD505-2E9C-101B-9397-08002B2CF9AE}" pid="4" name="subtitle">
    <vt:lpwstr>Môn: Lập trình R cho phân tích - Nhóm 06 | Giảng viên: TS. Phan Thị Thể</vt:lpwstr>
  </property>
</Properties>
</file>