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7.png" ContentType="image/png"/>
  <Override PartName="/word/media/rId24.png" ContentType="image/png"/>
  <Override PartName="/word/media/rId43.png" ContentType="image/png"/>
  <Override PartName="/word/media/rId36.png" ContentType="image/png"/>
  <Override PartName="/word/media/rId40.png" ContentType="image/png"/>
  <Override PartName="/word/media/rId46.png" ContentType="image/png"/>
  <Override PartName="/word/media/rId2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Dự báo giá và phân tích biến động cổ phiếu FPT bằng mô hình chuỗi thời gian</w:t>
      </w:r>
    </w:p>
    <w:p>
      <w:pPr>
        <w:pStyle w:val="Author"/>
      </w:pPr>
      <w:r>
        <w:t xml:space="preserve">Nhóm phân tích cổ phiếu FPT</w:t>
      </w:r>
    </w:p>
    <w:p>
      <w:pPr>
        <w:pStyle w:val="Date"/>
      </w:pPr>
      <w:r>
        <w:t xml:space="preserve">19/06/2026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óm-tắt"/>
    <w:p>
      <w:pPr>
        <w:pStyle w:val="Heading1"/>
      </w:pPr>
      <w:r>
        <w:t xml:space="preserve">Tóm tắt</w:t>
      </w:r>
    </w:p>
    <w:p>
      <w:pPr>
        <w:pStyle w:val="FirstParagraph"/>
      </w:pPr>
      <w:r>
        <w:t xml:space="preserve">Nghiên cứu phân tích chuỗi giá cổ phiếu FPT trong giai đoạn 2015-01-01 đến 2026-06-08 bằng R. Quy trình gồm kiểm tra dữ liệu, trực quan hóa, kiểm định tính dừng, dự báo mức giá và mô hình hóa phương sai có điều kiện. Nhóm so sánh các benchmark Naive/Drift với ARIMA, SARIMA, ETS, ETS Damped và ARIMAX trên holdout 30 phiên; một số mô hình còn được đánh giá bằng rolling-origin cross-validation. Với volatility, nhóm so sánh sGARCH-Normal, sGARCH-Student-t, eGARCH-Student-t và GJR-GARCH-Student-t trên cùng chuỗi log return.</w:t>
      </w:r>
    </w:p>
    <w:p>
      <w:pPr>
        <w:pStyle w:val="BodyText"/>
      </w:pPr>
      <w:r>
        <w:t xml:space="preserve">Trên holdout hiện tại, ARIMAX (Lagged) có RMSE thấp nhất (1,863.36), trong khi ETS Damped có RMSE rolling-CV trung bình thấp nhất (4,726.67) trong nhóm đã được cross-validation. Hai kết quả không xác định một mô hình dự báo giá thắng tuyệt đối. Đối với volatility, eGARCH-Student-t là lựa chọn tạm thời nhờ AIC cạnh tranh, residual diagnostics đạt và Nyblom joint stability không bị bác bỏ ở mức 5%. Kết luận vẫn mang tính provisional cho tới khi dữ liệu cuối được khóa và toàn bộ pipeline được chạy lại.</w:t>
      </w:r>
    </w:p>
    <w:p>
      <w:pPr>
        <w:pStyle w:val="BodyText"/>
      </w:pPr>
      <w:r>
        <w:rPr>
          <w:b/>
          <w:bCs/>
        </w:rPr>
        <w:t xml:space="preserve">Từ khóa:</w:t>
      </w:r>
      <w:r>
        <w:t xml:space="preserve"> </w:t>
      </w:r>
      <w:r>
        <w:t xml:space="preserve">FPT, chuỗi thời gian, ARIMA, ETS, GARCH, volatility, R.</w:t>
      </w:r>
    </w:p>
    <w:p>
      <w:r>
        <w:br w:type="page"/>
      </w:r>
    </w:p>
    <w:bookmarkEnd w:id="9"/>
    <w:bookmarkStart w:id="10" w:name="giới-thiệu"/>
    <w:p>
      <w:pPr>
        <w:pStyle w:val="Heading1"/>
      </w:pPr>
      <w:r>
        <w:rPr>
          <w:rStyle w:val="SectionNumber"/>
        </w:rPr>
        <w:t xml:space="preserve">1</w:t>
      </w:r>
      <w:r>
        <w:tab/>
      </w:r>
      <w:r>
        <w:t xml:space="preserve">Giới thiệu</w:t>
      </w:r>
    </w:p>
    <w:p>
      <w:pPr>
        <w:pStyle w:val="FirstParagraph"/>
      </w:pPr>
      <w:r>
        <w:t xml:space="preserve">Giá cổ phiếu vừa có xu hướng dài hạn vừa có mức biến động thay đổi theo thời gian. Vì vậy, một mô hình duy nhất khó trả lời đồng thời hai câu hỏi: mức giá tương lai có thể nằm ở đâu, và mức bất định quanh kỳ vọng đó thay đổi như thế nào. Đề tài tách bài toán thành hai phần:</w:t>
      </w:r>
    </w:p>
    <w:p>
      <w:pPr>
        <w:pStyle w:val="Compact"/>
        <w:numPr>
          <w:ilvl w:val="0"/>
          <w:numId w:val="1001"/>
        </w:numPr>
      </w:pPr>
      <w:r>
        <w:t xml:space="preserve">Dự báo mức giá đóng cửa bằng các benchmark và mô hình chuỗi thời gian.</w:t>
      </w:r>
    </w:p>
    <w:p>
      <w:pPr>
        <w:pStyle w:val="Compact"/>
        <w:numPr>
          <w:ilvl w:val="0"/>
          <w:numId w:val="1001"/>
        </w:numPr>
      </w:pPr>
      <w:r>
        <w:t xml:space="preserve">Mô hình hóa conditional volatility của log return bằng họ GARCH.</w:t>
      </w:r>
    </w:p>
    <w:p>
      <w:pPr>
        <w:pStyle w:val="FirstParagraph"/>
      </w:pPr>
      <w:r>
        <w:t xml:space="preserve">Các câu hỏi nghiên cứu chính là:</w:t>
      </w:r>
    </w:p>
    <w:p>
      <w:pPr>
        <w:pStyle w:val="Compact"/>
        <w:numPr>
          <w:ilvl w:val="0"/>
          <w:numId w:val="1002"/>
        </w:numPr>
      </w:pPr>
      <w:r>
        <w:t xml:space="preserve">Chuỗi giá và log return của FPT có dừng hay không?</w:t>
      </w:r>
    </w:p>
    <w:p>
      <w:pPr>
        <w:pStyle w:val="Compact"/>
        <w:numPr>
          <w:ilvl w:val="0"/>
          <w:numId w:val="1002"/>
        </w:numPr>
      </w:pPr>
      <w:r>
        <w:t xml:space="preserve">Mô hình phức tạp có cải thiện so với Naive/Drift trên dữ liệu ngoài mẫu không?</w:t>
      </w:r>
    </w:p>
    <w:p>
      <w:pPr>
        <w:pStyle w:val="Compact"/>
        <w:numPr>
          <w:ilvl w:val="0"/>
          <w:numId w:val="1002"/>
        </w:numPr>
      </w:pPr>
      <w:r>
        <w:t xml:space="preserve">Return có ARCH effect và volatility clustering không?</w:t>
      </w:r>
    </w:p>
    <w:p>
      <w:pPr>
        <w:pStyle w:val="Compact"/>
        <w:numPr>
          <w:ilvl w:val="0"/>
          <w:numId w:val="1002"/>
        </w:numPr>
      </w:pPr>
      <w:r>
        <w:t xml:space="preserve">Student-t và các cấu trúc bất đối xứng có phù hợp hơn sGARCH-Normal không?</w:t>
      </w:r>
    </w:p>
    <w:p>
      <w:pPr>
        <w:pStyle w:val="Compact"/>
        <w:numPr>
          <w:ilvl w:val="0"/>
          <w:numId w:val="1002"/>
        </w:numPr>
      </w:pPr>
      <w:r>
        <w:t xml:space="preserve">Sau khi fit, standardized residual còn autocorrelation, ARCH effect hoặc sign bias không?</w:t>
      </w:r>
    </w:p>
    <w:p>
      <w:pPr>
        <w:pStyle w:val="FirstParagraph"/>
      </w:pPr>
      <w:r>
        <w:t xml:space="preserve">Mục tiêu của đề tài là thực hành quy trình phân tích có thể tái lập bằng R, không đưa ra khuyến nghị mua bán chứng khoán.</w:t>
      </w:r>
    </w:p>
    <w:bookmarkEnd w:id="10"/>
    <w:bookmarkStart w:id="13" w:name="dữ-liệu"/>
    <w:p>
      <w:pPr>
        <w:pStyle w:val="Heading1"/>
      </w:pPr>
      <w:r>
        <w:rPr>
          <w:rStyle w:val="SectionNumber"/>
        </w:rPr>
        <w:t xml:space="preserve">2</w:t>
      </w:r>
      <w:r>
        <w:tab/>
      </w:r>
      <w:r>
        <w:t xml:space="preserve">Dữ liệu</w:t>
      </w:r>
    </w:p>
    <w:bookmarkStart w:id="11" w:name="nguồn-và-phạm-vi"/>
    <w:p>
      <w:pPr>
        <w:pStyle w:val="Heading2"/>
      </w:pPr>
      <w:r>
        <w:rPr>
          <w:rStyle w:val="SectionNumber"/>
        </w:rPr>
        <w:t xml:space="preserve">2.1</w:t>
      </w:r>
      <w:r>
        <w:tab/>
      </w:r>
      <w:r>
        <w:t xml:space="preserve">Nguồn và phạm vi</w:t>
      </w:r>
    </w:p>
    <w:p>
      <w:pPr>
        <w:pStyle w:val="FirstParagraph"/>
      </w:pPr>
      <w:r>
        <w:t xml:space="preserve">Dữ liệu hiện tại được lưu tại</w:t>
      </w:r>
      <w:r>
        <w:t xml:space="preserve"> </w:t>
      </w:r>
      <w:r>
        <w:rPr>
          <w:rStyle w:val="VerbatimChar"/>
        </w:rPr>
        <w:t xml:space="preserve">data/raw/FPT_stock_data.csv</w:t>
      </w:r>
      <w:r>
        <w:t xml:space="preserve"> </w:t>
      </w:r>
      <w:r>
        <w:t xml:space="preserve">và được mô tả theo mã</w:t>
      </w:r>
      <w:r>
        <w:t xml:space="preserve"> </w:t>
      </w:r>
      <w:r>
        <w:rPr>
          <w:rStyle w:val="VerbatimChar"/>
        </w:rPr>
        <w:t xml:space="preserve">FPT.VN</w:t>
      </w:r>
      <w:r>
        <w:t xml:space="preserve"> </w:t>
      </w:r>
      <w:r>
        <w:t xml:space="preserve">trên Yahoo Finance, gồm OHLCV theo ngày. Tệp sạch hiện có 2960 dòng, từ 2015-01-01 đến 2026-06-08. Trước khi nộp, nhóm phải xác nhận notebook thu thập, nguồn ghi trong README và báo cáo hoàn toàn thống nhất.</w:t>
      </w:r>
    </w:p>
    <w:p>
      <w:pPr>
        <w:pStyle w:val="BodyText"/>
      </w:pPr>
      <w:r>
        <w:t xml:space="preserve">Các biến dùng trong phân tích: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Ý nghĩa</w:t>
            </w:r>
          </w:p>
        </w:tc>
      </w:tr>
      <w:tr>
        <w:tc>
          <w:tcPr/>
          <w:p>
            <w:pPr>
              <w:pStyle w:val="Compact"/>
            </w:pPr>
            <w:r>
              <w:rPr>
                <w:rStyle w:val="VerbatimChar"/>
              </w:rPr>
              <w:t xml:space="preserve">date</w:t>
            </w:r>
          </w:p>
        </w:tc>
        <w:tc>
          <w:tcPr/>
          <w:p>
            <w:pPr>
              <w:pStyle w:val="Compact"/>
            </w:pPr>
            <w:r>
              <w:t xml:space="preserve">Ngày quan sát</w:t>
            </w:r>
          </w:p>
        </w:tc>
      </w:tr>
      <w:tr>
        <w:tc>
          <w:tcPr/>
          <w:p>
            <w:pPr>
              <w:pStyle w:val="Compact"/>
            </w:pP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p>
        </w:tc>
        <w:tc>
          <w:tcPr/>
          <w:p>
            <w:pPr>
              <w:pStyle w:val="Compact"/>
            </w:pPr>
            <w:r>
              <w:t xml:space="preserve">Giá mở cửa, cao nhất, thấp nhất và đóng cửa</w:t>
            </w:r>
          </w:p>
        </w:tc>
      </w:tr>
      <w:tr>
        <w:tc>
          <w:tcPr/>
          <w:p>
            <w:pPr>
              <w:pStyle w:val="Compact"/>
            </w:pPr>
            <w:r>
              <w:rPr>
                <w:rStyle w:val="VerbatimChar"/>
              </w:rPr>
              <w:t xml:space="preserve">volume</w:t>
            </w:r>
          </w:p>
        </w:tc>
        <w:tc>
          <w:tcPr/>
          <w:p>
            <w:pPr>
              <w:pStyle w:val="Compact"/>
            </w:pPr>
            <w:r>
              <w:t xml:space="preserve">Khối lượng giao dịch</w:t>
            </w:r>
          </w:p>
        </w:tc>
      </w:tr>
      <w:tr>
        <w:tc>
          <w:tcPr/>
          <w:p>
            <w:pPr>
              <w:pStyle w:val="Compact"/>
            </w:pPr>
            <w:r>
              <w:rPr>
                <w:rStyle w:val="VerbatimChar"/>
              </w:rPr>
              <w:t xml:space="preserve">log_close</w:t>
            </w:r>
          </w:p>
        </w:tc>
        <w:tc>
          <w:tcPr/>
          <w:p>
            <w:pPr>
              <w:pStyle w:val="Compact"/>
            </w:pPr>
            <w:r>
              <w:t xml:space="preserve">Log tự nhiên của giá đóng cửa</w:t>
            </w:r>
          </w:p>
        </w:tc>
      </w:tr>
      <w:tr>
        <w:tc>
          <w:tcPr/>
          <w:p>
            <w:pPr>
              <w:pStyle w:val="Compact"/>
            </w:pPr>
            <w:r>
              <w:rPr>
                <w:rStyle w:val="VerbatimChar"/>
              </w:rPr>
              <w:t xml:space="preserve">return</w:t>
            </w:r>
          </w:p>
        </w:tc>
        <w:tc>
          <w:tcPr/>
          <w:p>
            <w:pPr>
              <w:pStyle w:val="Compact"/>
            </w:pPr>
            <w:r>
              <w:t xml:space="preserve">Log return, bằng</w:t>
            </w:r>
            <w:r>
              <w:t xml:space="preserve"> </w:t>
            </w:r>
            <w:r>
              <w:rPr>
                <w:rStyle w:val="VerbatimChar"/>
              </w:rPr>
              <w:t xml:space="preserve">log(close_t)-log(close_(t-1))</w:t>
            </w:r>
          </w:p>
        </w:tc>
      </w:tr>
    </w:tbl>
    <w:p>
      <w:pPr>
        <w:pStyle w:val="BodyText"/>
      </w:pPr>
      <w:r>
        <w:t xml:space="preserve">Log return được tính theo:</w:t>
      </w:r>
    </w:p>
    <w:p>
      <w:pPr>
        <w:pStyle w:val="BodyText"/>
      </w:pPr>
      <m:oMathPara>
        <m:oMathParaPr>
          <m:jc m:val="center"/>
        </m:oMathParaPr>
        <m:oMath>
          <m:sSub>
            <m:e>
              <m:r>
                <m:t>r</m:t>
              </m:r>
            </m:e>
            <m:sub>
              <m:r>
                <m:t>t</m:t>
              </m:r>
            </m:sub>
          </m:sSub>
          <m:r>
            <m:rPr>
              <m:sty m:val="p"/>
            </m:rPr>
            <m:t>=</m:t>
          </m:r>
          <m:r>
            <m:rPr>
              <m:sty m:val="p"/>
            </m:rPr>
            <m:t>log</m:t>
          </m:r>
          <m:r>
            <m:rPr>
              <m:sty m:val="p"/>
            </m:rPr>
            <m:t>(</m:t>
          </m:r>
          <m:sSub>
            <m:e>
              <m:r>
                <m:t>P</m:t>
              </m:r>
            </m:e>
            <m:sub>
              <m:r>
                <m:t>t</m:t>
              </m:r>
            </m:sub>
          </m:sSub>
          <m:r>
            <m:rPr>
              <m:sty m:val="p"/>
            </m:rPr>
            <m:t>)</m:t>
          </m:r>
          <m:r>
            <m:rPr>
              <m:sty m:val="p"/>
            </m:rPr>
            <m:t>−</m:t>
          </m:r>
          <m:r>
            <m:rPr>
              <m:sty m:val="p"/>
            </m:rPr>
            <m:t>log</m:t>
          </m:r>
          <m:r>
            <m:rPr>
              <m:sty m:val="p"/>
            </m:rPr>
            <m:t>(</m:t>
          </m:r>
          <m:sSub>
            <m:e>
              <m:r>
                <m:t>P</m:t>
              </m:r>
            </m:e>
            <m:sub>
              <m:r>
                <m:t>t</m:t>
              </m:r>
              <m:r>
                <m:rPr>
                  <m:sty m:val="p"/>
                </m:rPr>
                <m:t>−</m:t>
              </m:r>
              <m:r>
                <m:t>1</m:t>
              </m:r>
            </m:sub>
          </m:sSub>
          <m:r>
            <m:rPr>
              <m:sty m:val="p"/>
            </m:rPr>
            <m:t>)</m:t>
          </m:r>
          <m:r>
            <m:rPr>
              <m:sty m:val="p"/>
            </m:rPr>
            <m:t>=</m:t>
          </m:r>
          <m:r>
            <m:rPr>
              <m:sty m:val="p"/>
            </m:rPr>
            <m:t>log</m:t>
          </m:r>
          <m:d>
            <m:dPr>
              <m:begChr m:val="("/>
              <m:sepChr m:val=""/>
              <m:endChr m:val=")"/>
              <m:grow/>
            </m:dPr>
            <m:e>
              <m:f>
                <m:fPr>
                  <m:type m:val="bar"/>
                </m:fPr>
                <m:num>
                  <m:sSub>
                    <m:e>
                      <m:r>
                        <m:t>P</m:t>
                      </m:r>
                    </m:e>
                    <m:sub>
                      <m:r>
                        <m:t>t</m:t>
                      </m:r>
                    </m:sub>
                  </m:sSub>
                </m:num>
                <m:den>
                  <m:sSub>
                    <m:e>
                      <m:r>
                        <m:t>P</m:t>
                      </m:r>
                    </m:e>
                    <m:sub>
                      <m:r>
                        <m:t>t</m:t>
                      </m:r>
                      <m:r>
                        <m:rPr>
                          <m:sty m:val="p"/>
                        </m:rPr>
                        <m:t>−</m:t>
                      </m:r>
                      <m:r>
                        <m:t>1</m:t>
                      </m:r>
                    </m:sub>
                  </m:sSub>
                </m:den>
              </m:f>
            </m:e>
          </m:d>
          <m:r>
            <m:rPr>
              <m:sty m:val="p"/>
            </m:rPr>
            <m:t>.</m:t>
          </m:r>
        </m:oMath>
      </m:oMathPara>
    </w:p>
    <w:bookmarkEnd w:id="11"/>
    <w:bookmarkStart w:id="12" w:name="kiểm-tra-chất-lượng"/>
    <w:p>
      <w:pPr>
        <w:pStyle w:val="Heading2"/>
      </w:pPr>
      <w:r>
        <w:rPr>
          <w:rStyle w:val="SectionNumber"/>
        </w:rPr>
        <w:t xml:space="preserve">2.2</w:t>
      </w:r>
      <w:r>
        <w:tab/>
      </w:r>
      <w:r>
        <w:t xml:space="preserve">Kiểm tra chất lượng</w:t>
      </w:r>
    </w:p>
    <w:p>
      <w:pPr>
        <w:pStyle w:val="FirstParagraph"/>
      </w:pPr>
      <w:r>
        <w:t xml:space="preserve">Script</w:t>
      </w:r>
      <w:r>
        <w:t xml:space="preserve"> </w:t>
      </w:r>
      <w:r>
        <w:rPr>
          <w:rStyle w:val="VerbatimChar"/>
        </w:rPr>
        <w:t xml:space="preserve">R/01_data_cleaning.R</w:t>
      </w:r>
      <w:r>
        <w:t xml:space="preserve"> </w:t>
      </w:r>
      <w:r>
        <w:t xml:space="preserve">chuẩn hóa ngày, kiểu số, sắp xếp thời gian và tạo biến log return. Dòng đầu của</w:t>
      </w:r>
      <w:r>
        <w:t xml:space="preserve"> </w:t>
      </w:r>
      <w:r>
        <w:rPr>
          <w:rStyle w:val="VerbatimChar"/>
        </w:rPr>
        <w:t xml:space="preserve">return</w:t>
      </w:r>
      <w:r>
        <w:t xml:space="preserve"> </w:t>
      </w:r>
      <w:r>
        <w:t xml:space="preserve">thiếu theo định nghĩa vì không có giá phiên trước. Tệp hiện tại còn 173 dòng có</w:t>
      </w:r>
      <w:r>
        <w:t xml:space="preserve"> </w:t>
      </w:r>
      <w:r>
        <w:rPr>
          <w:rStyle w:val="VerbatimChar"/>
        </w:rPr>
        <w:t xml:space="preserve">volume = 0</w:t>
      </w:r>
      <w:r>
        <w:t xml:space="preserve">; các dòng này phải được Người 1 giải quyết hoặc giải thích trong lần handoff dữ liệu cuối. Vì thay đổi dữ liệu có thể làm thay đổi toàn bộ model, mọi metric trong báo cáo này cần được tái sinh sau khi data được khóa.</w:t>
      </w:r>
    </w:p>
    <w:p>
      <w:pPr>
        <w:pStyle w:val="TableCaption"/>
      </w:pPr>
      <w:r>
        <w:t xml:space="preserve">Giá trị thiếu theo biến trong dữ liệu hiện tại</w:t>
      </w:r>
    </w:p>
    <w:tbl>
      <w:tblPr>
        <w:tblStyle w:val="Table"/>
        <w:tblW w:type="auto" w:w="0"/>
        <w:tblLook w:firstRow="1" w:lastRow="0" w:firstColumn="0" w:lastColumn="0" w:noHBand="0" w:noVBand="0" w:val="0020"/>
        <w:tblCaption w:val="Giá trị thiếu theo biến trong dữ liệu hiện tại"/>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Missing_Count</w:t>
            </w:r>
          </w:p>
        </w:tc>
        <w:tc>
          <w:tcPr/>
          <w:p>
            <w:pPr>
              <w:pStyle w:val="Compact"/>
              <w:jc w:val="right"/>
            </w:pPr>
            <w:r>
              <w:t xml:space="preserve">Missing_Percentage</w:t>
            </w:r>
          </w:p>
        </w:tc>
      </w:tr>
      <w:tr>
        <w:tc>
          <w:tcPr/>
          <w:p>
            <w:pPr>
              <w:pStyle w:val="Compact"/>
              <w:jc w:val="left"/>
            </w:pPr>
            <w:r>
              <w:t xml:space="preserve">date</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close</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high</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low</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open</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volume</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time</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log_close</w:t>
            </w:r>
          </w:p>
        </w:tc>
        <w:tc>
          <w:tcPr/>
          <w:p>
            <w:pPr>
              <w:pStyle w:val="Compact"/>
              <w:jc w:val="right"/>
            </w:pPr>
            <w:r>
              <w:t xml:space="preserve">0</w:t>
            </w:r>
          </w:p>
        </w:tc>
        <w:tc>
          <w:tcPr/>
          <w:p>
            <w:pPr>
              <w:pStyle w:val="Compact"/>
              <w:jc w:val="right"/>
            </w:pPr>
            <w:r>
              <w:t xml:space="preserve">0.0000</w:t>
            </w:r>
          </w:p>
        </w:tc>
      </w:tr>
      <w:tr>
        <w:tc>
          <w:tcPr/>
          <w:p>
            <w:pPr>
              <w:pStyle w:val="Compact"/>
              <w:jc w:val="left"/>
            </w:pPr>
            <w:r>
              <w:t xml:space="preserve">return</w:t>
            </w:r>
          </w:p>
        </w:tc>
        <w:tc>
          <w:tcPr/>
          <w:p>
            <w:pPr>
              <w:pStyle w:val="Compact"/>
              <w:jc w:val="right"/>
            </w:pPr>
            <w:r>
              <w:t xml:space="preserve">1</w:t>
            </w:r>
          </w:p>
        </w:tc>
        <w:tc>
          <w:tcPr/>
          <w:p>
            <w:pPr>
              <w:pStyle w:val="Compact"/>
              <w:jc w:val="right"/>
            </w:pPr>
            <w:r>
              <w:t xml:space="preserve">0.0338</w:t>
            </w:r>
          </w:p>
        </w:tc>
      </w:tr>
      <w:tr>
        <w:tc>
          <w:tcPr/>
          <w:p>
            <w:pPr>
              <w:pStyle w:val="Compact"/>
              <w:jc w:val="left"/>
            </w:pPr>
            <w:r>
              <w:t xml:space="preserve">returns</w:t>
            </w:r>
          </w:p>
        </w:tc>
        <w:tc>
          <w:tcPr/>
          <w:p>
            <w:pPr>
              <w:pStyle w:val="Compact"/>
              <w:jc w:val="right"/>
            </w:pPr>
            <w:r>
              <w:t xml:space="preserve">1</w:t>
            </w:r>
          </w:p>
        </w:tc>
        <w:tc>
          <w:tcPr/>
          <w:p>
            <w:pPr>
              <w:pStyle w:val="Compact"/>
              <w:jc w:val="right"/>
            </w:pPr>
            <w:r>
              <w:t xml:space="preserve">0.0338</w:t>
            </w:r>
          </w:p>
        </w:tc>
      </w:tr>
    </w:tbl>
    <w:p/>
    <w:p>
      <w:pPr>
        <w:pStyle w:val="TableCaption"/>
      </w:pPr>
      <w:r>
        <w:t xml:space="preserve">Thống kê mô tả dữ liệu hiện tại</w:t>
      </w:r>
    </w:p>
    <w:tbl>
      <w:tblPr>
        <w:tblStyle w:val="Table"/>
        <w:tblW w:type="pct" w:w="5000"/>
        <w:tblLayout w:type="fixed"/>
        <w:tblLook w:firstRow="1" w:lastRow="0" w:firstColumn="0" w:lastColumn="0" w:noHBand="0" w:noVBand="0" w:val="0020"/>
        <w:tblCaption w:val="Thống kê mô tả dữ liệu hiện tại"/>
      </w:tblPr>
      <w:tblGrid>
        <w:gridCol w:w="950"/>
        <w:gridCol w:w="633"/>
        <w:gridCol w:w="1372"/>
        <w:gridCol w:w="1161"/>
        <w:gridCol w:w="1056"/>
        <w:gridCol w:w="1372"/>
        <w:gridCol w:w="1372"/>
      </w:tblGrid>
      <w:tr>
        <w:trPr>
          <w:tblHeader w:val="on"/>
        </w:trPr>
        <w:tc>
          <w:tcPr/>
          <w:p>
            <w:pPr>
              <w:pStyle w:val="Compact"/>
              <w:jc w:val="left"/>
            </w:pPr>
            <w:r>
              <w:t xml:space="preserve">Variable</w:t>
            </w:r>
          </w:p>
        </w:tc>
        <w:tc>
          <w:tcPr/>
          <w:p>
            <w:pPr>
              <w:pStyle w:val="Compact"/>
              <w:jc w:val="right"/>
            </w:pPr>
            <w:r>
              <w:t xml:space="preserve">Count</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SD</w:t>
            </w:r>
          </w:p>
        </w:tc>
      </w:tr>
      <w:tr>
        <w:tc>
          <w:tcPr/>
          <w:p>
            <w:pPr>
              <w:pStyle w:val="Compact"/>
              <w:jc w:val="left"/>
            </w:pPr>
            <w:r>
              <w:t xml:space="preserve">close</w:t>
            </w:r>
          </w:p>
        </w:tc>
        <w:tc>
          <w:tcPr/>
          <w:p>
            <w:pPr>
              <w:pStyle w:val="Compact"/>
              <w:jc w:val="right"/>
            </w:pPr>
            <w:r>
              <w:t xml:space="preserve">2960</w:t>
            </w:r>
          </w:p>
        </w:tc>
        <w:tc>
          <w:tcPr/>
          <w:p>
            <w:pPr>
              <w:pStyle w:val="Compact"/>
              <w:jc w:val="right"/>
            </w:pPr>
            <w:r>
              <w:t xml:space="preserve">40914.6763</w:t>
            </w:r>
          </w:p>
        </w:tc>
        <w:tc>
          <w:tcPr/>
          <w:p>
            <w:pPr>
              <w:pStyle w:val="Compact"/>
              <w:jc w:val="right"/>
            </w:pPr>
            <w:r>
              <w:t xml:space="preserve">21598.69</w:t>
            </w:r>
          </w:p>
        </w:tc>
        <w:tc>
          <w:tcPr/>
          <w:p>
            <w:pPr>
              <w:pStyle w:val="Compact"/>
              <w:jc w:val="right"/>
            </w:pPr>
            <w:r>
              <w:t xml:space="preserve">6955.4502</w:t>
            </w:r>
          </w:p>
        </w:tc>
        <w:tc>
          <w:tcPr/>
          <w:p>
            <w:pPr>
              <w:pStyle w:val="Compact"/>
              <w:jc w:val="right"/>
            </w:pPr>
            <w:r>
              <w:t xml:space="preserve">1.298557e+05</w:t>
            </w:r>
          </w:p>
        </w:tc>
        <w:tc>
          <w:tcPr/>
          <w:p>
            <w:pPr>
              <w:pStyle w:val="Compact"/>
              <w:jc w:val="right"/>
            </w:pPr>
            <w:r>
              <w:t xml:space="preserve">34715.0516</w:t>
            </w:r>
          </w:p>
        </w:tc>
      </w:tr>
      <w:tr>
        <w:tc>
          <w:tcPr/>
          <w:p>
            <w:pPr>
              <w:pStyle w:val="Compact"/>
              <w:jc w:val="left"/>
            </w:pPr>
            <w:r>
              <w:t xml:space="preserve">volume</w:t>
            </w:r>
          </w:p>
        </w:tc>
        <w:tc>
          <w:tcPr/>
          <w:p>
            <w:pPr>
              <w:pStyle w:val="Compact"/>
              <w:jc w:val="right"/>
            </w:pPr>
            <w:r>
              <w:t xml:space="preserve">2960</w:t>
            </w:r>
          </w:p>
        </w:tc>
        <w:tc>
          <w:tcPr/>
          <w:p>
            <w:pPr>
              <w:pStyle w:val="Compact"/>
              <w:jc w:val="right"/>
            </w:pPr>
            <w:r>
              <w:t xml:space="preserve">3943219.0422</w:t>
            </w:r>
          </w:p>
        </w:tc>
        <w:tc>
          <w:tcPr/>
          <w:p>
            <w:pPr>
              <w:pStyle w:val="Compact"/>
              <w:jc w:val="right"/>
            </w:pPr>
            <w:r>
              <w:t xml:space="preserve">2738958.00</w:t>
            </w:r>
          </w:p>
        </w:tc>
        <w:tc>
          <w:tcPr/>
          <w:p>
            <w:pPr>
              <w:pStyle w:val="Compact"/>
              <w:jc w:val="right"/>
            </w:pPr>
            <w:r>
              <w:t xml:space="preserve">0.0000</w:t>
            </w:r>
          </w:p>
        </w:tc>
        <w:tc>
          <w:tcPr/>
          <w:p>
            <w:pPr>
              <w:pStyle w:val="Compact"/>
              <w:jc w:val="right"/>
            </w:pPr>
            <w:r>
              <w:t xml:space="preserve">4.157099e+08</w:t>
            </w:r>
          </w:p>
        </w:tc>
        <w:tc>
          <w:tcPr/>
          <w:p>
            <w:pPr>
              <w:pStyle w:val="Compact"/>
              <w:jc w:val="right"/>
            </w:pPr>
            <w:r>
              <w:t xml:space="preserve">9680991.3040</w:t>
            </w:r>
          </w:p>
        </w:tc>
      </w:tr>
      <w:tr>
        <w:tc>
          <w:tcPr/>
          <w:p>
            <w:pPr>
              <w:pStyle w:val="Compact"/>
              <w:jc w:val="left"/>
            </w:pPr>
            <w:r>
              <w:t xml:space="preserve">returns</w:t>
            </w:r>
          </w:p>
        </w:tc>
        <w:tc>
          <w:tcPr/>
          <w:p>
            <w:pPr>
              <w:pStyle w:val="Compact"/>
              <w:jc w:val="right"/>
            </w:pPr>
            <w:r>
              <w:t xml:space="preserve">2959</w:t>
            </w:r>
          </w:p>
        </w:tc>
        <w:tc>
          <w:tcPr/>
          <w:p>
            <w:pPr>
              <w:pStyle w:val="Compact"/>
              <w:jc w:val="right"/>
            </w:pPr>
            <w:r>
              <w:t xml:space="preserve">0.0009</w:t>
            </w:r>
          </w:p>
        </w:tc>
        <w:tc>
          <w:tcPr/>
          <w:p>
            <w:pPr>
              <w:pStyle w:val="Compact"/>
              <w:jc w:val="right"/>
            </w:pPr>
            <w:r>
              <w:t xml:space="preserve">0.00</w:t>
            </w:r>
          </w:p>
        </w:tc>
        <w:tc>
          <w:tcPr/>
          <w:p>
            <w:pPr>
              <w:pStyle w:val="Compact"/>
              <w:jc w:val="right"/>
            </w:pPr>
            <w:r>
              <w:t xml:space="preserve">-0.0699</w:t>
            </w:r>
          </w:p>
        </w:tc>
        <w:tc>
          <w:tcPr/>
          <w:p>
            <w:pPr>
              <w:pStyle w:val="Compact"/>
              <w:jc w:val="right"/>
            </w:pPr>
            <w:r>
              <w:t xml:space="preserve">9.260000e-02</w:t>
            </w:r>
          </w:p>
        </w:tc>
        <w:tc>
          <w:tcPr/>
          <w:p>
            <w:pPr>
              <w:pStyle w:val="Compact"/>
              <w:jc w:val="right"/>
            </w:pPr>
            <w:r>
              <w:t xml:space="preserve">0.0161</w:t>
            </w:r>
          </w:p>
        </w:tc>
      </w:tr>
    </w:tbl>
    <w:bookmarkEnd w:id="12"/>
    <w:bookmarkEnd w:id="13"/>
    <w:bookmarkStart w:id="28" w:name="trực-quan-hóa-dữ-liệu"/>
    <w:p>
      <w:pPr>
        <w:pStyle w:val="Heading1"/>
      </w:pPr>
      <w:r>
        <w:rPr>
          <w:rStyle w:val="SectionNumber"/>
        </w:rPr>
        <w:t xml:space="preserve">3</w:t>
      </w:r>
      <w:r>
        <w:tab/>
      </w:r>
      <w:r>
        <w:t xml:space="preserve">Trực quan hóa dữ liệu</w:t>
      </w:r>
    </w:p>
    <w:bookmarkStart w:id="20" w:name="mức-giá-và-thanh-khoản"/>
    <w:p>
      <w:pPr>
        <w:pStyle w:val="Heading2"/>
      </w:pPr>
      <w:r>
        <w:rPr>
          <w:rStyle w:val="SectionNumber"/>
        </w:rPr>
        <w:t xml:space="preserve">3.1</w:t>
      </w:r>
      <w:r>
        <w:tab/>
      </w:r>
      <w:r>
        <w:t xml:space="preserve">Mức giá và thanh khoản</w:t>
      </w:r>
    </w:p>
    <w:p>
      <w:pPr>
        <w:pStyle w:val="CaptionedFigure"/>
      </w:pPr>
      <w:r>
        <w:drawing>
          <wp:inline>
            <wp:extent cx="5067300" cy="2994313"/>
            <wp:effectExtent b="0" l="0" r="0" t="0"/>
            <wp:docPr descr="Diễn biến giá đóng cửa FPT" title="" id="15" name="Picture"/>
            <a:graphic>
              <a:graphicData uri="http://schemas.openxmlformats.org/drawingml/2006/picture">
                <pic:pic>
                  <pic:nvPicPr>
                    <pic:cNvPr descr="report_files/f281b9c17f8763fcd1d4e6357fe532622ce7e5b2.png" id="16" name="Picture"/>
                    <pic:cNvPicPr>
                      <a:picLocks noChangeArrowheads="1" noChangeAspect="1"/>
                    </pic:cNvPicPr>
                  </pic:nvPicPr>
                  <pic:blipFill>
                    <a:blip r:embed="rId14"/>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t xml:space="preserve">Diễn biến giá đóng cửa FPT</w:t>
      </w:r>
    </w:p>
    <w:p>
      <w:pPr>
        <w:pStyle w:val="BodyText"/>
      </w:pPr>
      <w:r>
        <w:t xml:space="preserve">Chuỗi giá có xu hướng dài hạn và nhiều thay đổi về mức, nên không nên giả định dừng chỉ từ biểu đồ. Những nguyên nhân kinh tế cụ thể không được suy ra từ hình nếu không có nguồn sự kiện độc lập.</w:t>
      </w:r>
    </w:p>
    <w:p>
      <w:pPr>
        <w:pStyle w:val="CaptionedFigure"/>
      </w:pPr>
      <w:r>
        <w:drawing>
          <wp:inline>
            <wp:extent cx="5067300" cy="2994313"/>
            <wp:effectExtent b="0" l="0" r="0" t="0"/>
            <wp:docPr descr="Khối lượng giao dịch FPT theo thời gian" title="" id="18" name="Picture"/>
            <a:graphic>
              <a:graphicData uri="http://schemas.openxmlformats.org/drawingml/2006/picture">
                <pic:pic>
                  <pic:nvPicPr>
                    <pic:cNvPr descr="report_files/0d4291fc399ba9f0161cc025eaf15ce3de4dad62.png" id="19" name="Picture"/>
                    <pic:cNvPicPr>
                      <a:picLocks noChangeArrowheads="1" noChangeAspect="1"/>
                    </pic:cNvPicPr>
                  </pic:nvPicPr>
                  <pic:blipFill>
                    <a:blip r:embed="rId17"/>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t xml:space="preserve">Khối lượng giao dịch FPT theo thời gian</w:t>
      </w:r>
    </w:p>
    <w:p>
      <w:pPr>
        <w:pStyle w:val="BodyText"/>
      </w:pPr>
      <w:r>
        <w:t xml:space="preserve">Biểu đồ volume cho thấy thanh khoản không đồng đều. Các quan sát volume bằng 0 là vấn đề chất lượng dữ liệu cần xử lý, không mặc nhiên được xem là phiên giao dịch bình thường.</w:t>
      </w:r>
    </w:p>
    <w:bookmarkEnd w:id="20"/>
    <w:bookmarkStart w:id="27" w:name="log-return-và-phân-phối"/>
    <w:p>
      <w:pPr>
        <w:pStyle w:val="Heading2"/>
      </w:pPr>
      <w:r>
        <w:rPr>
          <w:rStyle w:val="SectionNumber"/>
        </w:rPr>
        <w:t xml:space="preserve">3.2</w:t>
      </w:r>
      <w:r>
        <w:tab/>
      </w:r>
      <w:r>
        <w:t xml:space="preserve">Log return và phân phối</w:t>
      </w:r>
    </w:p>
    <w:p>
      <w:pPr>
        <w:pStyle w:val="CaptionedFigure"/>
      </w:pPr>
      <w:r>
        <w:drawing>
          <wp:inline>
            <wp:extent cx="5067300" cy="2994313"/>
            <wp:effectExtent b="0" l="0" r="0" t="0"/>
            <wp:docPr descr="Log return của cổ phiếu FPT" title="" id="22" name="Picture"/>
            <a:graphic>
              <a:graphicData uri="http://schemas.openxmlformats.org/drawingml/2006/picture">
                <pic:pic>
                  <pic:nvPicPr>
                    <pic:cNvPr descr="report_files/ebafa1fa98a8bee62cd374093c044c0861851326.png" id="23" name="Picture"/>
                    <pic:cNvPicPr>
                      <a:picLocks noChangeArrowheads="1" noChangeAspect="1"/>
                    </pic:cNvPicPr>
                  </pic:nvPicPr>
                  <pic:blipFill>
                    <a:blip r:embed="rId21"/>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t xml:space="preserve">Log return của cổ phiếu FPT</w:t>
      </w:r>
    </w:p>
    <w:p>
      <w:pPr>
        <w:pStyle w:val="BodyText"/>
      </w:pPr>
      <w:r>
        <w:t xml:space="preserve">Return dao động quanh 0 nhưng các giai đoạn biên độ lớn có xu hướng xuất hiện gần nhau, gợi ý volatility clustering. Đây mới là bằng chứng thăm dò; ARCH-LM được dùng để kiểm định chính thức.</w:t>
      </w:r>
    </w:p>
    <w:p>
      <w:pPr>
        <w:pStyle w:val="CaptionedFigure"/>
      </w:pPr>
      <w:r>
        <w:drawing>
          <wp:inline>
            <wp:extent cx="5067300" cy="2994313"/>
            <wp:effectExtent b="0" l="0" r="0" t="0"/>
            <wp:docPr descr="Phân phối return hiện tại" title="" id="25" name="Picture"/>
            <a:graphic>
              <a:graphicData uri="http://schemas.openxmlformats.org/drawingml/2006/picture">
                <pic:pic>
                  <pic:nvPicPr>
                    <pic:cNvPr descr="report_files/0f9e9a0c318b8240e9b2d2aae6b91cd332491970.png" id="26" name="Picture"/>
                    <pic:cNvPicPr>
                      <a:picLocks noChangeArrowheads="1" noChangeAspect="1"/>
                    </pic:cNvPicPr>
                  </pic:nvPicPr>
                  <pic:blipFill>
                    <a:blip r:embed="rId24"/>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t xml:space="preserve">Phân phối return hiện tại</w:t>
      </w:r>
    </w:p>
    <w:p>
      <w:pPr>
        <w:pStyle w:val="BodyText"/>
      </w:pPr>
      <w:r>
        <w:t xml:space="preserve">Phân phối có nhiều quan sát ở phần đuôi. Vì vậy nhóm so sánh Normal với standardized Student-t trong phần GARCH.</w:t>
      </w:r>
    </w:p>
    <w:bookmarkEnd w:id="27"/>
    <w:bookmarkEnd w:id="28"/>
    <w:bookmarkStart w:id="32" w:name="mô-hình-hóa-dữ-liệu"/>
    <w:p>
      <w:pPr>
        <w:pStyle w:val="Heading1"/>
      </w:pPr>
      <w:r>
        <w:rPr>
          <w:rStyle w:val="SectionNumber"/>
        </w:rPr>
        <w:t xml:space="preserve">4</w:t>
      </w:r>
      <w:r>
        <w:tab/>
      </w:r>
      <w:r>
        <w:t xml:space="preserve">Mô hình hóa dữ liệu</w:t>
      </w:r>
    </w:p>
    <w:bookmarkStart w:id="29" w:name="tính-dừng"/>
    <w:p>
      <w:pPr>
        <w:pStyle w:val="Heading2"/>
      </w:pPr>
      <w:r>
        <w:rPr>
          <w:rStyle w:val="SectionNumber"/>
        </w:rPr>
        <w:t xml:space="preserve">4.1</w:t>
      </w:r>
      <w:r>
        <w:tab/>
      </w:r>
      <w:r>
        <w:t xml:space="preserve">Tính dừng</w:t>
      </w:r>
    </w:p>
    <w:p>
      <w:pPr>
        <w:pStyle w:val="FirstParagraph"/>
      </w:pPr>
      <w:r>
        <w:t xml:space="preserve">ADF kiểm định</w:t>
      </w:r>
      <w:r>
        <w:t xml:space="preserve"> </w:t>
      </w:r>
      <w:r>
        <w:rPr>
          <w:rStyle w:val="VerbatimChar"/>
        </w:rPr>
        <w:t xml:space="preserve">H0</w:t>
      </w:r>
      <w:r>
        <w:t xml:space="preserve">: chuỗi có unit root và không dừng. P-value lớn được diễn giải là “chưa đủ bằng chứng bác bỏ H0”, không phải “chấp nhận H0”.</w:t>
      </w:r>
    </w:p>
    <w:p>
      <w:pPr>
        <w:pStyle w:val="TableCaption"/>
      </w:pPr>
      <w:r>
        <w:t xml:space="preserve">Kết quả kiểm định ADF</w:t>
      </w:r>
    </w:p>
    <w:tbl>
      <w:tblPr>
        <w:tblStyle w:val="Table"/>
        <w:tblW w:type="pct" w:w="5000"/>
        <w:tblLayout w:type="fixed"/>
        <w:tblLook w:firstRow="1" w:lastRow="0" w:firstColumn="0" w:lastColumn="0" w:noHBand="0" w:noVBand="0" w:val="0020"/>
        <w:tblCaption w:val="Kết quả kiểm định ADF"/>
      </w:tblPr>
      <w:tblGrid>
        <w:gridCol w:w="3103"/>
        <w:gridCol w:w="1498"/>
        <w:gridCol w:w="856"/>
        <w:gridCol w:w="2461"/>
      </w:tblGrid>
      <w:tr>
        <w:trPr>
          <w:tblHeader w:val="on"/>
        </w:trPr>
        <w:tc>
          <w:tcPr/>
          <w:p>
            <w:pPr>
              <w:pStyle w:val="Compact"/>
              <w:jc w:val="left"/>
            </w:pPr>
            <w:r>
              <w:t xml:space="preserve">Series</w:t>
            </w:r>
          </w:p>
        </w:tc>
        <w:tc>
          <w:tcPr/>
          <w:p>
            <w:pPr>
              <w:pStyle w:val="Compact"/>
              <w:jc w:val="right"/>
            </w:pPr>
            <w:r>
              <w:t xml:space="preserve">ADF_Statistic</w:t>
            </w:r>
          </w:p>
        </w:tc>
        <w:tc>
          <w:tcPr/>
          <w:p>
            <w:pPr>
              <w:pStyle w:val="Compact"/>
              <w:jc w:val="right"/>
            </w:pPr>
            <w:r>
              <w:t xml:space="preserve">P_Value</w:t>
            </w:r>
          </w:p>
        </w:tc>
        <w:tc>
          <w:tcPr/>
          <w:p>
            <w:pPr>
              <w:pStyle w:val="Compact"/>
              <w:jc w:val="left"/>
            </w:pPr>
            <w:r>
              <w:t xml:space="preserve">Stationary</w:t>
            </w:r>
          </w:p>
        </w:tc>
      </w:tr>
      <w:tr>
        <w:tc>
          <w:tcPr/>
          <w:p>
            <w:pPr>
              <w:pStyle w:val="Compact"/>
              <w:jc w:val="left"/>
            </w:pPr>
            <w:r>
              <w:t xml:space="preserve">Giá đóng cửa (Close)</w:t>
            </w:r>
          </w:p>
        </w:tc>
        <w:tc>
          <w:tcPr/>
          <w:p>
            <w:pPr>
              <w:pStyle w:val="Compact"/>
              <w:jc w:val="right"/>
            </w:pPr>
            <w:r>
              <w:t xml:space="preserve">-1.7312</w:t>
            </w:r>
          </w:p>
        </w:tc>
        <w:tc>
          <w:tcPr/>
          <w:p>
            <w:pPr>
              <w:pStyle w:val="Compact"/>
              <w:jc w:val="right"/>
            </w:pPr>
            <w:r>
              <w:t xml:space="preserve">0.6921</w:t>
            </w:r>
          </w:p>
        </w:tc>
        <w:tc>
          <w:tcPr/>
          <w:p>
            <w:pPr>
              <w:pStyle w:val="Compact"/>
              <w:jc w:val="left"/>
            </w:pPr>
            <w:r>
              <w:t xml:space="preserve">Không (Non-stationary)</w:t>
            </w:r>
          </w:p>
        </w:tc>
      </w:tr>
      <w:tr>
        <w:tc>
          <w:tcPr/>
          <w:p>
            <w:pPr>
              <w:pStyle w:val="Compact"/>
              <w:jc w:val="left"/>
            </w:pPr>
            <w:r>
              <w:t xml:space="preserve">Log giá đóng cửa (Log Close)</w:t>
            </w:r>
          </w:p>
        </w:tc>
        <w:tc>
          <w:tcPr/>
          <w:p>
            <w:pPr>
              <w:pStyle w:val="Compact"/>
              <w:jc w:val="right"/>
            </w:pPr>
            <w:r>
              <w:t xml:space="preserve">-1.2655</w:t>
            </w:r>
          </w:p>
        </w:tc>
        <w:tc>
          <w:tcPr/>
          <w:p>
            <w:pPr>
              <w:pStyle w:val="Compact"/>
              <w:jc w:val="right"/>
            </w:pPr>
            <w:r>
              <w:t xml:space="preserve">0.8893</w:t>
            </w:r>
          </w:p>
        </w:tc>
        <w:tc>
          <w:tcPr/>
          <w:p>
            <w:pPr>
              <w:pStyle w:val="Compact"/>
              <w:jc w:val="left"/>
            </w:pPr>
            <w:r>
              <w:t xml:space="preserve">Không (Non-stationary)</w:t>
            </w:r>
          </w:p>
        </w:tc>
      </w:tr>
      <w:tr>
        <w:tc>
          <w:tcPr/>
          <w:p>
            <w:pPr>
              <w:pStyle w:val="Compact"/>
              <w:jc w:val="left"/>
            </w:pPr>
            <w:r>
              <w:t xml:space="preserve">Lợi suất Log (Return)</w:t>
            </w:r>
          </w:p>
        </w:tc>
        <w:tc>
          <w:tcPr/>
          <w:p>
            <w:pPr>
              <w:pStyle w:val="Compact"/>
              <w:jc w:val="right"/>
            </w:pPr>
            <w:r>
              <w:t xml:space="preserve">-13.8526</w:t>
            </w:r>
          </w:p>
        </w:tc>
        <w:tc>
          <w:tcPr/>
          <w:p>
            <w:pPr>
              <w:pStyle w:val="Compact"/>
              <w:jc w:val="right"/>
            </w:pPr>
            <w:r>
              <w:t xml:space="preserve">0.0100</w:t>
            </w:r>
          </w:p>
        </w:tc>
        <w:tc>
          <w:tcPr/>
          <w:p>
            <w:pPr>
              <w:pStyle w:val="Compact"/>
              <w:jc w:val="left"/>
            </w:pPr>
            <w:r>
              <w:t xml:space="preserve">Có (Stationary)</w:t>
            </w:r>
          </w:p>
        </w:tc>
      </w:tr>
    </w:tbl>
    <w:p>
      <w:pPr>
        <w:pStyle w:val="BodyText"/>
      </w:pPr>
      <w:r>
        <w:t xml:space="preserve">Kết quả hiện tại cho thấy</w:t>
      </w:r>
      <w:r>
        <w:t xml:space="preserve"> </w:t>
      </w:r>
      <w:r>
        <w:rPr>
          <w:rStyle w:val="VerbatimChar"/>
        </w:rPr>
        <w:t xml:space="preserve">close</w:t>
      </w:r>
      <w:r>
        <w:t xml:space="preserve"> </w:t>
      </w:r>
      <w:r>
        <w:t xml:space="preserve">và</w:t>
      </w:r>
      <w:r>
        <w:t xml:space="preserve"> </w:t>
      </w:r>
      <w:r>
        <w:rPr>
          <w:rStyle w:val="VerbatimChar"/>
        </w:rPr>
        <w:t xml:space="preserve">log_close</w:t>
      </w:r>
      <w:r>
        <w:t xml:space="preserve"> </w:t>
      </w:r>
      <w:r>
        <w:t xml:space="preserve">không dừng, trong khi</w:t>
      </w:r>
      <w:r>
        <w:t xml:space="preserve"> </w:t>
      </w:r>
      <w:r>
        <w:rPr>
          <w:rStyle w:val="VerbatimChar"/>
        </w:rPr>
        <w:t xml:space="preserve">return</w:t>
      </w:r>
      <w:r>
        <w:t xml:space="preserve"> </w:t>
      </w:r>
      <w:r>
        <w:t xml:space="preserve">có p-value được</w:t>
      </w:r>
      <w:r>
        <w:t xml:space="preserve"> </w:t>
      </w:r>
      <w:r>
        <w:rPr>
          <w:rStyle w:val="VerbatimChar"/>
        </w:rPr>
        <w:t xml:space="preserve">adf.test()</w:t>
      </w:r>
      <w:r>
        <w:t xml:space="preserve"> </w:t>
      </w:r>
      <w:r>
        <w:t xml:space="preserve">báo ở ngưỡng nhỏ nhất 0.01. Do đó return được dùng cho GARCH, còn mô hình giá phải xử lý tính không dừng qua sai phân/trạng thái.</w:t>
      </w:r>
    </w:p>
    <w:bookmarkEnd w:id="29"/>
    <w:bookmarkStart w:id="30" w:name="mô-hình-dự-báo-giá"/>
    <w:p>
      <w:pPr>
        <w:pStyle w:val="Heading2"/>
      </w:pPr>
      <w:r>
        <w:rPr>
          <w:rStyle w:val="SectionNumber"/>
        </w:rPr>
        <w:t xml:space="preserve">4.2</w:t>
      </w:r>
      <w:r>
        <w:tab/>
      </w:r>
      <w:r>
        <w:t xml:space="preserve">Mô hình dự báo giá</w:t>
      </w:r>
    </w:p>
    <w:p>
      <w:pPr>
        <w:pStyle w:val="FirstParagraph"/>
      </w:pPr>
      <w:r>
        <w:t xml:space="preserve">Nhóm sử dụng:</w:t>
      </w:r>
    </w:p>
    <w:p>
      <w:pPr>
        <w:pStyle w:val="Compact"/>
        <w:numPr>
          <w:ilvl w:val="0"/>
          <w:numId w:val="1003"/>
        </w:numPr>
      </w:pPr>
      <w:r>
        <w:rPr>
          <w:b/>
          <w:bCs/>
        </w:rPr>
        <w:t xml:space="preserve">Naive:</w:t>
      </w:r>
      <w:r>
        <w:t xml:space="preserve"> </w:t>
      </w:r>
      <w:r>
        <w:t xml:space="preserve">mọi dự báo bằng quan sát cuối tập train.</w:t>
      </w:r>
    </w:p>
    <w:p>
      <w:pPr>
        <w:pStyle w:val="Compact"/>
        <w:numPr>
          <w:ilvl w:val="0"/>
          <w:numId w:val="1003"/>
        </w:numPr>
      </w:pPr>
      <w:r>
        <w:rPr>
          <w:b/>
          <w:bCs/>
        </w:rPr>
        <w:t xml:space="preserve">Drift:</w:t>
      </w:r>
      <w:r>
        <w:t xml:space="preserve"> </w:t>
      </w:r>
      <w:r>
        <w:t xml:space="preserve">random walk có độ trôi trung bình.</w:t>
      </w:r>
    </w:p>
    <w:p>
      <w:pPr>
        <w:pStyle w:val="Compact"/>
        <w:numPr>
          <w:ilvl w:val="0"/>
          <w:numId w:val="1003"/>
        </w:numPr>
      </w:pPr>
      <w:r>
        <w:rPr>
          <w:b/>
          <w:bCs/>
        </w:rPr>
        <w:t xml:space="preserve">ARIMA/SARIMA:</w:t>
      </w:r>
      <w:r>
        <w:t xml:space="preserve"> </w:t>
      </w:r>
      <w:r>
        <w:t xml:space="preserve">mô hình AR, sai phân và MA; SARIMA chỉ có giá trị khi dữ liệu hỗ trợ mùa vụ.</w:t>
      </w:r>
    </w:p>
    <w:p>
      <w:pPr>
        <w:pStyle w:val="Compact"/>
        <w:numPr>
          <w:ilvl w:val="0"/>
          <w:numId w:val="1003"/>
        </w:numPr>
      </w:pPr>
      <w:r>
        <w:rPr>
          <w:b/>
          <w:bCs/>
        </w:rPr>
        <w:t xml:space="preserve">ETS/ETS Damped:</w:t>
      </w:r>
      <w:r>
        <w:t xml:space="preserve"> </w:t>
      </w:r>
      <w:r>
        <w:t xml:space="preserve">mô hình trạng thái với level/trend; damped trend hạn chế ngoại suy tuyến tính dài hạn.</w:t>
      </w:r>
    </w:p>
    <w:p>
      <w:pPr>
        <w:pStyle w:val="Compact"/>
        <w:numPr>
          <w:ilvl w:val="0"/>
          <w:numId w:val="1003"/>
        </w:numPr>
      </w:pPr>
      <w:r>
        <w:rPr>
          <w:b/>
          <w:bCs/>
        </w:rPr>
        <w:t xml:space="preserve">ARIMAX (Lagged):</w:t>
      </w:r>
      <w:r>
        <w:t xml:space="preserve"> </w:t>
      </w:r>
      <w:r>
        <w:t xml:space="preserve">ARIMA kết hợp biến giải thích trễ; cần kiểm tra nghiêm ngặt leakage và khả năng có xreg tại thời điểm dự báo.</w:t>
      </w:r>
    </w:p>
    <w:p>
      <w:pPr>
        <w:pStyle w:val="FirstParagraph"/>
      </w:pPr>
      <w:r>
        <w:t xml:space="preserve">Dữ liệu được chia theo thời gian, không shuffle. Ngoài holdout 30 phiên, rolling-origin CV được dùng cho nhóm mô hình có output CV hiện tại. Các metric gồm RMSE, MAE và MAPE; tất cả đều có hướng “nhỏ hơn tốt hơn”.</w:t>
      </w:r>
    </w:p>
    <w:bookmarkEnd w:id="30"/>
    <w:bookmarkStart w:id="31" w:name="mô-hình-volatility"/>
    <w:p>
      <w:pPr>
        <w:pStyle w:val="Heading2"/>
      </w:pPr>
      <w:r>
        <w:rPr>
          <w:rStyle w:val="SectionNumber"/>
        </w:rPr>
        <w:t xml:space="preserve">4.3</w:t>
      </w:r>
      <w:r>
        <w:tab/>
      </w:r>
      <w:r>
        <w:t xml:space="preserve">Mô hình volatility</w:t>
      </w:r>
    </w:p>
    <w:p>
      <w:pPr>
        <w:pStyle w:val="FirstParagraph"/>
      </w:pPr>
      <w:r>
        <w:t xml:space="preserve">Mean equation cơ bản là:</w:t>
      </w:r>
    </w:p>
    <w:p>
      <w:pPr>
        <w:pStyle w:val="BodyText"/>
      </w:pPr>
      <m:oMathPara>
        <m:oMathParaPr>
          <m:jc m:val="center"/>
        </m:oMathParaPr>
        <m:oMath>
          <m:sSub>
            <m:e>
              <m:r>
                <m:t>r</m:t>
              </m:r>
            </m:e>
            <m:sub>
              <m:r>
                <m:t>t</m:t>
              </m:r>
            </m:sub>
          </m:sSub>
          <m:r>
            <m:rPr>
              <m:sty m:val="p"/>
            </m:rPr>
            <m:t>=</m:t>
          </m:r>
          <m:r>
            <m:t>μ</m:t>
          </m:r>
          <m:r>
            <m:rPr>
              <m:sty m:val="p"/>
            </m:rPr>
            <m:t>+</m:t>
          </m:r>
          <m:sSub>
            <m:e>
              <m:r>
                <m:t>ϵ</m:t>
              </m:r>
            </m:e>
            <m:sub>
              <m:r>
                <m:t>t</m:t>
              </m:r>
            </m:sub>
          </m:sSub>
          <m:r>
            <m:rPr>
              <m:sty m:val="p"/>
            </m:rPr>
            <m:t>,</m:t>
          </m:r>
          <m:r>
            <m:t>  </m:t>
          </m:r>
          <m:sSub>
            <m:e>
              <m:r>
                <m:t>ϵ</m:t>
              </m:r>
            </m:e>
            <m:sub>
              <m:r>
                <m:t>t</m:t>
              </m:r>
            </m:sub>
          </m:sSub>
          <m:r>
            <m:rPr>
              <m:sty m:val="p"/>
            </m:rPr>
            <m:t>=</m:t>
          </m:r>
          <m:sSub>
            <m:e>
              <m:r>
                <m:t>σ</m:t>
              </m:r>
            </m:e>
            <m:sub>
              <m:r>
                <m:t>t</m:t>
              </m:r>
            </m:sub>
          </m:sSub>
          <m:sSub>
            <m:e>
              <m:r>
                <m:t>z</m:t>
              </m:r>
            </m:e>
            <m:sub>
              <m:r>
                <m:t>t</m:t>
              </m:r>
            </m:sub>
          </m:sSub>
          <m:r>
            <m:rPr>
              <m:sty m:val="p"/>
            </m:rPr>
            <m:t>.</m:t>
          </m:r>
        </m:oMath>
      </m:oMathPara>
    </w:p>
    <w:p>
      <w:pPr>
        <w:pStyle w:val="FirstParagraph"/>
      </w:pPr>
      <w:r>
        <w:t xml:space="preserve">sGARCH(1,1) có variance equation:</w:t>
      </w:r>
    </w:p>
    <w:p>
      <w:pPr>
        <w:pStyle w:val="BodyText"/>
      </w:pPr>
      <m:oMathPara>
        <m:oMathParaPr>
          <m:jc m:val="center"/>
        </m:oMathParaPr>
        <m:oMath>
          <m:sSubSup>
            <m:e>
              <m:r>
                <m:t>σ</m:t>
              </m:r>
            </m:e>
            <m:sub>
              <m:r>
                <m:t>t</m:t>
              </m:r>
            </m:sub>
            <m:sup>
              <m:r>
                <m:t>2</m:t>
              </m:r>
            </m:sup>
          </m:sSubSup>
          <m:r>
            <m:rPr>
              <m:sty m:val="p"/>
            </m:rPr>
            <m:t>=</m:t>
          </m:r>
          <m:r>
            <m:t>ω</m:t>
          </m:r>
          <m:r>
            <m:rPr>
              <m:sty m:val="p"/>
            </m:rPr>
            <m:t>+</m:t>
          </m:r>
          <m:sSub>
            <m:e>
              <m:r>
                <m:t>α</m:t>
              </m:r>
            </m:e>
            <m:sub>
              <m:r>
                <m:t>1</m:t>
              </m:r>
            </m:sub>
          </m:sSub>
          <m:sSubSup>
            <m:e>
              <m:r>
                <m:t>ϵ</m:t>
              </m:r>
            </m:e>
            <m:sub>
              <m:r>
                <m:t>t</m:t>
              </m:r>
              <m:r>
                <m:rPr>
                  <m:sty m:val="p"/>
                </m:rPr>
                <m:t>−</m:t>
              </m:r>
              <m:r>
                <m:t>1</m:t>
              </m:r>
            </m:sub>
            <m:sup>
              <m:r>
                <m:t>2</m:t>
              </m:r>
            </m:sup>
          </m:sSubSup>
          <m:r>
            <m:rPr>
              <m:sty m:val="p"/>
            </m:rPr>
            <m:t>+</m:t>
          </m:r>
          <m:sSub>
            <m:e>
              <m:r>
                <m:t>β</m:t>
              </m:r>
            </m:e>
            <m:sub>
              <m:r>
                <m:t>1</m:t>
              </m:r>
            </m:sub>
          </m:sSub>
          <m:sSubSup>
            <m:e>
              <m:r>
                <m:t>σ</m:t>
              </m:r>
            </m:e>
            <m:sub>
              <m:r>
                <m:t>t</m:t>
              </m:r>
              <m:r>
                <m:rPr>
                  <m:sty m:val="p"/>
                </m:rPr>
                <m:t>−</m:t>
              </m:r>
              <m:r>
                <m:t>1</m:t>
              </m:r>
            </m:sub>
            <m:sup>
              <m:r>
                <m:t>2</m:t>
              </m:r>
            </m:sup>
          </m:sSubSup>
          <m:r>
            <m:rPr>
              <m:sty m:val="p"/>
            </m:rPr>
            <m:t>.</m:t>
          </m:r>
        </m:oMath>
      </m:oMathPara>
    </w:p>
    <w:p>
      <w:pPr>
        <w:pStyle w:val="FirstParagraph"/>
      </w:pPr>
      <w:r>
        <w:t xml:space="preserve">Nhóm so sánh Normal và Student-t, sau đó bổ sung eGARCH và GJR-GARCH để mô hình hóa phản ứng bất đối xứng. Tất cả specification dùng cùng 2959 return hợp lệ và mean equation ARMA(0,0), nhờ vậy AIC/BIC có thể so sánh tương đối.</w:t>
      </w:r>
    </w:p>
    <w:bookmarkEnd w:id="31"/>
    <w:bookmarkEnd w:id="32"/>
    <w:bookmarkStart w:id="50" w:name="thực-nghiệm-kết-quả-và-thảo-luận"/>
    <w:p>
      <w:pPr>
        <w:pStyle w:val="Heading1"/>
      </w:pPr>
      <w:r>
        <w:rPr>
          <w:rStyle w:val="SectionNumber"/>
        </w:rPr>
        <w:t xml:space="preserve">5</w:t>
      </w:r>
      <w:r>
        <w:tab/>
      </w:r>
      <w:r>
        <w:t xml:space="preserve">Thực nghiệm, kết quả và thảo luận</w:t>
      </w:r>
    </w:p>
    <w:bookmarkStart w:id="39" w:name="so-sánh-dự-báo-giá"/>
    <w:p>
      <w:pPr>
        <w:pStyle w:val="Heading2"/>
      </w:pPr>
      <w:r>
        <w:rPr>
          <w:rStyle w:val="SectionNumber"/>
        </w:rPr>
        <w:t xml:space="preserve">5.1</w:t>
      </w:r>
      <w:r>
        <w:tab/>
      </w:r>
      <w:r>
        <w:t xml:space="preserve">So sánh dự báo giá</w:t>
      </w:r>
    </w:p>
    <w:p>
      <w:pPr>
        <w:pStyle w:val="TableCaption"/>
      </w:pPr>
      <w:r>
        <w:t xml:space="preserve">So sánh mô hình dự báo giá: holdout, rolling CV và diagnostics</w:t>
      </w:r>
    </w:p>
    <w:tbl>
      <w:tblPr>
        <w:tblStyle w:val="Table"/>
        <w:tblW w:type="pct" w:w="5000"/>
        <w:tblLayout w:type="fixed"/>
        <w:tblLook w:firstRow="1" w:lastRow="0" w:firstColumn="0" w:lastColumn="0" w:noHBand="0" w:noVBand="0" w:val="0020"/>
        <w:tblCaption w:val="So sánh mô hình dự báo giá: holdout, rolling CV và diagnostics"/>
      </w:tblPr>
      <w:tblGrid>
        <w:gridCol w:w="688"/>
        <w:gridCol w:w="387"/>
        <w:gridCol w:w="387"/>
        <w:gridCol w:w="301"/>
        <w:gridCol w:w="688"/>
        <w:gridCol w:w="559"/>
        <w:gridCol w:w="559"/>
        <w:gridCol w:w="559"/>
        <w:gridCol w:w="903"/>
        <w:gridCol w:w="2883"/>
      </w:tblGrid>
      <w:tr>
        <w:trPr>
          <w:tblHeader w:val="on"/>
        </w:trPr>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c>
          <w:tcPr/>
          <w:p>
            <w:pPr>
              <w:pStyle w:val="Compact"/>
              <w:jc w:val="right"/>
            </w:pPr>
            <w:r>
              <w:t xml:space="preserve">final_rmse_rank</w:t>
            </w:r>
          </w:p>
        </w:tc>
        <w:tc>
          <w:tcPr/>
          <w:p>
            <w:pPr>
              <w:pStyle w:val="Compact"/>
              <w:jc w:val="right"/>
            </w:pPr>
            <w:r>
              <w:t xml:space="preserve">cv_mean_rmse</w:t>
            </w:r>
          </w:p>
        </w:tc>
        <w:tc>
          <w:tcPr/>
          <w:p>
            <w:pPr>
              <w:pStyle w:val="Compact"/>
              <w:jc w:val="right"/>
            </w:pPr>
            <w:r>
              <w:t xml:space="preserve">cv_mean_mape</w:t>
            </w:r>
          </w:p>
        </w:tc>
        <w:tc>
          <w:tcPr/>
          <w:p>
            <w:pPr>
              <w:pStyle w:val="Compact"/>
              <w:jc w:val="right"/>
            </w:pPr>
            <w:r>
              <w:t xml:space="preserve">cv_rmse_rank</w:t>
            </w:r>
          </w:p>
        </w:tc>
        <w:tc>
          <w:tcPr/>
          <w:p>
            <w:pPr>
              <w:pStyle w:val="Compact"/>
              <w:jc w:val="right"/>
            </w:pPr>
            <w:r>
              <w:t xml:space="preserve">residual_ljung_box_p</w:t>
            </w:r>
          </w:p>
        </w:tc>
        <w:tc>
          <w:tcPr/>
          <w:p>
            <w:pPr>
              <w:pStyle w:val="Compact"/>
              <w:jc w:val="left"/>
            </w:pPr>
            <w:r>
              <w:t xml:space="preserve">evidence_assessment</w:t>
            </w:r>
          </w:p>
        </w:tc>
      </w:tr>
      <w:tr>
        <w:tc>
          <w:tcPr/>
          <w:p>
            <w:pPr>
              <w:pStyle w:val="Compact"/>
              <w:jc w:val="left"/>
            </w:pPr>
            <w:r>
              <w:t xml:space="preserve">ARIMAX (Lagged)</w:t>
            </w:r>
          </w:p>
        </w:tc>
        <w:tc>
          <w:tcPr/>
          <w:p>
            <w:pPr>
              <w:pStyle w:val="Compact"/>
              <w:jc w:val="right"/>
            </w:pPr>
            <w:r>
              <w:t xml:space="preserve">1863.357</w:t>
            </w:r>
          </w:p>
        </w:tc>
        <w:tc>
          <w:tcPr/>
          <w:p>
            <w:pPr>
              <w:pStyle w:val="Compact"/>
              <w:jc w:val="right"/>
            </w:pPr>
            <w:r>
              <w:t xml:space="preserve">1501.174</w:t>
            </w:r>
          </w:p>
        </w:tc>
        <w:tc>
          <w:tcPr/>
          <w:p>
            <w:pPr>
              <w:pStyle w:val="Compact"/>
              <w:jc w:val="right"/>
            </w:pPr>
            <w:r>
              <w:t xml:space="preserve">2.0497</w:t>
            </w:r>
          </w:p>
        </w:tc>
        <w:tc>
          <w:tcPr/>
          <w:p>
            <w:pPr>
              <w:pStyle w:val="Compact"/>
              <w:jc w:val="right"/>
            </w:pPr>
            <w:r>
              <w:t xml:space="preserve">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0.0933</w:t>
            </w:r>
          </w:p>
        </w:tc>
        <w:tc>
          <w:tcPr/>
          <w:p>
            <w:pPr>
              <w:pStyle w:val="Compact"/>
              <w:jc w:val="left"/>
            </w:pPr>
            <w:r>
              <w:t xml:space="preserve">Holdout result available; rolling CV not available</w:t>
            </w:r>
          </w:p>
        </w:tc>
      </w:tr>
      <w:tr>
        <w:tc>
          <w:tcPr/>
          <w:p>
            <w:pPr>
              <w:pStyle w:val="Compact"/>
              <w:jc w:val="left"/>
            </w:pPr>
            <w:r>
              <w:t xml:space="preserve">Drift</w:t>
            </w:r>
          </w:p>
        </w:tc>
        <w:tc>
          <w:tcPr/>
          <w:p>
            <w:pPr>
              <w:pStyle w:val="Compact"/>
              <w:jc w:val="right"/>
            </w:pPr>
            <w:r>
              <w:t xml:space="preserve">1892.289</w:t>
            </w:r>
          </w:p>
        </w:tc>
        <w:tc>
          <w:tcPr/>
          <w:p>
            <w:pPr>
              <w:pStyle w:val="Compact"/>
              <w:jc w:val="right"/>
            </w:pPr>
            <w:r>
              <w:t xml:space="preserve">1515.733</w:t>
            </w:r>
          </w:p>
        </w:tc>
        <w:tc>
          <w:tcPr/>
          <w:p>
            <w:pPr>
              <w:pStyle w:val="Compact"/>
              <w:jc w:val="right"/>
            </w:pPr>
            <w:r>
              <w:t xml:space="preserve">2.0679</w:t>
            </w:r>
          </w:p>
        </w:tc>
        <w:tc>
          <w:tcPr/>
          <w:p>
            <w:pPr>
              <w:pStyle w:val="Compact"/>
              <w:jc w:val="right"/>
            </w:pPr>
            <w:r>
              <w:t xml:space="preserve">2</w:t>
            </w:r>
          </w:p>
        </w:tc>
        <w:tc>
          <w:tcPr/>
          <w:p>
            <w:pPr>
              <w:pStyle w:val="Compact"/>
              <w:jc w:val="right"/>
            </w:pPr>
            <w:r>
              <w:t xml:space="preserve">4779.740</w:t>
            </w:r>
          </w:p>
        </w:tc>
        <w:tc>
          <w:tcPr/>
          <w:p>
            <w:pPr>
              <w:pStyle w:val="Compact"/>
              <w:jc w:val="right"/>
            </w:pPr>
            <w:r>
              <w:t xml:space="preserve">4.1713</w:t>
            </w:r>
          </w:p>
        </w:tc>
        <w:tc>
          <w:tcPr/>
          <w:p>
            <w:pPr>
              <w:pStyle w:val="Compact"/>
              <w:jc w:val="right"/>
            </w:pPr>
            <w:r>
              <w:t xml:space="preserve">3</w:t>
            </w:r>
          </w:p>
        </w:tc>
        <w:tc>
          <w:tcPr/>
          <w:p>
            <w:pPr>
              <w:pStyle w:val="Compact"/>
              <w:jc w:val="right"/>
            </w:pPr>
            <w:r>
              <w:t xml:space="preserve">NA</w:t>
            </w:r>
          </w:p>
        </w:tc>
        <w:tc>
          <w:tcPr/>
          <w:p>
            <w:pPr>
              <w:pStyle w:val="Compact"/>
              <w:jc w:val="left"/>
            </w:pPr>
            <w:r>
              <w:t xml:space="preserve">Benchmark</w:t>
            </w:r>
          </w:p>
        </w:tc>
      </w:tr>
      <w:tr>
        <w:tc>
          <w:tcPr/>
          <w:p>
            <w:pPr>
              <w:pStyle w:val="Compact"/>
              <w:jc w:val="left"/>
            </w:pPr>
            <w:r>
              <w:t xml:space="preserve">ARIMA</w:t>
            </w:r>
          </w:p>
        </w:tc>
        <w:tc>
          <w:tcPr/>
          <w:p>
            <w:pPr>
              <w:pStyle w:val="Compact"/>
              <w:jc w:val="right"/>
            </w:pPr>
            <w:r>
              <w:t xml:space="preserve">2017.205</w:t>
            </w:r>
          </w:p>
        </w:tc>
        <w:tc>
          <w:tcPr/>
          <w:p>
            <w:pPr>
              <w:pStyle w:val="Compact"/>
              <w:jc w:val="right"/>
            </w:pPr>
            <w:r>
              <w:t xml:space="preserve">1612.638</w:t>
            </w:r>
          </w:p>
        </w:tc>
        <w:tc>
          <w:tcPr/>
          <w:p>
            <w:pPr>
              <w:pStyle w:val="Compact"/>
              <w:jc w:val="right"/>
            </w:pPr>
            <w:r>
              <w:t xml:space="preserve">2.1921</w:t>
            </w:r>
          </w:p>
        </w:tc>
        <w:tc>
          <w:tcPr/>
          <w:p>
            <w:pPr>
              <w:pStyle w:val="Compact"/>
              <w:jc w:val="right"/>
            </w:pPr>
            <w:r>
              <w:t xml:space="preserve">3</w:t>
            </w:r>
          </w:p>
        </w:tc>
        <w:tc>
          <w:tcPr/>
          <w:p>
            <w:pPr>
              <w:pStyle w:val="Compact"/>
              <w:jc w:val="right"/>
            </w:pPr>
            <w:r>
              <w:t xml:space="preserve">7040.947</w:t>
            </w:r>
          </w:p>
        </w:tc>
        <w:tc>
          <w:tcPr/>
          <w:p>
            <w:pPr>
              <w:pStyle w:val="Compact"/>
              <w:jc w:val="right"/>
            </w:pPr>
            <w:r>
              <w:t xml:space="preserve">5.9788</w:t>
            </w:r>
          </w:p>
        </w:tc>
        <w:tc>
          <w:tcPr/>
          <w:p>
            <w:pPr>
              <w:pStyle w:val="Compact"/>
              <w:jc w:val="right"/>
            </w:pPr>
            <w:r>
              <w:t xml:space="preserve">5</w:t>
            </w:r>
          </w:p>
        </w:tc>
        <w:tc>
          <w:tcPr/>
          <w:p>
            <w:pPr>
              <w:pStyle w:val="Compact"/>
              <w:jc w:val="right"/>
            </w:pPr>
            <w:r>
              <w:t xml:space="preserve">0.2470</w:t>
            </w:r>
          </w:p>
        </w:tc>
        <w:tc>
          <w:tcPr/>
          <w:p>
            <w:pPr>
              <w:pStyle w:val="Compact"/>
              <w:jc w:val="left"/>
            </w:pPr>
            <w:r>
              <w:t xml:space="preserve">Mixed evidence across holdout, rolling CV, or residual diagnostics</w:t>
            </w:r>
          </w:p>
        </w:tc>
      </w:tr>
      <w:tr>
        <w:tc>
          <w:tcPr/>
          <w:p>
            <w:pPr>
              <w:pStyle w:val="Compact"/>
              <w:jc w:val="left"/>
            </w:pPr>
            <w:r>
              <w:t xml:space="preserve">SARIMA</w:t>
            </w:r>
          </w:p>
        </w:tc>
        <w:tc>
          <w:tcPr/>
          <w:p>
            <w:pPr>
              <w:pStyle w:val="Compact"/>
              <w:jc w:val="right"/>
            </w:pPr>
            <w:r>
              <w:t xml:space="preserve">2017.205</w:t>
            </w:r>
          </w:p>
        </w:tc>
        <w:tc>
          <w:tcPr/>
          <w:p>
            <w:pPr>
              <w:pStyle w:val="Compact"/>
              <w:jc w:val="right"/>
            </w:pPr>
            <w:r>
              <w:t xml:space="preserve">1612.638</w:t>
            </w:r>
          </w:p>
        </w:tc>
        <w:tc>
          <w:tcPr/>
          <w:p>
            <w:pPr>
              <w:pStyle w:val="Compact"/>
              <w:jc w:val="right"/>
            </w:pPr>
            <w:r>
              <w:t xml:space="preserve">2.1921</w:t>
            </w:r>
          </w:p>
        </w:tc>
        <w:tc>
          <w:tcPr/>
          <w:p>
            <w:pPr>
              <w:pStyle w:val="Compact"/>
              <w:jc w:val="right"/>
            </w:pPr>
            <w:r>
              <w:t xml:space="preserve">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0.2470</w:t>
            </w:r>
          </w:p>
        </w:tc>
        <w:tc>
          <w:tcPr/>
          <w:p>
            <w:pPr>
              <w:pStyle w:val="Compact"/>
              <w:jc w:val="left"/>
            </w:pPr>
            <w:r>
              <w:t xml:space="preserve">Holdout result available; rolling CV not available</w:t>
            </w:r>
          </w:p>
        </w:tc>
      </w:tr>
      <w:tr>
        <w:tc>
          <w:tcPr/>
          <w:p>
            <w:pPr>
              <w:pStyle w:val="Compact"/>
              <w:jc w:val="left"/>
            </w:pPr>
            <w:r>
              <w:t xml:space="preserve">Naive</w:t>
            </w:r>
          </w:p>
        </w:tc>
        <w:tc>
          <w:tcPr/>
          <w:p>
            <w:pPr>
              <w:pStyle w:val="Compact"/>
              <w:jc w:val="right"/>
            </w:pPr>
            <w:r>
              <w:t xml:space="preserve">2031.540</w:t>
            </w:r>
          </w:p>
        </w:tc>
        <w:tc>
          <w:tcPr/>
          <w:p>
            <w:pPr>
              <w:pStyle w:val="Compact"/>
              <w:jc w:val="right"/>
            </w:pPr>
            <w:r>
              <w:t xml:space="preserve">1627.798</w:t>
            </w:r>
          </w:p>
        </w:tc>
        <w:tc>
          <w:tcPr/>
          <w:p>
            <w:pPr>
              <w:pStyle w:val="Compact"/>
              <w:jc w:val="right"/>
            </w:pPr>
            <w:r>
              <w:t xml:space="preserve">2.2117</w:t>
            </w:r>
          </w:p>
        </w:tc>
        <w:tc>
          <w:tcPr/>
          <w:p>
            <w:pPr>
              <w:pStyle w:val="Compact"/>
              <w:jc w:val="right"/>
            </w:pPr>
            <w:r>
              <w:t xml:space="preserve">5</w:t>
            </w:r>
          </w:p>
        </w:tc>
        <w:tc>
          <w:tcPr/>
          <w:p>
            <w:pPr>
              <w:pStyle w:val="Compact"/>
              <w:jc w:val="right"/>
            </w:pPr>
            <w:r>
              <w:t xml:space="preserve">4739.138</w:t>
            </w:r>
          </w:p>
        </w:tc>
        <w:tc>
          <w:tcPr/>
          <w:p>
            <w:pPr>
              <w:pStyle w:val="Compact"/>
              <w:jc w:val="right"/>
            </w:pPr>
            <w:r>
              <w:t xml:space="preserve">4.1250</w:t>
            </w:r>
          </w:p>
        </w:tc>
        <w:tc>
          <w:tcPr/>
          <w:p>
            <w:pPr>
              <w:pStyle w:val="Compact"/>
              <w:jc w:val="right"/>
            </w:pPr>
            <w:r>
              <w:t xml:space="preserve">2</w:t>
            </w:r>
          </w:p>
        </w:tc>
        <w:tc>
          <w:tcPr/>
          <w:p>
            <w:pPr>
              <w:pStyle w:val="Compact"/>
              <w:jc w:val="right"/>
            </w:pPr>
            <w:r>
              <w:t xml:space="preserve">NA</w:t>
            </w:r>
          </w:p>
        </w:tc>
        <w:tc>
          <w:tcPr/>
          <w:p>
            <w:pPr>
              <w:pStyle w:val="Compact"/>
              <w:jc w:val="left"/>
            </w:pPr>
            <w:r>
              <w:t xml:space="preserve">Benchmark</w:t>
            </w:r>
          </w:p>
        </w:tc>
      </w:tr>
      <w:tr>
        <w:tc>
          <w:tcPr/>
          <w:p>
            <w:pPr>
              <w:pStyle w:val="Compact"/>
              <w:jc w:val="left"/>
            </w:pPr>
            <w:r>
              <w:t xml:space="preserve">ETS Damped</w:t>
            </w:r>
          </w:p>
        </w:tc>
        <w:tc>
          <w:tcPr/>
          <w:p>
            <w:pPr>
              <w:pStyle w:val="Compact"/>
              <w:jc w:val="right"/>
            </w:pPr>
            <w:r>
              <w:t xml:space="preserve">2031.899</w:t>
            </w:r>
          </w:p>
        </w:tc>
        <w:tc>
          <w:tcPr/>
          <w:p>
            <w:pPr>
              <w:pStyle w:val="Compact"/>
              <w:jc w:val="right"/>
            </w:pPr>
            <w:r>
              <w:t xml:space="preserve">1628.169</w:t>
            </w:r>
          </w:p>
        </w:tc>
        <w:tc>
          <w:tcPr/>
          <w:p>
            <w:pPr>
              <w:pStyle w:val="Compact"/>
              <w:jc w:val="right"/>
            </w:pPr>
            <w:r>
              <w:t xml:space="preserve">2.2122</w:t>
            </w:r>
          </w:p>
        </w:tc>
        <w:tc>
          <w:tcPr/>
          <w:p>
            <w:pPr>
              <w:pStyle w:val="Compact"/>
              <w:jc w:val="right"/>
            </w:pPr>
            <w:r>
              <w:t xml:space="preserve">6</w:t>
            </w:r>
          </w:p>
        </w:tc>
        <w:tc>
          <w:tcPr/>
          <w:p>
            <w:pPr>
              <w:pStyle w:val="Compact"/>
              <w:jc w:val="right"/>
            </w:pPr>
            <w:r>
              <w:t xml:space="preserve">4726.671</w:t>
            </w:r>
          </w:p>
        </w:tc>
        <w:tc>
          <w:tcPr/>
          <w:p>
            <w:pPr>
              <w:pStyle w:val="Compact"/>
              <w:jc w:val="right"/>
            </w:pPr>
            <w:r>
              <w:t xml:space="preserve">4.1209</w:t>
            </w:r>
          </w:p>
        </w:tc>
        <w:tc>
          <w:tcPr/>
          <w:p>
            <w:pPr>
              <w:pStyle w:val="Compact"/>
              <w:jc w:val="right"/>
            </w:pPr>
            <w:r>
              <w:t xml:space="preserve">1</w:t>
            </w:r>
          </w:p>
        </w:tc>
        <w:tc>
          <w:tcPr/>
          <w:p>
            <w:pPr>
              <w:pStyle w:val="Compact"/>
              <w:jc w:val="right"/>
            </w:pPr>
            <w:r>
              <w:t xml:space="preserve">0.0230</w:t>
            </w:r>
          </w:p>
        </w:tc>
        <w:tc>
          <w:tcPr/>
          <w:p>
            <w:pPr>
              <w:pStyle w:val="Compact"/>
              <w:jc w:val="left"/>
            </w:pPr>
            <w:r>
              <w:t xml:space="preserve">Mixed evidence across holdout, rolling CV, or residual diagnostics</w:t>
            </w:r>
          </w:p>
        </w:tc>
      </w:tr>
      <w:tr>
        <w:tc>
          <w:tcPr/>
          <w:p>
            <w:pPr>
              <w:pStyle w:val="Compact"/>
              <w:jc w:val="left"/>
            </w:pPr>
            <w:r>
              <w:t xml:space="preserve">ETS</w:t>
            </w:r>
          </w:p>
        </w:tc>
        <w:tc>
          <w:tcPr/>
          <w:p>
            <w:pPr>
              <w:pStyle w:val="Compact"/>
              <w:jc w:val="right"/>
            </w:pPr>
            <w:r>
              <w:t xml:space="preserve">2083.403</w:t>
            </w:r>
          </w:p>
        </w:tc>
        <w:tc>
          <w:tcPr/>
          <w:p>
            <w:pPr>
              <w:pStyle w:val="Compact"/>
              <w:jc w:val="right"/>
            </w:pPr>
            <w:r>
              <w:t xml:space="preserve">1676.390</w:t>
            </w:r>
          </w:p>
        </w:tc>
        <w:tc>
          <w:tcPr/>
          <w:p>
            <w:pPr>
              <w:pStyle w:val="Compact"/>
              <w:jc w:val="right"/>
            </w:pPr>
            <w:r>
              <w:t xml:space="preserve">2.2757</w:t>
            </w:r>
          </w:p>
        </w:tc>
        <w:tc>
          <w:tcPr/>
          <w:p>
            <w:pPr>
              <w:pStyle w:val="Compact"/>
              <w:jc w:val="right"/>
            </w:pPr>
            <w:r>
              <w:t xml:space="preserve">7</w:t>
            </w:r>
          </w:p>
        </w:tc>
        <w:tc>
          <w:tcPr/>
          <w:p>
            <w:pPr>
              <w:pStyle w:val="Compact"/>
              <w:jc w:val="right"/>
            </w:pPr>
            <w:r>
              <w:t xml:space="preserve">4841.328</w:t>
            </w:r>
          </w:p>
        </w:tc>
        <w:tc>
          <w:tcPr/>
          <w:p>
            <w:pPr>
              <w:pStyle w:val="Compact"/>
              <w:jc w:val="right"/>
            </w:pPr>
            <w:r>
              <w:t xml:space="preserve">4.2341</w:t>
            </w:r>
          </w:p>
        </w:tc>
        <w:tc>
          <w:tcPr/>
          <w:p>
            <w:pPr>
              <w:pStyle w:val="Compact"/>
              <w:jc w:val="right"/>
            </w:pPr>
            <w:r>
              <w:t xml:space="preserve">4</w:t>
            </w:r>
          </w:p>
        </w:tc>
        <w:tc>
          <w:tcPr/>
          <w:p>
            <w:pPr>
              <w:pStyle w:val="Compact"/>
              <w:jc w:val="right"/>
            </w:pPr>
            <w:r>
              <w:t xml:space="preserve">0.0420</w:t>
            </w:r>
          </w:p>
        </w:tc>
        <w:tc>
          <w:tcPr/>
          <w:p>
            <w:pPr>
              <w:pStyle w:val="Compact"/>
              <w:jc w:val="left"/>
            </w:pPr>
            <w:r>
              <w:t xml:space="preserve">Mixed evidence across holdout, rolling CV, or residual diagnostics</w:t>
            </w:r>
          </w:p>
        </w:tc>
      </w:tr>
    </w:tbl>
    <w:p>
      <w:pPr>
        <w:pStyle w:val="BodyText"/>
      </w:pPr>
      <w:r>
        <w:t xml:space="preserve">ARIMAX (Lagged) đứng đầu holdout 30 phiên, nhưng chưa có rolling CV trong output hiện tại. ETS Damped đứng đầu CV trong nhóm đã đánh giá, nhưng bằng chứng holdout/residual không hoàn toàn ủng hộ. Do đó nhóm chưa tuyên bố một mô hình thắng tuyệt đối. Kết luận mạnh hơn đòi hỏi chạy CV cho cùng tập model và cùng fold.</w:t>
      </w:r>
    </w:p>
    <w:p>
      <w:pPr>
        <w:pStyle w:val="CaptionedFigure"/>
      </w:pPr>
      <w:r>
        <w:drawing>
          <wp:inline>
            <wp:extent cx="5067300" cy="3040380"/>
            <wp:effectExtent b="0" l="0" r="0" t="0"/>
            <wp:docPr descr="Dự báo holdout của ARIMAX với biến trễ" title="" id="34" name="Picture"/>
            <a:graphic>
              <a:graphicData uri="http://schemas.openxmlformats.org/drawingml/2006/picture">
                <pic:pic>
                  <pic:nvPicPr>
                    <pic:cNvPr descr="report_files/0181543ff237a10db7977228a97a20f87ca4b494.png" id="35" name="Picture"/>
                    <pic:cNvPicPr>
                      <a:picLocks noChangeArrowheads="1" noChangeAspect="1"/>
                    </pic:cNvPicPr>
                  </pic:nvPicPr>
                  <pic:blipFill>
                    <a:blip r:embed="rId33"/>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Dự báo holdout của ARIMAX với biến trễ</w:t>
      </w:r>
    </w:p>
    <w:p>
      <w:pPr>
        <w:pStyle w:val="CaptionedFigure"/>
      </w:pPr>
      <w:r>
        <w:drawing>
          <wp:inline>
            <wp:extent cx="5067300" cy="3167062"/>
            <wp:effectExtent b="0" l="0" r="0" t="0"/>
            <wp:docPr descr="Residual diagnostics của ARIMAX" title="" id="37" name="Picture"/>
            <a:graphic>
              <a:graphicData uri="http://schemas.openxmlformats.org/drawingml/2006/picture">
                <pic:pic>
                  <pic:nvPicPr>
                    <pic:cNvPr descr="report_files/6f8f18bc648f7ca7d14ebd762fe9a224d3e5b263.png" id="38" name="Picture"/>
                    <pic:cNvPicPr>
                      <a:picLocks noChangeArrowheads="1" noChangeAspect="1"/>
                    </pic:cNvPicPr>
                  </pic:nvPicPr>
                  <pic:blipFill>
                    <a:blip r:embed="rId36"/>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Residual diagnostics của ARIMAX</w:t>
      </w:r>
    </w:p>
    <w:bookmarkEnd w:id="39"/>
    <w:bookmarkStart w:id="49" w:name="so-sánh-mô-hình-volatility"/>
    <w:p>
      <w:pPr>
        <w:pStyle w:val="Heading2"/>
      </w:pPr>
      <w:r>
        <w:rPr>
          <w:rStyle w:val="SectionNumber"/>
        </w:rPr>
        <w:t xml:space="preserve">5.2</w:t>
      </w:r>
      <w:r>
        <w:tab/>
      </w:r>
      <w:r>
        <w:t xml:space="preserve">So sánh mô hình volatility</w:t>
      </w:r>
    </w:p>
    <w:p>
      <w:pPr>
        <w:pStyle w:val="FirstParagraph"/>
      </w:pPr>
      <w:r>
        <w:t xml:space="preserve">ARCH-LM trước fit có p-value rất nhỏ, hỗ trợ sử dụng conditional variance model. Sau fit, nhóm kiểm tra Ljung-Box trên standardized residual, Ljung-Box trên squared standardized residual, ARCH-LM, sign bias, Nyblom stability và adjusted Pearson goodness-of-fit.</w:t>
      </w:r>
    </w:p>
    <w:p>
      <w:pPr>
        <w:pStyle w:val="TableCaption"/>
      </w:pPr>
      <w:r>
        <w:t xml:space="preserve">So sánh GARCH bằng fit, persistence và diagnostics</w:t>
      </w:r>
    </w:p>
    <w:tbl>
      <w:tblPr>
        <w:tblStyle w:val="Table"/>
        <w:tblW w:type="pct" w:w="5000"/>
        <w:tblLayout w:type="fixed"/>
        <w:tblLook w:firstRow="1" w:lastRow="0" w:firstColumn="0" w:lastColumn="0" w:noHBand="0" w:noVBand="0" w:val="0020"/>
        <w:tblCaption w:val="So sánh GARCH bằng fit, persistence và diagnostics"/>
      </w:tblPr>
      <w:tblGrid>
        <w:gridCol w:w="611"/>
        <w:gridCol w:w="289"/>
        <w:gridCol w:w="289"/>
        <w:gridCol w:w="321"/>
        <w:gridCol w:w="386"/>
        <w:gridCol w:w="708"/>
        <w:gridCol w:w="482"/>
        <w:gridCol w:w="804"/>
        <w:gridCol w:w="708"/>
        <w:gridCol w:w="708"/>
        <w:gridCol w:w="2607"/>
      </w:tblGrid>
      <w:tr>
        <w:trPr>
          <w:tblHeader w:val="on"/>
        </w:trPr>
        <w:tc>
          <w:tcPr/>
          <w:p>
            <w:pPr>
              <w:pStyle w:val="Compact"/>
              <w:jc w:val="left"/>
            </w:pPr>
            <w:r>
              <w:t xml:space="preserve">model</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delta_aic</w:t>
            </w:r>
          </w:p>
        </w:tc>
        <w:tc>
          <w:tcPr/>
          <w:p>
            <w:pPr>
              <w:pStyle w:val="Compact"/>
              <w:jc w:val="right"/>
            </w:pPr>
            <w:r>
              <w:t xml:space="preserve">persistence</w:t>
            </w:r>
          </w:p>
        </w:tc>
        <w:tc>
          <w:tcPr/>
          <w:p>
            <w:pPr>
              <w:pStyle w:val="Compact"/>
              <w:jc w:val="left"/>
            </w:pPr>
            <w:r>
              <w:t xml:space="preserve">core_diagnostics_pass</w:t>
            </w:r>
          </w:p>
        </w:tc>
        <w:tc>
          <w:tcPr/>
          <w:p>
            <w:pPr>
              <w:pStyle w:val="Compact"/>
              <w:jc w:val="left"/>
            </w:pPr>
            <w:r>
              <w:t xml:space="preserve">sign_bias_pass</w:t>
            </w:r>
          </w:p>
        </w:tc>
        <w:tc>
          <w:tcPr/>
          <w:p>
            <w:pPr>
              <w:pStyle w:val="Compact"/>
              <w:jc w:val="left"/>
            </w:pPr>
            <w:r>
              <w:t xml:space="preserve">parameter_stability_pass</w:t>
            </w:r>
          </w:p>
        </w:tc>
        <w:tc>
          <w:tcPr/>
          <w:p>
            <w:pPr>
              <w:pStyle w:val="Compact"/>
              <w:jc w:val="left"/>
            </w:pPr>
            <w:r>
              <w:t xml:space="preserve">distribution_fit_pass</w:t>
            </w:r>
          </w:p>
        </w:tc>
        <w:tc>
          <w:tcPr/>
          <w:p>
            <w:pPr>
              <w:pStyle w:val="Compact"/>
              <w:jc w:val="left"/>
            </w:pPr>
            <w:r>
              <w:t xml:space="preserve">provisional_candidate</w:t>
            </w:r>
          </w:p>
        </w:tc>
        <w:tc>
          <w:tcPr/>
          <w:p>
            <w:pPr>
              <w:pStyle w:val="Compact"/>
              <w:jc w:val="left"/>
            </w:pPr>
            <w:r>
              <w:t xml:space="preserve">evidence_assessment</w:t>
            </w:r>
          </w:p>
        </w:tc>
      </w:tr>
      <w:tr>
        <w:tc>
          <w:tcPr/>
          <w:p>
            <w:pPr>
              <w:pStyle w:val="Compact"/>
              <w:jc w:val="left"/>
            </w:pPr>
            <w:r>
              <w:t xml:space="preserve">gjrGARCH-Student-t</w:t>
            </w:r>
          </w:p>
        </w:tc>
        <w:tc>
          <w:tcPr/>
          <w:p>
            <w:pPr>
              <w:pStyle w:val="Compact"/>
              <w:jc w:val="right"/>
            </w:pPr>
            <w:r>
              <w:t xml:space="preserve">-5.71941</w:t>
            </w:r>
          </w:p>
        </w:tc>
        <w:tc>
          <w:tcPr/>
          <w:p>
            <w:pPr>
              <w:pStyle w:val="Compact"/>
              <w:jc w:val="right"/>
            </w:pPr>
            <w:r>
              <w:t xml:space="preserve">-5.70726</w:t>
            </w:r>
          </w:p>
        </w:tc>
        <w:tc>
          <w:tcPr/>
          <w:p>
            <w:pPr>
              <w:pStyle w:val="Compact"/>
              <w:jc w:val="right"/>
            </w:pPr>
            <w:r>
              <w:t xml:space="preserve">0.00000</w:t>
            </w:r>
          </w:p>
        </w:tc>
        <w:tc>
          <w:tcPr/>
          <w:p>
            <w:pPr>
              <w:pStyle w:val="Compact"/>
              <w:jc w:val="right"/>
            </w:pPr>
            <w:r>
              <w:t xml:space="preserve">0.99900</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Core diagnostics pass, but parameter stability is rejected</w:t>
            </w:r>
          </w:p>
        </w:tc>
      </w:tr>
      <w:tr>
        <w:tc>
          <w:tcPr/>
          <w:p>
            <w:pPr>
              <w:pStyle w:val="Compact"/>
              <w:jc w:val="left"/>
            </w:pPr>
            <w:r>
              <w:t xml:space="preserve">eGARCH-Student-t</w:t>
            </w:r>
          </w:p>
        </w:tc>
        <w:tc>
          <w:tcPr/>
          <w:p>
            <w:pPr>
              <w:pStyle w:val="Compact"/>
              <w:jc w:val="right"/>
            </w:pPr>
            <w:r>
              <w:t xml:space="preserve">-5.71935</w:t>
            </w:r>
          </w:p>
        </w:tc>
        <w:tc>
          <w:tcPr/>
          <w:p>
            <w:pPr>
              <w:pStyle w:val="Compact"/>
              <w:jc w:val="right"/>
            </w:pPr>
            <w:r>
              <w:t xml:space="preserve">-5.70720</w:t>
            </w:r>
          </w:p>
        </w:tc>
        <w:tc>
          <w:tcPr/>
          <w:p>
            <w:pPr>
              <w:pStyle w:val="Compact"/>
              <w:jc w:val="right"/>
            </w:pPr>
            <w:r>
              <w:t xml:space="preserve">0.00006</w:t>
            </w:r>
          </w:p>
        </w:tc>
        <w:tc>
          <w:tcPr/>
          <w:p>
            <w:pPr>
              <w:pStyle w:val="Compact"/>
              <w:jc w:val="right"/>
            </w:pPr>
            <w:r>
              <w:t xml:space="preserve">0.95912</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Core diagnostics and joint stability pass; distribution GOF remains a limitation</w:t>
            </w:r>
          </w:p>
        </w:tc>
      </w:tr>
      <w:tr>
        <w:tc>
          <w:tcPr/>
          <w:p>
            <w:pPr>
              <w:pStyle w:val="Compact"/>
              <w:jc w:val="left"/>
            </w:pPr>
            <w:r>
              <w:t xml:space="preserve">sGARCH-Student-t</w:t>
            </w:r>
          </w:p>
        </w:tc>
        <w:tc>
          <w:tcPr/>
          <w:p>
            <w:pPr>
              <w:pStyle w:val="Compact"/>
              <w:jc w:val="right"/>
            </w:pPr>
            <w:r>
              <w:t xml:space="preserve">-5.71531</w:t>
            </w:r>
          </w:p>
        </w:tc>
        <w:tc>
          <w:tcPr/>
          <w:p>
            <w:pPr>
              <w:pStyle w:val="Compact"/>
              <w:jc w:val="right"/>
            </w:pPr>
            <w:r>
              <w:t xml:space="preserve">-5.70518</w:t>
            </w:r>
          </w:p>
        </w:tc>
        <w:tc>
          <w:tcPr/>
          <w:p>
            <w:pPr>
              <w:pStyle w:val="Compact"/>
              <w:jc w:val="right"/>
            </w:pPr>
            <w:r>
              <w:t xml:space="preserve">0.00411</w:t>
            </w:r>
          </w:p>
        </w:tc>
        <w:tc>
          <w:tcPr/>
          <w:p>
            <w:pPr>
              <w:pStyle w:val="Compact"/>
              <w:jc w:val="right"/>
            </w:pPr>
            <w:r>
              <w:t xml:space="preserve">0.99900</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Core diagnostics pass, but parameter stability is rejected</w:t>
            </w:r>
          </w:p>
        </w:tc>
      </w:tr>
      <w:tr>
        <w:tc>
          <w:tcPr/>
          <w:p>
            <w:pPr>
              <w:pStyle w:val="Compact"/>
              <w:jc w:val="left"/>
            </w:pPr>
            <w:r>
              <w:t xml:space="preserve">sGARCH-Normal</w:t>
            </w:r>
          </w:p>
        </w:tc>
        <w:tc>
          <w:tcPr/>
          <w:p>
            <w:pPr>
              <w:pStyle w:val="Compact"/>
              <w:jc w:val="right"/>
            </w:pPr>
            <w:r>
              <w:t xml:space="preserve">-5.55893</w:t>
            </w:r>
          </w:p>
        </w:tc>
        <w:tc>
          <w:tcPr/>
          <w:p>
            <w:pPr>
              <w:pStyle w:val="Compact"/>
              <w:jc w:val="right"/>
            </w:pPr>
            <w:r>
              <w:t xml:space="preserve">-5.55083</w:t>
            </w:r>
          </w:p>
        </w:tc>
        <w:tc>
          <w:tcPr/>
          <w:p>
            <w:pPr>
              <w:pStyle w:val="Compact"/>
              <w:jc w:val="right"/>
            </w:pPr>
            <w:r>
              <w:t xml:space="preserve">0.16048</w:t>
            </w:r>
          </w:p>
        </w:tc>
        <w:tc>
          <w:tcPr/>
          <w:p>
            <w:pPr>
              <w:pStyle w:val="Compact"/>
              <w:jc w:val="right"/>
            </w:pPr>
            <w:r>
              <w:t xml:space="preserve">0.96940</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Core diagnostics pass, but parameter stability is rejected</w:t>
            </w:r>
          </w:p>
        </w:tc>
      </w:tr>
    </w:tbl>
    <w:p>
      <w:pPr>
        <w:pStyle w:val="BodyText"/>
      </w:pPr>
      <w:r>
        <w:t xml:space="preserve">GJR-GARCH-Student-t có AIC nhỏ nhất, nhưng Nyblom bác bỏ stability và persistence gần biên 1. eGARCH-Student-t có AIC chỉ kém rất nhỏ, core residual diagnostics đạt và Nyblom joint statistic không vượt critical value 5%. Vì vậy eGARCH được chọn làm provisional candidate theo rule định trước, không chỉ theo AIC.</w:t>
      </w:r>
    </w:p>
    <w:p>
      <w:pPr>
        <w:pStyle w:val="CaptionedFigure"/>
      </w:pPr>
      <w:r>
        <w:drawing>
          <wp:inline>
            <wp:extent cx="5067300" cy="2994313"/>
            <wp:effectExtent b="0" l="0" r="0" t="0"/>
            <wp:docPr descr="Conditional volatility từ bốn specification GARCH" title="" id="41" name="Picture"/>
            <a:graphic>
              <a:graphicData uri="http://schemas.openxmlformats.org/drawingml/2006/picture">
                <pic:pic>
                  <pic:nvPicPr>
                    <pic:cNvPr descr="report_files/9690a5868ff8bf39903d7759574297dc8f058538.png" id="42" name="Picture"/>
                    <pic:cNvPicPr>
                      <a:picLocks noChangeArrowheads="1" noChangeAspect="1"/>
                    </pic:cNvPicPr>
                  </pic:nvPicPr>
                  <pic:blipFill>
                    <a:blip r:embed="rId40"/>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t xml:space="preserve">Conditional volatility từ bốn specification GARCH</w:t>
      </w:r>
    </w:p>
    <w:p>
      <w:pPr>
        <w:pStyle w:val="CaptionedFigure"/>
      </w:pPr>
      <w:r>
        <w:drawing>
          <wp:inline>
            <wp:extent cx="5067300" cy="2714625"/>
            <wp:effectExtent b="0" l="0" r="0" t="0"/>
            <wp:docPr descr="ACF của standardized residual và squared standardized residual" title="" id="44" name="Picture"/>
            <a:graphic>
              <a:graphicData uri="http://schemas.openxmlformats.org/drawingml/2006/picture">
                <pic:pic>
                  <pic:nvPicPr>
                    <pic:cNvPr descr="report_files/17b422a7e4d56dcf62e1b67e3672f1b36ddc4ce5.png" id="45" name="Picture"/>
                    <pic:cNvPicPr>
                      <a:picLocks noChangeArrowheads="1" noChangeAspect="1"/>
                    </pic:cNvPicPr>
                  </pic:nvPicPr>
                  <pic:blipFill>
                    <a:blip r:embed="rId43"/>
                    <a:stretch>
                      <a:fillRect/>
                    </a:stretch>
                  </pic:blipFill>
                  <pic:spPr bwMode="auto">
                    <a:xfrm>
                      <a:off x="0" y="0"/>
                      <a:ext cx="5067300" cy="2714625"/>
                    </a:xfrm>
                    <a:prstGeom prst="rect">
                      <a:avLst/>
                    </a:prstGeom>
                    <a:noFill/>
                    <a:ln w="9525">
                      <a:noFill/>
                      <a:headEnd/>
                      <a:tailEnd/>
                    </a:ln>
                  </pic:spPr>
                </pic:pic>
              </a:graphicData>
            </a:graphic>
          </wp:inline>
        </w:drawing>
      </w:r>
    </w:p>
    <w:p>
      <w:pPr>
        <w:pStyle w:val="ImageCaption"/>
      </w:pPr>
      <w:r>
        <w:t xml:space="preserve">ACF của standardized residual và squared standardized residual</w:t>
      </w:r>
    </w:p>
    <w:p>
      <w:pPr>
        <w:pStyle w:val="BodyText"/>
      </w:pPr>
      <w:r>
        <w:t xml:space="preserve">Core tests không phát hiện serial correlation hoặc ARCH effect còn lại ở mức 5% cho cả bốn model. Tuy nhiên, adjusted Pearson GOF bác bỏ distribution fit ở cả bốn specification. Điều này cho thấy conditional variance dynamics được cải thiện nhưng phân phối/điểm khối lượng tại zero hoặc structural breaks vẫn chưa được mô tả đầy đủ.</w:t>
      </w:r>
    </w:p>
    <w:p>
      <w:pPr>
        <w:pStyle w:val="CaptionedFigure"/>
      </w:pPr>
      <w:r>
        <w:drawing>
          <wp:inline>
            <wp:extent cx="5067300" cy="2533650"/>
            <wp:effectExtent b="0" l="0" r="0" t="0"/>
            <wp:docPr descr="News-impact curves của eGARCH và GJR-GARCH" title="" id="47" name="Picture"/>
            <a:graphic>
              <a:graphicData uri="http://schemas.openxmlformats.org/drawingml/2006/picture">
                <pic:pic>
                  <pic:nvPicPr>
                    <pic:cNvPr descr="report_files/de0db4f91e91f7c9b7a44b2257b2c36fc53284d5.png" id="48" name="Picture"/>
                    <pic:cNvPicPr>
                      <a:picLocks noChangeArrowheads="1" noChangeAspect="1"/>
                    </pic:cNvPicPr>
                  </pic:nvPicPr>
                  <pic:blipFill>
                    <a:blip r:embed="rId46"/>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News-impact curves của eGARCH và GJR-GARCH</w:t>
      </w:r>
    </w:p>
    <w:p>
      <w:pPr>
        <w:pStyle w:val="BodyText"/>
      </w:pPr>
      <w:r>
        <w:t xml:space="preserve">News-impact curves cho thấy shock âm và dương cùng độ lớn có tác động khác nhau lên conditional variance. Đây là bằng chứng trực quan cho cấu trúc bất đối xứng; việc kết luận leverage phải đi kèm dấu, ý nghĩa tham số và quy ước phương trình của package.</w:t>
      </w:r>
    </w:p>
    <w:p>
      <w:pPr>
        <w:pStyle w:val="TableCaption"/>
      </w:pPr>
      <w:r>
        <w:t xml:space="preserve">Tham số eGARCH-Student-t với robust standard errors</w:t>
      </w:r>
    </w:p>
    <w:tbl>
      <w:tblPr>
        <w:tblStyle w:val="Table"/>
        <w:tblW w:type="auto" w:w="0"/>
        <w:tblLook w:firstRow="1" w:lastRow="0" w:firstColumn="0" w:lastColumn="0" w:noHBand="0" w:noVBand="0" w:val="0020"/>
        <w:tblCaption w:val="Tham số eGARCH-Student-t với robust standard errors"/>
      </w:tblPr>
      <w:tblGrid>
        <w:gridCol w:w="1980"/>
        <w:gridCol w:w="1980"/>
        <w:gridCol w:w="1980"/>
        <w:gridCol w:w="1980"/>
      </w:tblGrid>
      <w:tr>
        <w:trPr>
          <w:tblHeader w:val="on"/>
        </w:trPr>
        <w:tc>
          <w:tcPr/>
          <w:p>
            <w:pPr>
              <w:pStyle w:val="Compact"/>
              <w:jc w:val="left"/>
            </w:pPr>
            <w:r>
              <w:t xml:space="preserve">parameter</w:t>
            </w:r>
          </w:p>
        </w:tc>
        <w:tc>
          <w:tcPr/>
          <w:p>
            <w:pPr>
              <w:pStyle w:val="Compact"/>
              <w:jc w:val="right"/>
            </w:pPr>
            <w:r>
              <w:t xml:space="preserve">estimate</w:t>
            </w:r>
          </w:p>
        </w:tc>
        <w:tc>
          <w:tcPr/>
          <w:p>
            <w:pPr>
              <w:pStyle w:val="Compact"/>
              <w:jc w:val="right"/>
            </w:pPr>
            <w:r>
              <w:t xml:space="preserve">robust_std_error</w:t>
            </w:r>
          </w:p>
        </w:tc>
        <w:tc>
          <w:tcPr/>
          <w:p>
            <w:pPr>
              <w:pStyle w:val="Compact"/>
              <w:jc w:val="right"/>
            </w:pPr>
            <w:r>
              <w:t xml:space="preserve">robust_p_value</w:t>
            </w:r>
          </w:p>
        </w:tc>
      </w:tr>
      <w:tr>
        <w:tc>
          <w:tcPr/>
          <w:p>
            <w:pPr>
              <w:pStyle w:val="Compact"/>
              <w:jc w:val="left"/>
            </w:pPr>
            <w:r>
              <w:t xml:space="preserve">mu</w:t>
            </w:r>
          </w:p>
        </w:tc>
        <w:tc>
          <w:tcPr/>
          <w:p>
            <w:pPr>
              <w:pStyle w:val="Compact"/>
              <w:jc w:val="right"/>
            </w:pPr>
            <w:r>
              <w:t xml:space="preserve">0.000369</w:t>
            </w:r>
          </w:p>
        </w:tc>
        <w:tc>
          <w:tcPr/>
          <w:p>
            <w:pPr>
              <w:pStyle w:val="Compact"/>
              <w:jc w:val="right"/>
            </w:pPr>
            <w:r>
              <w:t xml:space="preserve">0.000188</w:t>
            </w:r>
          </w:p>
        </w:tc>
        <w:tc>
          <w:tcPr/>
          <w:p>
            <w:pPr>
              <w:pStyle w:val="Compact"/>
              <w:jc w:val="right"/>
            </w:pPr>
            <w:r>
              <w:t xml:space="preserve">0.049826</w:t>
            </w:r>
          </w:p>
        </w:tc>
      </w:tr>
      <w:tr>
        <w:tc>
          <w:tcPr/>
          <w:p>
            <w:pPr>
              <w:pStyle w:val="Compact"/>
              <w:jc w:val="left"/>
            </w:pPr>
            <w:r>
              <w:t xml:space="preserve">omega</w:t>
            </w:r>
          </w:p>
        </w:tc>
        <w:tc>
          <w:tcPr/>
          <w:p>
            <w:pPr>
              <w:pStyle w:val="Compact"/>
              <w:jc w:val="right"/>
            </w:pPr>
            <w:r>
              <w:t xml:space="preserve">-0.325655</w:t>
            </w:r>
          </w:p>
        </w:tc>
        <w:tc>
          <w:tcPr/>
          <w:p>
            <w:pPr>
              <w:pStyle w:val="Compact"/>
              <w:jc w:val="right"/>
            </w:pPr>
            <w:r>
              <w:t xml:space="preserve">0.022484</w:t>
            </w:r>
          </w:p>
        </w:tc>
        <w:tc>
          <w:tcPr/>
          <w:p>
            <w:pPr>
              <w:pStyle w:val="Compact"/>
              <w:jc w:val="right"/>
            </w:pPr>
            <w:r>
              <w:t xml:space="preserve">0.000000</w:t>
            </w:r>
          </w:p>
        </w:tc>
      </w:tr>
      <w:tr>
        <w:tc>
          <w:tcPr/>
          <w:p>
            <w:pPr>
              <w:pStyle w:val="Compact"/>
              <w:jc w:val="left"/>
            </w:pPr>
            <w:r>
              <w:t xml:space="preserve">alpha1</w:t>
            </w:r>
          </w:p>
        </w:tc>
        <w:tc>
          <w:tcPr/>
          <w:p>
            <w:pPr>
              <w:pStyle w:val="Compact"/>
              <w:jc w:val="right"/>
            </w:pPr>
            <w:r>
              <w:t xml:space="preserve">-0.065202</w:t>
            </w:r>
          </w:p>
        </w:tc>
        <w:tc>
          <w:tcPr/>
          <w:p>
            <w:pPr>
              <w:pStyle w:val="Compact"/>
              <w:jc w:val="right"/>
            </w:pPr>
            <w:r>
              <w:t xml:space="preserve">0.023165</w:t>
            </w:r>
          </w:p>
        </w:tc>
        <w:tc>
          <w:tcPr/>
          <w:p>
            <w:pPr>
              <w:pStyle w:val="Compact"/>
              <w:jc w:val="right"/>
            </w:pPr>
            <w:r>
              <w:t xml:space="preserve">0.004882</w:t>
            </w:r>
          </w:p>
        </w:tc>
      </w:tr>
      <w:tr>
        <w:tc>
          <w:tcPr/>
          <w:p>
            <w:pPr>
              <w:pStyle w:val="Compact"/>
              <w:jc w:val="left"/>
            </w:pPr>
            <w:r>
              <w:t xml:space="preserve">beta1</w:t>
            </w:r>
          </w:p>
        </w:tc>
        <w:tc>
          <w:tcPr/>
          <w:p>
            <w:pPr>
              <w:pStyle w:val="Compact"/>
              <w:jc w:val="right"/>
            </w:pPr>
            <w:r>
              <w:t xml:space="preserve">0.959118</w:t>
            </w:r>
          </w:p>
        </w:tc>
        <w:tc>
          <w:tcPr/>
          <w:p>
            <w:pPr>
              <w:pStyle w:val="Compact"/>
              <w:jc w:val="right"/>
            </w:pPr>
            <w:r>
              <w:t xml:space="preserve">0.002731</w:t>
            </w:r>
          </w:p>
        </w:tc>
        <w:tc>
          <w:tcPr/>
          <w:p>
            <w:pPr>
              <w:pStyle w:val="Compact"/>
              <w:jc w:val="right"/>
            </w:pPr>
            <w:r>
              <w:t xml:space="preserve">0.000000</w:t>
            </w:r>
          </w:p>
        </w:tc>
      </w:tr>
      <w:tr>
        <w:tc>
          <w:tcPr/>
          <w:p>
            <w:pPr>
              <w:pStyle w:val="Compact"/>
              <w:jc w:val="left"/>
            </w:pPr>
            <w:r>
              <w:t xml:space="preserve">gamma1</w:t>
            </w:r>
          </w:p>
        </w:tc>
        <w:tc>
          <w:tcPr/>
          <w:p>
            <w:pPr>
              <w:pStyle w:val="Compact"/>
              <w:jc w:val="right"/>
            </w:pPr>
            <w:r>
              <w:t xml:space="preserve">0.255356</w:t>
            </w:r>
          </w:p>
        </w:tc>
        <w:tc>
          <w:tcPr/>
          <w:p>
            <w:pPr>
              <w:pStyle w:val="Compact"/>
              <w:jc w:val="right"/>
            </w:pPr>
            <w:r>
              <w:t xml:space="preserve">0.030403</w:t>
            </w:r>
          </w:p>
        </w:tc>
        <w:tc>
          <w:tcPr/>
          <w:p>
            <w:pPr>
              <w:pStyle w:val="Compact"/>
              <w:jc w:val="right"/>
            </w:pPr>
            <w:r>
              <w:t xml:space="preserve">0.000000</w:t>
            </w:r>
          </w:p>
        </w:tc>
      </w:tr>
      <w:tr>
        <w:tc>
          <w:tcPr/>
          <w:p>
            <w:pPr>
              <w:pStyle w:val="Compact"/>
              <w:jc w:val="left"/>
            </w:pPr>
            <w:r>
              <w:t xml:space="preserve">shape</w:t>
            </w:r>
          </w:p>
        </w:tc>
        <w:tc>
          <w:tcPr/>
          <w:p>
            <w:pPr>
              <w:pStyle w:val="Compact"/>
              <w:jc w:val="right"/>
            </w:pPr>
            <w:r>
              <w:t xml:space="preserve">2.971467</w:t>
            </w:r>
          </w:p>
        </w:tc>
        <w:tc>
          <w:tcPr/>
          <w:p>
            <w:pPr>
              <w:pStyle w:val="Compact"/>
              <w:jc w:val="right"/>
            </w:pPr>
            <w:r>
              <w:t xml:space="preserve">0.217438</w:t>
            </w:r>
          </w:p>
        </w:tc>
        <w:tc>
          <w:tcPr/>
          <w:p>
            <w:pPr>
              <w:pStyle w:val="Compact"/>
              <w:jc w:val="right"/>
            </w:pPr>
            <w:r>
              <w:t xml:space="preserve">0.000000</w:t>
            </w:r>
          </w:p>
        </w:tc>
      </w:tr>
    </w:tbl>
    <w:bookmarkEnd w:id="49"/>
    <w:bookmarkEnd w:id="50"/>
    <w:bookmarkStart w:id="51" w:name="kết-luận"/>
    <w:p>
      <w:pPr>
        <w:pStyle w:val="Heading1"/>
      </w:pPr>
      <w:r>
        <w:rPr>
          <w:rStyle w:val="SectionNumber"/>
        </w:rPr>
        <w:t xml:space="preserve">6</w:t>
      </w:r>
      <w:r>
        <w:tab/>
      </w:r>
      <w:r>
        <w:t xml:space="preserve">Kết luận</w:t>
      </w:r>
    </w:p>
    <w:p>
      <w:pPr>
        <w:pStyle w:val="FirstParagraph"/>
      </w:pPr>
      <w:r>
        <w:t xml:space="preserve">Chuỗi giá FPT không dừng trong mức giá, trong khi log return dừng và có ARCH effect. Với dự báo giá, kết quả holdout và rolling CV hiện chưa thống nhất về một model thắng tuyệt đối; đây là lý do benchmark và nhiều cửa sổ đánh giá quan trọng hơn một MAPE đơn lẻ. Với volatility, Student-t cải thiện AIC/BIC rõ so với Normal, còn eGARCH-Student-t là ứng viên provisional nhờ cân bằng fit, diagnostics và stability.</w:t>
      </w:r>
    </w:p>
    <w:p>
      <w:pPr>
        <w:pStyle w:val="BodyText"/>
      </w:pPr>
      <w:r>
        <w:t xml:space="preserve">Kết quả không phải khuyến nghị đầu tư. Những hạn chế chính gồm provenance/zero-volume rows chưa được khóa ở data handoff cuối, structural instability trên giai đoạn dài, Pearson GOF còn bị bác bỏ, ARIMAX/SARIMA chưa có cùng rolling CV, và chưa đánh giá volatility forecast ngoài mẫu bằng loss function hoặc VaR backtest.</w:t>
      </w:r>
    </w:p>
    <w:p>
      <w:pPr>
        <w:pStyle w:val="BodyText"/>
      </w:pPr>
      <w:r>
        <w:t xml:space="preserve">Trước bản nộp cuối, nhóm phải merge dữ liệu sạch, chạy lại toàn pipeline trong R session sạch, đối chiếu mọi số trong Word/slide với CSV và xóa mọi kết luận provisional không còn đúng.</w:t>
      </w:r>
    </w:p>
    <w:bookmarkEnd w:id="51"/>
    <w:bookmarkStart w:id="54" w:name="phụ-lục"/>
    <w:p>
      <w:pPr>
        <w:pStyle w:val="Heading1"/>
      </w:pPr>
      <w:r>
        <w:rPr>
          <w:rStyle w:val="SectionNumber"/>
        </w:rPr>
        <w:t xml:space="preserve">7</w:t>
      </w:r>
      <w:r>
        <w:tab/>
      </w:r>
      <w:r>
        <w:t xml:space="preserve">Phụ lục</w:t>
      </w:r>
    </w:p>
    <w:bookmarkStart w:id="52" w:name="cách-tái-lập"/>
    <w:p>
      <w:pPr>
        <w:pStyle w:val="Heading2"/>
      </w:pPr>
      <w:r>
        <w:rPr>
          <w:rStyle w:val="SectionNumber"/>
        </w:rPr>
        <w:t xml:space="preserve">7.1</w:t>
      </w:r>
      <w:r>
        <w:tab/>
      </w:r>
      <w:r>
        <w:t xml:space="preserve">Cách tái lập</w:t>
      </w:r>
    </w:p>
    <w:p>
      <w:pPr>
        <w:pStyle w:val="FirstParagraph"/>
      </w:pPr>
      <w:r>
        <w:t xml:space="preserve">Chạy từ thư mục gốc theo thứ tự:</w:t>
      </w:r>
    </w:p>
    <w:p>
      <w:pPr>
        <w:pStyle w:val="SourceCode"/>
      </w:pPr>
      <w:r>
        <w:rPr>
          <w:rStyle w:val="FunctionTok"/>
        </w:rPr>
        <w:t xml:space="preserve">source</w:t>
      </w:r>
      <w:r>
        <w:rPr>
          <w:rStyle w:val="NormalTok"/>
        </w:rPr>
        <w:t xml:space="preserve">(</w:t>
      </w:r>
      <w:r>
        <w:rPr>
          <w:rStyle w:val="StringTok"/>
        </w:rPr>
        <w:t xml:space="preserve">"R/01_data_cleaning.R"</w:t>
      </w:r>
      <w:r>
        <w:rPr>
          <w:rStyle w:val="NormalTok"/>
        </w:rPr>
        <w:t xml:space="preserve">)</w:t>
      </w:r>
      <w:r>
        <w:br/>
      </w:r>
      <w:r>
        <w:rPr>
          <w:rStyle w:val="FunctionTok"/>
        </w:rPr>
        <w:t xml:space="preserve">source</w:t>
      </w:r>
      <w:r>
        <w:rPr>
          <w:rStyle w:val="NormalTok"/>
        </w:rPr>
        <w:t xml:space="preserve">(</w:t>
      </w:r>
      <w:r>
        <w:rPr>
          <w:rStyle w:val="StringTok"/>
        </w:rPr>
        <w:t xml:space="preserve">"R/02_visualization.R"</w:t>
      </w:r>
      <w:r>
        <w:rPr>
          <w:rStyle w:val="NormalTok"/>
        </w:rPr>
        <w:t xml:space="preserve">)</w:t>
      </w:r>
      <w:r>
        <w:br/>
      </w:r>
      <w:r>
        <w:rPr>
          <w:rStyle w:val="FunctionTok"/>
        </w:rPr>
        <w:t xml:space="preserve">source</w:t>
      </w:r>
      <w:r>
        <w:rPr>
          <w:rStyle w:val="NormalTok"/>
        </w:rPr>
        <w:t xml:space="preserve">(</w:t>
      </w:r>
      <w:r>
        <w:rPr>
          <w:rStyle w:val="StringTok"/>
        </w:rPr>
        <w:t xml:space="preserve">"R/03_stationarity_arima_ets.R"</w:t>
      </w:r>
      <w:r>
        <w:rPr>
          <w:rStyle w:val="NormalTok"/>
        </w:rPr>
        <w:t xml:space="preserve">)</w:t>
      </w:r>
      <w:r>
        <w:br/>
      </w:r>
      <w:r>
        <w:rPr>
          <w:rStyle w:val="FunctionTok"/>
        </w:rPr>
        <w:t xml:space="preserve">source</w:t>
      </w:r>
      <w:r>
        <w:rPr>
          <w:rStyle w:val="NormalTok"/>
        </w:rPr>
        <w:t xml:space="preserve">(</w:t>
      </w:r>
      <w:r>
        <w:rPr>
          <w:rStyle w:val="StringTok"/>
        </w:rPr>
        <w:t xml:space="preserve">"R/04_garch_volatility.R"</w:t>
      </w:r>
      <w:r>
        <w:rPr>
          <w:rStyle w:val="NormalTok"/>
        </w:rPr>
        <w:t xml:space="preserve">)</w:t>
      </w:r>
      <w:r>
        <w:br/>
      </w:r>
      <w:r>
        <w:rPr>
          <w:rStyle w:val="FunctionTok"/>
        </w:rPr>
        <w:t xml:space="preserve">source</w:t>
      </w:r>
      <w:r>
        <w:rPr>
          <w:rStyle w:val="NormalTok"/>
        </w:rPr>
        <w:t xml:space="preserve">(</w:t>
      </w:r>
      <w:r>
        <w:rPr>
          <w:rStyle w:val="StringTok"/>
        </w:rPr>
        <w:t xml:space="preserve">"R/05_model_comparison.R"</w:t>
      </w:r>
      <w:r>
        <w:rPr>
          <w:rStyle w:val="NormalTok"/>
        </w:rPr>
        <w:t xml:space="preserve">)</w:t>
      </w:r>
      <w:r>
        <w:br/>
      </w:r>
      <w:r>
        <w:rPr>
          <w:rStyle w:val="NormalTok"/>
        </w:rPr>
        <w:t xml:space="preserve">rmarkdown</w:t>
      </w:r>
      <w:r>
        <w:rPr>
          <w:rStyle w:val="SpecialCharTok"/>
        </w:rPr>
        <w:t xml:space="preserve">::</w:t>
      </w:r>
      <w:r>
        <w:rPr>
          <w:rStyle w:val="FunctionTok"/>
        </w:rPr>
        <w:t xml:space="preserve">render</w:t>
      </w:r>
      <w:r>
        <w:rPr>
          <w:rStyle w:val="NormalTok"/>
        </w:rPr>
        <w:t xml:space="preserve">(</w:t>
      </w:r>
      <w:r>
        <w:rPr>
          <w:rStyle w:val="StringTok"/>
        </w:rPr>
        <w:t xml:space="preserve">"report/report.Rmd"</w:t>
      </w:r>
      <w:r>
        <w:rPr>
          <w:rStyle w:val="NormalTok"/>
        </w:rPr>
        <w:t xml:space="preserve">, </w:t>
      </w:r>
      <w:r>
        <w:rPr>
          <w:rStyle w:val="AttributeTok"/>
        </w:rPr>
        <w:t xml:space="preserve">knit_root_dir =</w:t>
      </w:r>
      <w:r>
        <w:rPr>
          <w:rStyle w:val="NormalTok"/>
        </w:rPr>
        <w:t xml:space="preserve"> </w:t>
      </w:r>
      <w:r>
        <w:rPr>
          <w:rStyle w:val="FunctionTok"/>
        </w:rPr>
        <w:t xml:space="preserve">normalizePath</w:t>
      </w:r>
      <w:r>
        <w:rPr>
          <w:rStyle w:val="NormalTok"/>
        </w:rPr>
        <w:t xml:space="preserve">(</w:t>
      </w:r>
      <w:r>
        <w:rPr>
          <w:rStyle w:val="StringTok"/>
        </w:rPr>
        <w:t xml:space="preserve">"."</w:t>
      </w:r>
      <w:r>
        <w:rPr>
          <w:rStyle w:val="NormalTok"/>
        </w:rPr>
        <w:t xml:space="preserve">))</w:t>
      </w:r>
    </w:p>
    <w:p>
      <w:pPr>
        <w:pStyle w:val="FirstParagraph"/>
      </w:pPr>
      <w:r>
        <w:t xml:space="preserve">Các package chính gồm</w:t>
      </w:r>
      <w:r>
        <w:t xml:space="preserve"> </w:t>
      </w:r>
      <w:r>
        <w:rPr>
          <w:rStyle w:val="VerbatimChar"/>
        </w:rPr>
        <w:t xml:space="preserve">tidyverse</w:t>
      </w:r>
      <w:r>
        <w:t xml:space="preserve">,</w:t>
      </w:r>
      <w:r>
        <w:t xml:space="preserve"> </w:t>
      </w:r>
      <w:r>
        <w:rPr>
          <w:rStyle w:val="VerbatimChar"/>
        </w:rPr>
        <w:t xml:space="preserve">forecast</w:t>
      </w:r>
      <w:r>
        <w:t xml:space="preserve">,</w:t>
      </w:r>
      <w:r>
        <w:t xml:space="preserve"> </w:t>
      </w:r>
      <w:r>
        <w:rPr>
          <w:rStyle w:val="VerbatimChar"/>
        </w:rPr>
        <w:t xml:space="preserve">tseries</w:t>
      </w:r>
      <w:r>
        <w:t xml:space="preserve">,</w:t>
      </w:r>
      <w:r>
        <w:t xml:space="preserve"> </w:t>
      </w:r>
      <w:r>
        <w:rPr>
          <w:rStyle w:val="VerbatimChar"/>
        </w:rPr>
        <w:t xml:space="preserve">FinTS</w:t>
      </w:r>
      <w:r>
        <w:t xml:space="preserve">,</w:t>
      </w:r>
      <w:r>
        <w:t xml:space="preserve"> </w:t>
      </w:r>
      <w:r>
        <w:rPr>
          <w:rStyle w:val="VerbatimChar"/>
        </w:rPr>
        <w:t xml:space="preserve">rugarch</w:t>
      </w:r>
      <w:r>
        <w:t xml:space="preserve">,</w:t>
      </w:r>
      <w:r>
        <w:t xml:space="preserve"> </w:t>
      </w:r>
      <w:r>
        <w:rPr>
          <w:rStyle w:val="VerbatimChar"/>
        </w:rPr>
        <w:t xml:space="preserve">knitr</w:t>
      </w:r>
      <w:r>
        <w:t xml:space="preserve">,</w:t>
      </w:r>
      <w:r>
        <w:t xml:space="preserve"> </w:t>
      </w:r>
      <w:r>
        <w:rPr>
          <w:rStyle w:val="VerbatimChar"/>
        </w:rPr>
        <w:t xml:space="preserve">rmarkdown</w:t>
      </w:r>
      <w:r>
        <w:t xml:space="preserve"> </w:t>
      </w:r>
      <w:r>
        <w:t xml:space="preserve">và</w:t>
      </w:r>
      <w:r>
        <w:t xml:space="preserve"> </w:t>
      </w:r>
      <w:r>
        <w:rPr>
          <w:rStyle w:val="VerbatimChar"/>
        </w:rPr>
        <w:t xml:space="preserve">openxlsx</w:t>
      </w:r>
      <w:r>
        <w:t xml:space="preserve">.</w:t>
      </w:r>
    </w:p>
    <w:bookmarkEnd w:id="52"/>
    <w:bookmarkStart w:id="53" w:name="quy-tắc-diễn-giải-kiểm-định"/>
    <w:p>
      <w:pPr>
        <w:pStyle w:val="Heading2"/>
      </w:pPr>
      <w:r>
        <w:rPr>
          <w:rStyle w:val="SectionNumber"/>
        </w:rPr>
        <w:t xml:space="preserve">7.2</w:t>
      </w:r>
      <w:r>
        <w:tab/>
      </w:r>
      <w:r>
        <w:t xml:space="preserve">Quy tắc diễn giải kiểm định</w:t>
      </w:r>
    </w:p>
    <w:p>
      <w:pPr>
        <w:pStyle w:val="Compact"/>
        <w:numPr>
          <w:ilvl w:val="0"/>
          <w:numId w:val="1004"/>
        </w:numPr>
      </w:pPr>
      <w:r>
        <w:t xml:space="preserve">P-value nhỏ hơn 0.05: bác bỏ H0 ở mức 5%.</w:t>
      </w:r>
    </w:p>
    <w:p>
      <w:pPr>
        <w:pStyle w:val="Compact"/>
        <w:numPr>
          <w:ilvl w:val="0"/>
          <w:numId w:val="1004"/>
        </w:numPr>
      </w:pPr>
      <w:r>
        <w:t xml:space="preserve">P-value lớn hơn hoặc bằng 0.05: chưa đủ bằng chứng bác bỏ H0.</w:t>
      </w:r>
    </w:p>
    <w:p>
      <w:pPr>
        <w:pStyle w:val="Compact"/>
        <w:numPr>
          <w:ilvl w:val="0"/>
          <w:numId w:val="1004"/>
        </w:numPr>
      </w:pPr>
      <w:r>
        <w:t xml:space="preserve">P-value lớn không chứng minh model đúng hoàn toàn.</w:t>
      </w:r>
    </w:p>
    <w:p>
      <w:pPr>
        <w:pStyle w:val="Compact"/>
        <w:numPr>
          <w:ilvl w:val="0"/>
          <w:numId w:val="1004"/>
        </w:numPr>
      </w:pPr>
      <w:r>
        <w:t xml:space="preserve">AIC/BIC chỉ so sánh model fit trên cùng response và sample.</w:t>
      </w:r>
    </w:p>
    <w:bookmarkEnd w:id="53"/>
    <w:bookmarkEnd w:id="54"/>
    <w:bookmarkStart w:id="55" w:name="đóng-góp-thành-viên"/>
    <w:p>
      <w:pPr>
        <w:pStyle w:val="Heading1"/>
      </w:pPr>
      <w:r>
        <w:rPr>
          <w:rStyle w:val="SectionNumber"/>
        </w:rPr>
        <w:t xml:space="preserve">8</w:t>
      </w:r>
      <w:r>
        <w:tab/>
      </w:r>
      <w:r>
        <w:t xml:space="preserve">Đóng góp thành viên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viên</w:t>
            </w:r>
          </w:p>
        </w:tc>
        <w:tc>
          <w:tcPr/>
          <w:p>
            <w:pPr>
              <w:pStyle w:val="Compact"/>
            </w:pPr>
            <w:r>
              <w:t xml:space="preserve">Phạm vi đóng góp</w:t>
            </w:r>
          </w:p>
        </w:tc>
        <w:tc>
          <w:tcPr/>
          <w:p>
            <w:pPr>
              <w:pStyle w:val="Compact"/>
            </w:pPr>
            <w:r>
              <w:t xml:space="preserve">Artifact chính</w:t>
            </w:r>
          </w:p>
        </w:tc>
      </w:tr>
      <w:tr>
        <w:tc>
          <w:tcPr/>
          <w:p>
            <w:pPr>
              <w:pStyle w:val="Compact"/>
            </w:pPr>
            <w:r>
              <w:t xml:space="preserve">Thành viên 1</w:t>
            </w:r>
          </w:p>
        </w:tc>
        <w:tc>
          <w:tcPr/>
          <w:p>
            <w:pPr>
              <w:pStyle w:val="Compact"/>
            </w:pPr>
            <w:r>
              <w:t xml:space="preserve">Thu thập, làm sạch, quality checks và trực quan hóa</w:t>
            </w:r>
          </w:p>
        </w:tc>
        <w:tc>
          <w:tcPr/>
          <w:p>
            <w:pPr>
              <w:pStyle w:val="Compact"/>
            </w:pPr>
            <w:r>
              <w:t xml:space="preserve">Notebook,</w:t>
            </w:r>
            <w:r>
              <w:t xml:space="preserve"> </w:t>
            </w:r>
            <w:r>
              <w:rPr>
                <w:rStyle w:val="VerbatimChar"/>
              </w:rPr>
              <w:t xml:space="preserve">R/01</w:t>
            </w:r>
            <w:r>
              <w:t xml:space="preserve">,</w:t>
            </w:r>
            <w:r>
              <w:t xml:space="preserve"> </w:t>
            </w:r>
            <w:r>
              <w:rPr>
                <w:rStyle w:val="VerbatimChar"/>
              </w:rPr>
              <w:t xml:space="preserve">R/02</w:t>
            </w:r>
            <w:r>
              <w:t xml:space="preserve">, dữ liệu và EDA</w:t>
            </w:r>
          </w:p>
        </w:tc>
      </w:tr>
      <w:tr>
        <w:tc>
          <w:tcPr/>
          <w:p>
            <w:pPr>
              <w:pStyle w:val="Compact"/>
            </w:pPr>
            <w:r>
              <w:t xml:space="preserve">Thành viên 2</w:t>
            </w:r>
          </w:p>
        </w:tc>
        <w:tc>
          <w:tcPr/>
          <w:p>
            <w:pPr>
              <w:pStyle w:val="Compact"/>
            </w:pPr>
            <w:r>
              <w:t xml:space="preserve">Forecast framework, benchmark, rolling CV và residual diagnostics</w:t>
            </w:r>
          </w:p>
        </w:tc>
        <w:tc>
          <w:tcPr/>
          <w:p>
            <w:pPr>
              <w:pStyle w:val="Compact"/>
            </w:pPr>
            <w:r>
              <w:rPr>
                <w:rStyle w:val="VerbatimChar"/>
              </w:rPr>
              <w:t xml:space="preserve">R/03</w:t>
            </w:r>
            <w:r>
              <w:t xml:space="preserve">, bảng/hình forecast</w:t>
            </w:r>
          </w:p>
        </w:tc>
      </w:tr>
      <w:tr>
        <w:tc>
          <w:tcPr/>
          <w:p>
            <w:pPr>
              <w:pStyle w:val="Compact"/>
            </w:pPr>
            <w:r>
              <w:t xml:space="preserve">Thành viên 3</w:t>
            </w:r>
          </w:p>
        </w:tc>
        <w:tc>
          <w:tcPr/>
          <w:p>
            <w:pPr>
              <w:pStyle w:val="Compact"/>
            </w:pPr>
            <w:r>
              <w:t xml:space="preserve">GARCH variants, diagnostics, model comparison và tích hợp báo cáo</w:t>
            </w:r>
          </w:p>
        </w:tc>
        <w:tc>
          <w:tcPr/>
          <w:p>
            <w:pPr>
              <w:pStyle w:val="Compact"/>
            </w:pPr>
            <w:r>
              <w:rPr>
                <w:rStyle w:val="VerbatimChar"/>
              </w:rPr>
              <w:t xml:space="preserve">R/04</w:t>
            </w:r>
            <w:r>
              <w:t xml:space="preserve">,</w:t>
            </w:r>
            <w:r>
              <w:t xml:space="preserve"> </w:t>
            </w:r>
            <w:r>
              <w:rPr>
                <w:rStyle w:val="VerbatimChar"/>
              </w:rPr>
              <w:t xml:space="preserve">R/05</w:t>
            </w:r>
            <w:r>
              <w:t xml:space="preserve">, báo cáo Word và slide</w:t>
            </w:r>
          </w:p>
        </w:tc>
      </w:tr>
    </w:tbl>
    <w:p>
      <w:pPr>
        <w:pStyle w:val="BodyText"/>
      </w:pPr>
      <w:r>
        <w:t xml:space="preserve">Tên thật, mã sinh viên và tỷ lệ đóng góp phải được cả nhóm xác nhận trên trang bìa trước khi nộp.</w:t>
      </w:r>
    </w:p>
    <w:bookmarkEnd w:id="55"/>
    <w:bookmarkStart w:id="56" w:name="tài-liệu-tham-khảo"/>
    <w:p>
      <w:pPr>
        <w:pStyle w:val="Heading1"/>
      </w:pPr>
      <w:r>
        <w:rPr>
          <w:rStyle w:val="SectionNumber"/>
        </w:rPr>
        <w:t xml:space="preserve">9</w:t>
      </w:r>
      <w:r>
        <w:tab/>
      </w:r>
      <w:r>
        <w:t xml:space="preserve">Tài liệu tham khảo</w:t>
      </w:r>
    </w:p>
    <w:p>
      <w:pPr>
        <w:pStyle w:val="Compact"/>
        <w:numPr>
          <w:ilvl w:val="0"/>
          <w:numId w:val="1005"/>
        </w:numPr>
      </w:pPr>
      <w:r>
        <w:t xml:space="preserve">Hyndman, R. J., &amp; Athanasopoulos, G. (2021).</w:t>
      </w:r>
      <w:r>
        <w:t xml:space="preserve"> </w:t>
      </w:r>
      <w:r>
        <w:rPr>
          <w:i/>
          <w:iCs/>
        </w:rPr>
        <w:t xml:space="preserve">Forecasting: Principles and Practice</w:t>
      </w:r>
      <w:r>
        <w:t xml:space="preserve"> </w:t>
      </w:r>
      <w:r>
        <w:t xml:space="preserve">(3rd ed.). OTexts.</w:t>
      </w:r>
    </w:p>
    <w:p>
      <w:pPr>
        <w:pStyle w:val="Compact"/>
        <w:numPr>
          <w:ilvl w:val="0"/>
          <w:numId w:val="1005"/>
        </w:numPr>
      </w:pPr>
      <w:r>
        <w:t xml:space="preserve">Tsay, R. S. (2010).</w:t>
      </w:r>
      <w:r>
        <w:t xml:space="preserve"> </w:t>
      </w:r>
      <w:r>
        <w:rPr>
          <w:i/>
          <w:iCs/>
        </w:rPr>
        <w:t xml:space="preserve">Analysis of Financial Time Series</w:t>
      </w:r>
      <w:r>
        <w:t xml:space="preserve"> </w:t>
      </w:r>
      <w:r>
        <w:t xml:space="preserve">(3rd ed.). Wiley.</w:t>
      </w:r>
    </w:p>
    <w:p>
      <w:pPr>
        <w:pStyle w:val="Compact"/>
        <w:numPr>
          <w:ilvl w:val="0"/>
          <w:numId w:val="1005"/>
        </w:numPr>
      </w:pPr>
      <w:r>
        <w:t xml:space="preserve">Engle, R. F. (1982). Autoregressive conditional heteroscedasticity with estimates of the variance of United Kingdom inflation.</w:t>
      </w:r>
      <w:r>
        <w:t xml:space="preserve"> </w:t>
      </w:r>
      <w:r>
        <w:rPr>
          <w:i/>
          <w:iCs/>
        </w:rPr>
        <w:t xml:space="preserve">Econometrica</w:t>
      </w:r>
      <w:r>
        <w:t xml:space="preserve">, 50(4), 987–1007.</w:t>
      </w:r>
    </w:p>
    <w:p>
      <w:pPr>
        <w:pStyle w:val="Compact"/>
        <w:numPr>
          <w:ilvl w:val="0"/>
          <w:numId w:val="1005"/>
        </w:numPr>
      </w:pPr>
      <w:r>
        <w:t xml:space="preserve">Bollerslev, T. (1986). Generalized autoregressive conditional heteroskedasticity.</w:t>
      </w:r>
      <w:r>
        <w:t xml:space="preserve"> </w:t>
      </w:r>
      <w:r>
        <w:rPr>
          <w:i/>
          <w:iCs/>
        </w:rPr>
        <w:t xml:space="preserve">Journal of Econometrics</w:t>
      </w:r>
      <w:r>
        <w:t xml:space="preserve">, 31(3), 307–327.</w:t>
      </w:r>
    </w:p>
    <w:p>
      <w:pPr>
        <w:pStyle w:val="Compact"/>
        <w:numPr>
          <w:ilvl w:val="0"/>
          <w:numId w:val="1005"/>
        </w:numPr>
      </w:pPr>
      <w:r>
        <w:t xml:space="preserve">Nelson, D. B. (1991). Conditional heteroskedasticity in asset returns: A new approach.</w:t>
      </w:r>
      <w:r>
        <w:t xml:space="preserve"> </w:t>
      </w:r>
      <w:r>
        <w:rPr>
          <w:i/>
          <w:iCs/>
        </w:rPr>
        <w:t xml:space="preserve">Econometrica</w:t>
      </w:r>
      <w:r>
        <w:t xml:space="preserve">, 59(2), 347–370.</w:t>
      </w:r>
    </w:p>
    <w:p>
      <w:pPr>
        <w:pStyle w:val="Compact"/>
        <w:numPr>
          <w:ilvl w:val="0"/>
          <w:numId w:val="1005"/>
        </w:numPr>
      </w:pPr>
      <w:r>
        <w:t xml:space="preserve">Glosten, L. R., Jagannathan, R., &amp; Runkle, D. E. (1993). On the relation between the expected value and volatility of the nominal excess return on stocks.</w:t>
      </w:r>
      <w:r>
        <w:t xml:space="preserve"> </w:t>
      </w:r>
      <w:r>
        <w:rPr>
          <w:i/>
          <w:iCs/>
        </w:rPr>
        <w:t xml:space="preserve">Journal of Finance</w:t>
      </w:r>
      <w:r>
        <w:t xml:space="preserve">, 48(5), 1779–1801.</w:t>
      </w:r>
    </w:p>
    <w:p>
      <w:pPr>
        <w:pStyle w:val="Compact"/>
        <w:numPr>
          <w:ilvl w:val="0"/>
          <w:numId w:val="1005"/>
        </w:numPr>
      </w:pPr>
      <w:r>
        <w:t xml:space="preserve">Ghalanos, A.</w:t>
      </w:r>
      <w:r>
        <w:t xml:space="preserve"> </w:t>
      </w:r>
      <w:r>
        <w:rPr>
          <w:i/>
          <w:iCs/>
        </w:rPr>
        <w:t xml:space="preserve">rugarch: Univariate GARCH Models</w:t>
      </w:r>
      <w:r>
        <w:t xml:space="preserve">. R package documentation.</w:t>
      </w:r>
    </w:p>
    <w:bookmarkEnd w:id="56"/>
    <w:bookmarkStart w:id="57" w:name="peer-assessment"/>
    <w:p>
      <w:pPr>
        <w:pStyle w:val="Heading1"/>
      </w:pPr>
      <w:r>
        <w:rPr>
          <w:rStyle w:val="SectionNumber"/>
        </w:rPr>
        <w:t xml:space="preserve">10</w:t>
      </w:r>
      <w:r>
        <w:tab/>
      </w:r>
      <w:r>
        <w:t xml:space="preserve">Peer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viên</w:t>
            </w:r>
          </w:p>
        </w:tc>
        <w:tc>
          <w:tcPr/>
          <w:p>
            <w:pPr>
              <w:pStyle w:val="Compact"/>
            </w:pPr>
            <w:r>
              <w:t xml:space="preserve">Điểm mạnh quan sát được</w:t>
            </w:r>
          </w:p>
        </w:tc>
        <w:tc>
          <w:tcPr/>
          <w:p>
            <w:pPr>
              <w:pStyle w:val="Compact"/>
            </w:pPr>
            <w:r>
              <w:t xml:space="preserve">Hạn chế/công việc cần xác nhận</w:t>
            </w:r>
          </w:p>
        </w:tc>
        <w:tc>
          <w:tcPr/>
          <w:p>
            <w:pPr>
              <w:pStyle w:val="Compact"/>
            </w:pPr>
            <w:r>
              <w:t xml:space="preserve">Mức hoàn thành hiện tại</w:t>
            </w:r>
          </w:p>
        </w:tc>
      </w:tr>
      <w:tr>
        <w:tc>
          <w:tcPr/>
          <w:p>
            <w:pPr>
              <w:pStyle w:val="Compact"/>
            </w:pPr>
            <w:r>
              <w:t xml:space="preserve">Thành viên 1</w:t>
            </w:r>
          </w:p>
        </w:tc>
        <w:tc>
          <w:tcPr/>
          <w:p>
            <w:pPr>
              <w:pStyle w:val="Compact"/>
            </w:pPr>
            <w:r>
              <w:t xml:space="preserve">Xây dựng nguồn dữ liệu và EDA</w:t>
            </w:r>
          </w:p>
        </w:tc>
        <w:tc>
          <w:tcPr/>
          <w:p>
            <w:pPr>
              <w:pStyle w:val="Compact"/>
            </w:pPr>
            <w:r>
              <w:t xml:space="preserve">Khóa provenance, zero-volume handling và data handoff</w:t>
            </w:r>
          </w:p>
        </w:tc>
        <w:tc>
          <w:tcPr/>
          <w:p>
            <w:pPr>
              <w:pStyle w:val="Compact"/>
            </w:pPr>
            <w:r>
              <w:t xml:space="preserve">Đang chờ handoff cuối</w:t>
            </w:r>
          </w:p>
        </w:tc>
      </w:tr>
      <w:tr>
        <w:tc>
          <w:tcPr/>
          <w:p>
            <w:pPr>
              <w:pStyle w:val="Compact"/>
            </w:pPr>
            <w:r>
              <w:t xml:space="preserve">Thành viên 2</w:t>
            </w:r>
          </w:p>
        </w:tc>
        <w:tc>
          <w:tcPr/>
          <w:p>
            <w:pPr>
              <w:pStyle w:val="Compact"/>
            </w:pPr>
            <w:r>
              <w:t xml:space="preserve">Bổ sung benchmark, CV và forecast diagnostics</w:t>
            </w:r>
          </w:p>
        </w:tc>
        <w:tc>
          <w:tcPr/>
          <w:p>
            <w:pPr>
              <w:pStyle w:val="Compact"/>
            </w:pPr>
            <w:r>
              <w:t xml:space="preserve">Chạy CV đồng nhất cho các model cải tiến nếu thời gian cho phép</w:t>
            </w:r>
          </w:p>
        </w:tc>
        <w:tc>
          <w:tcPr/>
          <w:p>
            <w:pPr>
              <w:pStyle w:val="Compact"/>
            </w:pPr>
            <w:r>
              <w:t xml:space="preserve">Hoàn thành framework</w:t>
            </w:r>
          </w:p>
        </w:tc>
      </w:tr>
      <w:tr>
        <w:tc>
          <w:tcPr/>
          <w:p>
            <w:pPr>
              <w:pStyle w:val="Compact"/>
            </w:pPr>
            <w:r>
              <w:t xml:space="preserve">Thành viên 3</w:t>
            </w:r>
          </w:p>
        </w:tc>
        <w:tc>
          <w:tcPr/>
          <w:p>
            <w:pPr>
              <w:pStyle w:val="Compact"/>
            </w:pPr>
            <w:r>
              <w:t xml:space="preserve">Bổ sung bốn GARCH, diagnostics và báo cáo tái lập</w:t>
            </w:r>
          </w:p>
        </w:tc>
        <w:tc>
          <w:tcPr/>
          <w:p>
            <w:pPr>
              <w:pStyle w:val="Compact"/>
            </w:pPr>
            <w:r>
              <w:t xml:space="preserve">Rerun sau dữ liệu cuối, hoàn thiện slide</w:t>
            </w:r>
          </w:p>
        </w:tc>
        <w:tc>
          <w:tcPr/>
          <w:p>
            <w:pPr>
              <w:pStyle w:val="Compact"/>
            </w:pPr>
            <w:r>
              <w:t xml:space="preserve">Hoàn thành framework</w:t>
            </w:r>
          </w:p>
        </w:tc>
      </w:tr>
    </w:tbl>
    <w:p>
      <w:pPr>
        <w:pStyle w:val="BodyText"/>
      </w:pPr>
      <w:r>
        <w:t xml:space="preserve">Peer assessment cuối cùng phải được ba thành viên họp, thống nhất và thay thế bằng tên thật trước khi nộp.</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giá và phân tích biến động cổ phiếu FPT bằng mô hình chuỗi thời gian</dc:title>
  <dc:creator>Nhóm phân tích cổ phiếu FPT</dc:creator>
  <dc:language>vi</dc:language>
  <cp:keywords/>
  <dcterms:created xsi:type="dcterms:W3CDTF">2026-06-19T16:13:10Z</dcterms:created>
  <dcterms:modified xsi:type="dcterms:W3CDTF">2026-06-19T16:13:10Z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19/06/2026</vt:lpwstr>
  </property>
  <property fmtid="{D5CDD505-2E9C-101B-9397-08002B2CF9AE}" pid="3" name="output">
    <vt:lpwstr/>
  </property>
</Properties>
</file>