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0.png" ContentType="image/png"/>
  <Override PartName="/word/media/rId74.png" ContentType="image/png"/>
  <Override PartName="/word/media/rId41.png" ContentType="image/png"/>
  <Override PartName="/word/media/rId27.png" ContentType="image/png"/>
  <Override PartName="/word/media/rId58.png" ContentType="image/png"/>
  <Override PartName="/word/media/rId55.png" ContentType="image/png"/>
  <Override PartName="/word/media/rId37.png" ContentType="image/png"/>
  <Override PartName="/word/media/rId71.png" ContentType="image/png"/>
  <Override PartName="/word/media/rId34.png" ContentType="image/png"/>
  <Override PartName="/word/media/rId44.png" ContentType="image/png"/>
  <Override PartName="/word/media/rId6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20/06/2026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Giá cổ phiếu là chuỗi thời gian có thứ tự, thường chứa xu hướng dài hạn và mức biến động thay đổi theo từng giai đoạn. Vì vậy, dự án không xem “dự báo giá” và “đo lường biến động” là cùng một bài toán. Dự báo giá tập trung vào conditional mean của mức giá, còn GARCH tập trung vào conditional variance của log return.</w:t>
      </w:r>
    </w:p>
    <w:p>
      <w:pPr>
        <w:pStyle w:val="BodyText"/>
      </w:pPr>
      <w:r>
        <w:t xml:space="preserve">FPT được chọn vì repository có chuỗi OHLCV dài hơn 11 năm và đủ quan sát để thực hành cleaning, kiểm định, đánh giá ngoài mẫu và mô hình hóa volatility. Việc chọn FPT chỉ phục vụ mục tiêu học thuật; dự án không đánh giá giá trị nội tại và không đưa ra khuyến nghị mua bán.</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1"/>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1"/>
        </w:numPr>
      </w:pPr>
      <w:r>
        <w:t xml:space="preserve">ARIMA, SARIMA, ETS, ETS Damped hoặc ARIMAX có cải thiện Naive/Drift ngoài mẫu không?</w:t>
      </w:r>
    </w:p>
    <w:p>
      <w:pPr>
        <w:pStyle w:val="Compact"/>
        <w:numPr>
          <w:ilvl w:val="0"/>
          <w:numId w:val="1001"/>
        </w:numPr>
      </w:pPr>
      <w:r>
        <w:t xml:space="preserve">Kết luận từ một holdout 30 phiên có ổn định qua rolling-origin CV không?</w:t>
      </w:r>
    </w:p>
    <w:p>
      <w:pPr>
        <w:pStyle w:val="Compact"/>
        <w:numPr>
          <w:ilvl w:val="0"/>
          <w:numId w:val="1001"/>
        </w:numPr>
      </w:pPr>
      <w:r>
        <w:t xml:space="preserve">Return có ARCH effect và volatility clustering không?</w:t>
      </w:r>
    </w:p>
    <w:p>
      <w:pPr>
        <w:pStyle w:val="Compact"/>
        <w:numPr>
          <w:ilvl w:val="0"/>
          <w:numId w:val="1001"/>
        </w:numPr>
      </w:pPr>
      <w:r>
        <w:t xml:space="preserve">Student-t và cấu trúc bất đối xứng có cải thiện sGARCH-Normal không?</w:t>
      </w:r>
    </w:p>
    <w:p>
      <w:pPr>
        <w:pStyle w:val="Compact"/>
        <w:numPr>
          <w:ilvl w:val="0"/>
          <w:numId w:val="1001"/>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pipeline R tái lập từ raw CSV đến Word: kiểm tra dữ liệu, tạo log return, EDA, ADF, forecast evaluation, GARCH comparison và diagnostics. Phạm vi chỉ sử dụng lịch sử</w:t>
      </w:r>
      <w:r>
        <w:t xml:space="preserve"> </w:t>
      </w:r>
      <w:r>
        <w:rPr>
          <w:rStyle w:val="VerbatimChar"/>
        </w:rPr>
        <w:t xml:space="preserve">FPT.VN</w:t>
      </w:r>
      <w:r>
        <w:t xml:space="preserv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2"/>
        </w:numPr>
      </w:pPr>
      <w:r>
        <w:t xml:space="preserve">Không shuffle chuỗi thời gian.</w:t>
      </w:r>
    </w:p>
    <w:p>
      <w:pPr>
        <w:pStyle w:val="Compact"/>
        <w:numPr>
          <w:ilvl w:val="0"/>
          <w:numId w:val="1002"/>
        </w:numPr>
      </w:pPr>
      <w:r>
        <w:t xml:space="preserve">Mọi model trong cùng bảng holdout dùng cùng train/test split.</w:t>
      </w:r>
    </w:p>
    <w:p>
      <w:pPr>
        <w:pStyle w:val="Compact"/>
        <w:numPr>
          <w:ilvl w:val="0"/>
          <w:numId w:val="1002"/>
        </w:numPr>
      </w:pPr>
      <w:r>
        <w:t xml:space="preserve">Model phức tạp phải được so với benchmark đơn giản.</w:t>
      </w:r>
    </w:p>
    <w:p>
      <w:pPr>
        <w:pStyle w:val="Compact"/>
        <w:numPr>
          <w:ilvl w:val="0"/>
          <w:numId w:val="1002"/>
        </w:numPr>
      </w:pPr>
      <w:r>
        <w:t xml:space="preserve">Không chọn model chỉ bằng một metric hoặc AIC.</w:t>
      </w:r>
    </w:p>
    <w:p>
      <w:pPr>
        <w:pStyle w:val="Compact"/>
        <w:numPr>
          <w:ilvl w:val="0"/>
          <w:numId w:val="1002"/>
        </w:numPr>
      </w:pPr>
      <w:r>
        <w:t xml:space="preserve">P-value được diễn giải theo giả thuyết của từng test, không dùng như xác suất model đúng.</w:t>
      </w:r>
    </w:p>
    <w:p>
      <w:pPr>
        <w:pStyle w:val="Compact"/>
        <w:numPr>
          <w:ilvl w:val="0"/>
          <w:numId w:val="1002"/>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51"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Giá thay đổi rõ về level và có xu hướng dài hạn; biểu đồ gợi ý non-stationarity nhưng không thay thế ADF. Không thể suy ra nguyên nhân kinh tế hoặc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Volume phân tán mạnh và có các quan sát cực lớn. Hình được dùng mô tả thanh khoản, không chứng minh một sự kiện hay quan hệ nhân quả nếu chưa có nguồn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Return dao động quanh 0 nhưng biên độ không ổn định: giai đoạn biến động lớn thường xuất hiện gần nhau. Đây là dấu hiệu thăm dò của volatility clustering; ARCH-LM ở phần GARCH kiểm định chính thức cấu trúc phương sai.</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Squared return loại dấu và giữ độ lớn shock. Các spike theo cụm củng cố động cơ dùng conditional variance model thay vì một variance cố định cho toàn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Mật độ thực nghiệm lệch khỏi Normal cùng mean/SD, đặc biệt ở phần đuôi. Vì vậy dự án so sánh Normal với standardized Student-t trong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Các điểm lệch đường tham chiếu ở hai đuôi gợi ý heavy tails. Q-Q plot chỉ là chẩn đoán trực quan; adjusted Pearson GOF sau GARCH mới kiểm tra distribution fit định lượng.</w:t>
      </w:r>
    </w:p>
    <w:bookmarkEnd w:id="40"/>
    <w:bookmarkStart w:id="50" w:name="tự-tương-quan-và-yếu-tố-lịch"/>
    <w:p>
      <w:pPr>
        <w:pStyle w:val="Heading2"/>
      </w:pPr>
      <w:r>
        <w:rPr>
          <w:rStyle w:val="SectionNumber"/>
        </w:rPr>
        <w:t xml:space="preserve">3.4</w:t>
      </w:r>
      <w:r>
        <w:tab/>
      </w:r>
      <w:r>
        <w:t xml:space="preserve">Tự tương quan và yếu tố lịch</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ACF/PACF return quan sát dependence tuyến tính theo lag, không chứng minh quan hệ nhân quả. ACF return nhỏ không loại trừ dependence trong squared return hoặc conditional variance.</w:t>
      </w:r>
    </w:p>
    <w:p>
      <w:pPr>
        <w:pStyle w:val="CaptionedFigure"/>
      </w:pPr>
      <w:r>
        <w:drawing>
          <wp:inline>
            <wp:extent cx="5067300" cy="3040380"/>
            <wp:effectExtent b="0" l="0" r="0" t="0"/>
            <wp:docPr descr="Phân phối log return theo ngày trong tuần" title="" id="48" name="Picture"/>
            <a:graphic>
              <a:graphicData uri="http://schemas.openxmlformats.org/drawingml/2006/picture">
                <pic:pic>
                  <pic:nvPicPr>
                    <pic:cNvPr descr="report_files/28479bd788406ed4faef3f9fa77569baac177fce.png" id="49" name="Picture"/>
                    <pic:cNvPicPr>
                      <a:picLocks noChangeArrowheads="1" noChangeAspect="1"/>
                    </pic:cNvPicPr>
                  </pic:nvPicPr>
                  <pic:blipFill>
                    <a:blip r:embed="rId4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log return theo ngày trong tuần</w:t>
      </w:r>
    </w:p>
    <w:p>
      <w:pPr>
        <w:pStyle w:val="BodyText"/>
      </w:pPr>
      <w:r>
        <w:t xml:space="preserve">Boxplot weekday chỉ là bằng chứng thăm dò. Dự án không tuyên bố weekday effect vì chưa có kiểm định chuyên biệt và điều chỉnh multiple testing. SARIMA chu kỳ 5 được xem là một specification thử nghiệm, không phải bằng chứng mùa vụ đã được xác nhận.</w:t>
      </w:r>
    </w:p>
    <w:bookmarkEnd w:id="50"/>
    <w:bookmarkEnd w:id="51"/>
    <w:bookmarkStart w:id="63" w:name="tính-dừng-và-dự-báo-giá"/>
    <w:p>
      <w:pPr>
        <w:pStyle w:val="Heading1"/>
      </w:pPr>
      <w:r>
        <w:rPr>
          <w:rStyle w:val="SectionNumber"/>
        </w:rPr>
        <w:t xml:space="preserve">4</w:t>
      </w:r>
      <w:r>
        <w:tab/>
      </w:r>
      <w:r>
        <w:t xml:space="preserve">Tính dừng và dự báo giá</w:t>
      </w:r>
    </w:p>
    <w:bookmarkStart w:id="52"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3"/>
        </w:numPr>
      </w:pPr>
      <w:r>
        <w:t xml:space="preserve">H0: chuỗi có unit root, không dừng.</w:t>
      </w:r>
    </w:p>
    <w:p>
      <w:pPr>
        <w:pStyle w:val="Compact"/>
        <w:numPr>
          <w:ilvl w:val="0"/>
          <w:numId w:val="1003"/>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nên chưa bác bỏ unit root ở mức 5%.</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nên bác bỏ unit root. Log transform thay đổi scale nhưng không tự loại stochastic trend; sai phân log tạo return phù hợp hơn cho GARCH.</w:t>
      </w:r>
    </w:p>
    <w:bookmarkEnd w:id="52"/>
    <w:bookmarkStart w:id="53"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0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3"/>
    <w:bookmarkStart w:id="54"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4"/>
    <w:bookmarkStart w:id="61"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ETS Damped có holdout RMSE thấp nhất (1,939.13), nhưng chỉ hơn Naive 0.72 đơn vị RMSE. MAPE thấp nhất thuộc về ETS (2.08%), cho thấy thứ hạng phụ thuộc metric. Trong rolling CV, Naive dẫn đầu với mean RMSE 5,353.94.</w:t>
      </w:r>
    </w:p>
    <w:p>
      <w:pPr>
        <w:pStyle w:val="TableCaption"/>
      </w:pPr>
      <w:r>
        <w:t xml:space="preserve">Ljung-Box trên residual của fitted forecast models</w:t>
      </w:r>
    </w:p>
    <w:tbl>
      <w:tblPr>
        <w:tblStyle w:val="Table"/>
        <w:tblW w:type="pct" w:w="5000"/>
        <w:tblLayout w:type="fixed"/>
        <w:tblLook w:firstRow="1" w:lastRow="0" w:firstColumn="0" w:lastColumn="0" w:noHBand="0" w:noVBand="0" w:val="0020"/>
        <w:tblCaption w:val="Ljung-Box trên residual của fitted forecast models"/>
      </w:tblPr>
      <w:tblGrid>
        <w:gridCol w:w="7920"/>
      </w:tblGrid>
      <w:tr>
        <w:trPr>
          <w:tblHeader w:val="on"/>
        </w:trPr>
        <w:tc>
          <w:tcPr/>
          <w:p>
            <w:pPr>
              <w:pStyle w:val="Compact"/>
              <w:jc w:val="left"/>
            </w:pPr>
            <w:r>
              <w:t xml:space="preserve">&lt;&lt;&lt;&lt;&lt;&lt;&lt; HEAD</w:t>
            </w:r>
          </w:p>
        </w:tc>
      </w:tr>
      <w:tr>
        <w:tc>
          <w:tcPr/>
          <w:p>
            <w:pPr>
              <w:pStyle w:val="Compact"/>
              <w:jc w:val="left"/>
            </w:pPr>
            <w:r>
              <w:t xml:space="preserve">model,lb_statistic,lb_p_value,test_lag,fitdf,white_noise</w:t>
            </w:r>
          </w:p>
        </w:tc>
      </w:tr>
      <w:tr>
        <w:tc>
          <w:tcPr/>
          <w:p>
            <w:pPr>
              <w:pStyle w:val="Compact"/>
              <w:jc w:val="left"/>
            </w:pPr>
            <w:r>
              <w:t xml:space="preserve">ARIMA,23.632476463577188,2.55414245233343e-4,10,5,No (Reject H0)</w:t>
            </w:r>
          </w:p>
        </w:tc>
      </w:tr>
      <w:tr>
        <w:tc>
          <w:tcPr/>
          <w:p>
            <w:pPr>
              <w:pStyle w:val="Compact"/>
              <w:jc w:val="left"/>
            </w:pPr>
            <w:r>
              <w:t xml:space="preserve">SARIMA,25.072997925461447,0.001510889483019029,10,2,No (Reject H0)</w:t>
            </w:r>
          </w:p>
        </w:tc>
      </w:tr>
      <w:tr>
        <w:tc>
          <w:tcPr/>
          <w:p>
            <w:pPr>
              <w:pStyle w:val="Compact"/>
              <w:jc w:val="left"/>
            </w:pPr>
            <w:r>
              <w:t xml:space="preserve">ETS,19.87304655259858,0.002917206955919238,10,4,No (Reject H0)</w:t>
            </w:r>
          </w:p>
        </w:tc>
      </w:tr>
      <w:tr>
        <w:tc>
          <w:tcPr/>
          <w:p>
            <w:pPr>
              <w:pStyle w:val="Compact"/>
              <w:jc w:val="left"/>
            </w:pPr>
            <w:r>
              <w:t xml:space="preserve">ETS Damped,19.595289425603763,0.001488166470777541,10,5,No (Reject H0)</w:t>
            </w:r>
          </w:p>
        </w:tc>
      </w:tr>
      <w:tr>
        <w:tc>
          <w:tcPr/>
          <w:p>
            <w:pPr>
              <w:pStyle w:val="Compact"/>
              <w:jc w:val="left"/>
            </w:pPr>
            <w:r>
              <w:t xml:space="preserve">ARIMAX,33.10920037984231,2.611111204835481e-4,10,0,No (Reject H0)</w:t>
            </w:r>
          </w:p>
        </w:tc>
      </w:tr>
      <w:tr>
        <w:tc>
          <w:tcPr/>
          <w:p>
            <w:pPr>
              <w:pStyle w:val="Compact"/>
              <w:jc w:val="left"/>
            </w:pPr>
            <w:r>
              <w:t xml:space="preserve">=======</w:t>
            </w:r>
          </w:p>
        </w:tc>
      </w:tr>
      <w:tr>
        <w:tc>
          <w:tcPr/>
          <w:p>
            <w:pPr>
              <w:pStyle w:val="Compact"/>
              <w:jc w:val="left"/>
            </w:pPr>
            <w:r>
              <w:t xml:space="preserve">model,lb_statistic,lb_p_value,test_lag,fitdf,white_noise</w:t>
            </w:r>
          </w:p>
        </w:tc>
      </w:tr>
      <w:tr>
        <w:tc>
          <w:tcPr/>
          <w:p>
            <w:pPr>
              <w:pStyle w:val="Compact"/>
              <w:jc w:val="left"/>
            </w:pPr>
            <w:r>
              <w:t xml:space="preserve">ARIMA,23.6324764635772,0.000255414245233343,10,5,No (Reject H0)</w:t>
            </w:r>
          </w:p>
        </w:tc>
      </w:tr>
      <w:tr>
        <w:tc>
          <w:tcPr/>
          <w:p>
            <w:pPr>
              <w:pStyle w:val="Compact"/>
              <w:jc w:val="left"/>
            </w:pPr>
            <w:r>
              <w:t xml:space="preserve">SARIMA,25.0729979254614,0.00151088948301903,10,2,No (Reject H0)</w:t>
            </w:r>
          </w:p>
        </w:tc>
      </w:tr>
      <w:tr>
        <w:tc>
          <w:tcPr/>
          <w:p>
            <w:pPr>
              <w:pStyle w:val="Compact"/>
              <w:jc w:val="left"/>
            </w:pPr>
            <w:r>
              <w:t xml:space="preserve">ETS,19.8730465525986,0.00291720695591924,10,4,No (Reject H0)</w:t>
            </w:r>
          </w:p>
        </w:tc>
      </w:tr>
      <w:tr>
        <w:tc>
          <w:tcPr/>
          <w:p>
            <w:pPr>
              <w:pStyle w:val="Compact"/>
              <w:jc w:val="left"/>
            </w:pPr>
            <w:r>
              <w:t xml:space="preserve">ETS Damped,19.5952894256038,0.00148816647077754,10,5,No (Reject H0)</w:t>
            </w:r>
          </w:p>
        </w:tc>
      </w:tr>
      <w:tr>
        <w:tc>
          <w:tcPr/>
          <w:p>
            <w:pPr>
              <w:pStyle w:val="Compact"/>
              <w:jc w:val="left"/>
            </w:pPr>
            <w:r>
              <w:t xml:space="preserve">ARIMAX,33.1092003798423,0.000261111120483548,10,0,No (Reject H0)</w:t>
            </w:r>
          </w:p>
        </w:tc>
      </w:tr>
      <w:tr>
        <w:tc>
          <w:tcPr/>
          <w:p>
            <w:pPr>
              <w:pStyle w:val="Compact"/>
              <w:jc w:val="left"/>
            </w:pPr>
            <w:r>
              <w:t xml:space="preserve">&gt;&gt;&gt;&gt;&gt;&gt;&gt; main</w:t>
            </w:r>
          </w:p>
        </w:tc>
      </w:tr>
    </w:tbl>
    <w:p>
      <w:pPr>
        <w:pStyle w:val="BodyText"/>
      </w:pPr>
      <w:r>
        <w:t xml:space="preserve">Có 0 trong 14 fitted models vượt Ljung-Box ở mức 5%; hiện tất cả residual đều chưa đạt white noise. Kết hợp ba nguồn bằng chứng, dự án chưa chứng minh model phức tạp cải thiện Naive một cách ổn định.</w:t>
      </w:r>
    </w:p>
    <w:p>
      <w:pPr>
        <w:pStyle w:val="CaptionedFigure"/>
      </w:pPr>
      <w:r>
        <w:drawing>
          <wp:inline>
            <wp:extent cx="5067300" cy="3040380"/>
            <wp:effectExtent b="0" l="0" r="0" t="0"/>
            <wp:docPr descr="ETS Damped trên holdout 30 phiên" title="" id="56" name="Picture"/>
            <a:graphic>
              <a:graphicData uri="http://schemas.openxmlformats.org/drawingml/2006/picture">
                <pic:pic>
                  <pic:nvPicPr>
                    <pic:cNvPr descr="report_files/8d83366d08b2f34e5b6383b76400133e06fcc9d2.png" id="57" name="Picture"/>
                    <pic:cNvPicPr>
                      <a:picLocks noChangeArrowheads="1" noChangeAspect="1"/>
                    </pic:cNvPicPr>
                  </pic:nvPicPr>
                  <pic:blipFill>
                    <a:blip r:embed="rId55"/>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cần được đọc ở phần cuối chuỗi: forecast và interval chỉ mô tả bất định theo model, không phải cam kết giá tương lai nằm trong khoảng.</w:t>
      </w:r>
    </w:p>
    <w:p>
      <w:pPr>
        <w:pStyle w:val="CaptionedFigure"/>
      </w:pPr>
      <w:r>
        <w:drawing>
          <wp:inline>
            <wp:extent cx="5067300" cy="3167062"/>
            <wp:effectExtent b="0" l="0" r="0" t="0"/>
            <wp:docPr descr="Residual diagnostics của ETS Damped" title="" id="59" name="Picture"/>
            <a:graphic>
              <a:graphicData uri="http://schemas.openxmlformats.org/drawingml/2006/picture">
                <pic:pic>
                  <pic:nvPicPr>
                    <pic:cNvPr descr="report_files/84c5bd146dcebd1b4976bdd2bd2d2bddddc7dce4.png" id="60" name="Picture"/>
                    <pic:cNvPicPr>
                      <a:picLocks noChangeArrowheads="1" noChangeAspect="1"/>
                    </pic:cNvPicPr>
                  </pic:nvPicPr>
                  <pic:blipFill>
                    <a:blip r:embed="rId58"/>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61"/>
    <w:bookmarkStart w:id="62"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62"/>
    <w:bookmarkEnd w:id="63"/>
    <w:bookmarkStart w:id="79" w:name="mô-hình-hóa-conditional-volatility"/>
    <w:p>
      <w:pPr>
        <w:pStyle w:val="Heading1"/>
      </w:pPr>
      <w:r>
        <w:rPr>
          <w:rStyle w:val="SectionNumber"/>
        </w:rPr>
        <w:t xml:space="preserve">5</w:t>
      </w:r>
      <w:r>
        <w:tab/>
      </w:r>
      <w:r>
        <w:t xml:space="preserve">Mô hình hóa conditional volatility</w:t>
      </w:r>
    </w:p>
    <w:bookmarkStart w:id="64" w:name="động-cơ-và-phương-trình"/>
    <w:p>
      <w:pPr>
        <w:pStyle w:val="Heading2"/>
      </w:pPr>
      <w:r>
        <w:rPr>
          <w:rStyle w:val="SectionNumber"/>
        </w:rPr>
        <w:t xml:space="preserve">5.1</w:t>
      </w:r>
      <w:r>
        <w:tab/>
      </w:r>
      <w:r>
        <w:t xml:space="preserve">Động cơ và phương trình</w:t>
      </w:r>
    </w:p>
    <w:p>
      <w:pPr>
        <w:pStyle w:val="FirstParagraph"/>
      </w:pPr>
      <w:r>
        <w:t xml:space="preserve">ARCH-LM trên raw return có p-value 1.09e-38. Với H0 “không có ARCH effect đến lag kiểm tra”, kết quả bác bỏ H0 và hỗ trợ dùng conditional variance model.</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w:r>
        <w:rPr>
          <w:rStyle w:val="VerbatimChar"/>
        </w:rPr>
        <w:t xml:space="preserve">epsilon_t</w:t>
      </w:r>
      <w:r>
        <w:t xml:space="preserve"> </w:t>
      </w:r>
      <w:r>
        <w:t xml:space="preserve">là shock return ngoài conditional mean, không phải residual giá. Baseline sGARCH(1,1) dùng:</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rPr>
          <w:rStyle w:val="VerbatimChar"/>
        </w:rPr>
        <w:t xml:space="preserve">alpha</w:t>
      </w:r>
      <w:r>
        <w:t xml:space="preserve"> </w:t>
      </w:r>
      <w:r>
        <w:t xml:space="preserve">đo phản ứng với shock mới;</w:t>
      </w:r>
      <w:r>
        <w:t xml:space="preserve"> </w:t>
      </w:r>
      <w:r>
        <w:rPr>
          <w:rStyle w:val="VerbatimChar"/>
        </w:rPr>
        <w:t xml:space="preserve">beta</w:t>
      </w:r>
      <w:r>
        <w:t xml:space="preserve"> </w:t>
      </w:r>
      <w:r>
        <w:t xml:space="preserve">đo memory của variance quá khứ;</w:t>
      </w:r>
      <w:r>
        <w:t xml:space="preserve"> </w:t>
      </w:r>
      <w:r>
        <w:rPr>
          <w:rStyle w:val="VerbatimChar"/>
        </w:rPr>
        <w:t xml:space="preserve">alpha + beta</w:t>
      </w:r>
      <w:r>
        <w:t xml:space="preserve"> </w:t>
      </w:r>
      <w:r>
        <w:t xml:space="preserve">là persistence của sGARCH. Không áp dụng máy móc công thức này cho eGARCH hoặc GJR-GARCH.</w:t>
      </w:r>
    </w:p>
    <w:bookmarkEnd w:id="64"/>
    <w:bookmarkStart w:id="65" w:name="specification-được-so-sánh"/>
    <w:p>
      <w:pPr>
        <w:pStyle w:val="Heading2"/>
      </w:pPr>
      <w:r>
        <w:rPr>
          <w:rStyle w:val="SectionNumber"/>
        </w:rPr>
        <w:t xml:space="preserve">5.2</w:t>
      </w:r>
      <w:r>
        <w:tab/>
      </w:r>
      <w:r>
        <w:t xml:space="preserve">Specification được so sánh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5"/>
    <w:bookmarkStart w:id="66" w:name="so-sánh-fit-và-diagnostics"/>
    <w:p>
      <w:pPr>
        <w:pStyle w:val="Heading2"/>
      </w:pPr>
      <w:r>
        <w:rPr>
          <w:rStyle w:val="SectionNumber"/>
        </w:rPr>
        <w:t xml:space="preserve">5.3</w:t>
      </w:r>
      <w:r>
        <w:tab/>
      </w:r>
      <w:r>
        <w:t xml:space="preserve">So sánh fit và diagnostics</w:t>
      </w:r>
    </w:p>
    <w:p>
      <w:pPr>
        <w:pStyle w:val="TableCaption"/>
      </w:pPr>
      <w:r>
        <w:t xml:space="preserve">So sánh GARCH bằng fit, residual checks, stability và GOF</w:t>
      </w:r>
    </w:p>
    <w:tbl>
      <w:tblPr>
        <w:tblStyle w:val="Table"/>
        <w:tblW w:type="pct" w:w="5000"/>
        <w:tblLayout w:type="fixed"/>
        <w:tblLook w:firstRow="1" w:lastRow="0" w:firstColumn="0" w:lastColumn="0" w:noHBand="0" w:noVBand="0" w:val="0020"/>
        <w:tblCaption w:val="So sánh GARCH bằng fit, residual checks, stability và GOF"/>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Student-t cải thiện AIC rõ so với sGARCH-Normal, phù hợp với heavy tails quan sát trong EDA. GJR-GARCH-Student-t có AIC thấp nhất, nhưng Nyblom bác bỏ parameter stability. eGARCH-Student-t chỉ kém GJR 0.00137 AIC, đồng thời core residual diagnostics và joint stability đạt; vì vậy đây là ứng viên cân bằng theo quy tắc định trước, không phải model “hoàn hảo”.</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Ljung-Box standardized residual, Ljung-Box squared residual và ARCH-LM sau fit đều chưa bác bỏ H0 ở mức 5% cho cả bốn model. Sign-bias joint test cũng chưa bác bỏ H0. Tuy nhiên, Nyblom chỉ chấp nhận joint stability cho eGARCH; adjusted Pearson GOF bác bỏ distribution fit ở cả bốn specification.</w:t>
      </w:r>
    </w:p>
    <w:bookmarkEnd w:id="66"/>
    <w:bookmarkStart w:id="67"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Robust inference quan trọng vì distribution GOF chưa đạt. Ví dụ, một tham số có conventional p-value nhỏ nhưng robust p-value lớn không nên được diễn giải mạnh.</w:t>
      </w:r>
      <w:r>
        <w:t xml:space="preserve"> </w:t>
      </w:r>
      <w:r>
        <w:rPr>
          <w:rStyle w:val="VerbatimChar"/>
        </w:rPr>
        <w:t xml:space="preserve">beta1</w:t>
      </w:r>
      <w:r>
        <w:t xml:space="preserve"> </w:t>
      </w:r>
      <w:r>
        <w:t xml:space="preserve">của eGARCH gần 1 cho thấy volatility có memory dài theo parameterization của model; không cộng</w:t>
      </w:r>
      <w:r>
        <w:t xml:space="preserve"> </w:t>
      </w:r>
      <w:r>
        <w:rPr>
          <w:rStyle w:val="VerbatimChar"/>
        </w:rPr>
        <w:t xml:space="preserve">alpha1 + beta1</w:t>
      </w:r>
      <w:r>
        <w:t xml:space="preserve"> </w:t>
      </w:r>
      <w:r>
        <w:t xml:space="preserve">như sGARCH.</w:t>
      </w:r>
    </w:p>
    <w:bookmarkEnd w:id="67"/>
    <w:bookmarkStart w:id="77"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9" name="Picture"/>
            <a:graphic>
              <a:graphicData uri="http://schemas.openxmlformats.org/drawingml/2006/picture">
                <pic:pic>
                  <pic:nvPicPr>
                    <pic:cNvPr descr="report_files/ef53e153bad1ed53bb918cdd5108976475da0254.png" id="70" name="Picture"/>
                    <pic:cNvPicPr>
                      <a:picLocks noChangeArrowheads="1" noChangeAspect="1"/>
                    </pic:cNvPicPr>
                  </pic:nvPicPr>
                  <pic:blipFill>
                    <a:blip r:embed="rId68"/>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Bốn đường broadly đồng biến và đều cho thấy volatility clustering. Các đỉnh chỉ mô tả giai đoạn model ước lượng conditional volatility cao; báo cáo không tự gán nguyên nhân sự kiện nếu chưa có nguồn bên ngoài.</w:t>
      </w:r>
    </w:p>
    <w:p>
      <w:pPr>
        <w:pStyle w:val="CaptionedFigure"/>
      </w:pPr>
      <w:r>
        <w:drawing>
          <wp:inline>
            <wp:extent cx="5067300" cy="2714625"/>
            <wp:effectExtent b="0" l="0" r="0" t="0"/>
            <wp:docPr descr="ACF standardized residual và squared standardized residual" title="" id="72" name="Picture"/>
            <a:graphic>
              <a:graphicData uri="http://schemas.openxmlformats.org/drawingml/2006/picture">
                <pic:pic>
                  <pic:nvPicPr>
                    <pic:cNvPr descr="report_files/cd953a7a2a5a9f7512c96fab26871cc62d0469f9.png" id="73" name="Picture"/>
                    <pic:cNvPicPr>
                      <a:picLocks noChangeArrowheads="1" noChangeAspect="1"/>
                    </pic:cNvPicPr>
                  </pic:nvPicPr>
                  <pic:blipFill>
                    <a:blip r:embed="rId71"/>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5" name="Picture"/>
            <a:graphic>
              <a:graphicData uri="http://schemas.openxmlformats.org/drawingml/2006/picture">
                <pic:pic>
                  <pic:nvPicPr>
                    <pic:cNvPr descr="report_files/3a07c567705fc3134a94f1decac1d74b3c9e7f08.png" id="76" name="Picture"/>
                    <pic:cNvPicPr>
                      <a:picLocks noChangeArrowheads="1" noChangeAspect="1"/>
                    </pic:cNvPicPr>
                  </pic:nvPicPr>
                  <pic:blipFill>
                    <a:blip r:embed="rId74"/>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mô tả phản ứng khác nhau với standardized shock âm và dương. Đây là minh họa cấu trúc bất đối xứng; diễn giải leverage phải dựa trên đúng dấu, parameterization và robust significance của package.</w:t>
      </w:r>
    </w:p>
    <w:bookmarkEnd w:id="77"/>
    <w:bookmarkStart w:id="78"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8"/>
    <w:bookmarkEnd w:id="79"/>
    <w:bookmarkStart w:id="83" w:name="kết-luận-hạn-chế-và-hướng-phát-triển"/>
    <w:p>
      <w:pPr>
        <w:pStyle w:val="Heading1"/>
      </w:pPr>
      <w:r>
        <w:rPr>
          <w:rStyle w:val="SectionNumber"/>
        </w:rPr>
        <w:t xml:space="preserve">6</w:t>
      </w:r>
      <w:r>
        <w:tab/>
      </w:r>
      <w:r>
        <w:t xml:space="preserve">Kết luận, hạn chế và hướng phát triển</w:t>
      </w:r>
    </w:p>
    <w:bookmarkStart w:id="80" w:name="kết-luận"/>
    <w:p>
      <w:pPr>
        <w:pStyle w:val="Heading2"/>
      </w:pPr>
      <w:r>
        <w:rPr>
          <w:rStyle w:val="SectionNumber"/>
        </w:rPr>
        <w:t xml:space="preserve">6.1</w:t>
      </w:r>
      <w:r>
        <w:tab/>
      </w:r>
      <w:r>
        <w:t xml:space="preserve">Kết luận</w:t>
      </w:r>
    </w:p>
    <w:p>
      <w:pPr>
        <w:pStyle w:val="Compact"/>
        <w:numPr>
          <w:ilvl w:val="0"/>
          <w:numId w:val="1004"/>
        </w:numPr>
      </w:pPr>
      <w:r>
        <w:t xml:space="preserve">Raw data có 2,960 dòng; sau khi loại 173 hàng volume bằng 0 và chuẩn hóa 1 OHLC row, dữ liệu model còn 2,787 dòng và 2,786 log returns.</w:t>
      </w:r>
    </w:p>
    <w:p>
      <w:pPr>
        <w:pStyle w:val="Compact"/>
        <w:numPr>
          <w:ilvl w:val="0"/>
          <w:numId w:val="1004"/>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04"/>
        </w:numPr>
      </w:pPr>
      <w:r>
        <w:t xml:space="preserve">ETS Damped dẫn holdout theo RMSE nhưng chỉ hơn Naive 0.72; Naive dẫn rolling CV; mọi fitted forecast model còn residual autocorrelation.</w:t>
      </w:r>
    </w:p>
    <w:p>
      <w:pPr>
        <w:pStyle w:val="Compact"/>
        <w:numPr>
          <w:ilvl w:val="0"/>
          <w:numId w:val="1004"/>
        </w:numPr>
      </w:pPr>
      <w:r>
        <w:t xml:space="preserve">Pre-fit ARCH-LM phát hiện ARCH effect. Student-t cải thiện relative fit so với Normal trong GARCH.</w:t>
      </w:r>
    </w:p>
    <w:p>
      <w:pPr>
        <w:pStyle w:val="Compact"/>
        <w:numPr>
          <w:ilvl w:val="0"/>
          <w:numId w:val="1004"/>
        </w:numPr>
      </w:pPr>
      <w:r>
        <w:t xml:space="preserve">GJR có AIC thấp nhất nhưng parameter stability không đạt; eGARCH-Student-t là ứng viên cân bằng nhờ fit gần GJR, core diagnostics và Nyblom stability đạt.</w:t>
      </w:r>
    </w:p>
    <w:p>
      <w:pPr>
        <w:pStyle w:val="Compact"/>
        <w:numPr>
          <w:ilvl w:val="0"/>
          <w:numId w:val="1004"/>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80"/>
    <w:bookmarkStart w:id="81" w:name="hạn-chế"/>
    <w:p>
      <w:pPr>
        <w:pStyle w:val="Heading2"/>
      </w:pPr>
      <w:r>
        <w:rPr>
          <w:rStyle w:val="SectionNumber"/>
        </w:rPr>
        <w:t xml:space="preserve">6.2</w:t>
      </w:r>
      <w:r>
        <w:tab/>
      </w:r>
      <w:r>
        <w:t xml:space="preserve">Hạn chế</w:t>
      </w:r>
    </w:p>
    <w:p>
      <w:pPr>
        <w:pStyle w:val="Compact"/>
        <w:numPr>
          <w:ilvl w:val="0"/>
          <w:numId w:val="1005"/>
        </w:numPr>
      </w:pPr>
      <w:r>
        <w:t xml:space="preserve">Chỉ sử dụng lịch sử một cổ phiếu từ một nhà cung cấp.</w:t>
      </w:r>
    </w:p>
    <w:p>
      <w:pPr>
        <w:pStyle w:val="Compact"/>
        <w:numPr>
          <w:ilvl w:val="0"/>
          <w:numId w:val="1005"/>
        </w:numPr>
      </w:pPr>
      <w:r>
        <w:t xml:space="preserve">Holdout 30 phiên ngắn; kết quả nhạy với cửa sổ đánh giá.</w:t>
      </w:r>
    </w:p>
    <w:p>
      <w:pPr>
        <w:pStyle w:val="Compact"/>
        <w:numPr>
          <w:ilvl w:val="0"/>
          <w:numId w:val="1005"/>
        </w:numPr>
      </w:pPr>
      <w:r>
        <w:t xml:space="preserve">SARIMA và ARIMAX chưa có rolling CV cùng coverage.</w:t>
      </w:r>
    </w:p>
    <w:p>
      <w:pPr>
        <w:pStyle w:val="Compact"/>
        <w:numPr>
          <w:ilvl w:val="0"/>
          <w:numId w:val="1005"/>
        </w:numPr>
      </w:pPr>
      <w:r>
        <w:t xml:space="preserve">Tất cả fitted forecast models còn residual autocorrelation.</w:t>
      </w:r>
    </w:p>
    <w:p>
      <w:pPr>
        <w:pStyle w:val="Compact"/>
        <w:numPr>
          <w:ilvl w:val="0"/>
          <w:numId w:val="1005"/>
        </w:numPr>
      </w:pPr>
      <w:r>
        <w:t xml:space="preserve">Ba trong bốn GARCH không đạt Nyblom joint stability.</w:t>
      </w:r>
    </w:p>
    <w:p>
      <w:pPr>
        <w:pStyle w:val="Compact"/>
        <w:numPr>
          <w:ilvl w:val="0"/>
          <w:numId w:val="1005"/>
        </w:numPr>
      </w:pPr>
      <w:r>
        <w:t xml:space="preserve">Pearson GOF bác bỏ distribution fit ở cả bốn GARCH.</w:t>
      </w:r>
    </w:p>
    <w:p>
      <w:pPr>
        <w:pStyle w:val="Compact"/>
        <w:numPr>
          <w:ilvl w:val="0"/>
          <w:numId w:val="1005"/>
        </w:numPr>
      </w:pPr>
      <w:r>
        <w:t xml:space="preserve">Chưa có out-of-sample volatility loss hoặc VaR backtest.</w:t>
      </w:r>
    </w:p>
    <w:p>
      <w:pPr>
        <w:pStyle w:val="Compact"/>
        <w:numPr>
          <w:ilvl w:val="0"/>
          <w:numId w:val="1005"/>
        </w:numPr>
      </w:pPr>
      <w:r>
        <w:t xml:space="preserve">Chưa kiểm tra structural breaks một cách chuyên biệt.</w:t>
      </w:r>
    </w:p>
    <w:bookmarkEnd w:id="81"/>
    <w:bookmarkStart w:id="82" w:name="hướng-phát-triển"/>
    <w:p>
      <w:pPr>
        <w:pStyle w:val="Heading2"/>
      </w:pPr>
      <w:r>
        <w:rPr>
          <w:rStyle w:val="SectionNumber"/>
        </w:rPr>
        <w:t xml:space="preserve">6.3</w:t>
      </w:r>
      <w:r>
        <w:tab/>
      </w:r>
      <w:r>
        <w:t xml:space="preserve">Hướng phát triển</w:t>
      </w:r>
    </w:p>
    <w:p>
      <w:pPr>
        <w:pStyle w:val="Compact"/>
        <w:numPr>
          <w:ilvl w:val="0"/>
          <w:numId w:val="1006"/>
        </w:numPr>
      </w:pPr>
      <w:r>
        <w:t xml:space="preserve">Chạy cùng rolling-origin folds cho toàn bộ forecast models.</w:t>
      </w:r>
    </w:p>
    <w:p>
      <w:pPr>
        <w:pStyle w:val="Compact"/>
        <w:numPr>
          <w:ilvl w:val="0"/>
          <w:numId w:val="1006"/>
        </w:numPr>
      </w:pPr>
      <w:r>
        <w:t xml:space="preserve">Bổ sung MASE và prediction-interval coverage.</w:t>
      </w:r>
    </w:p>
    <w:p>
      <w:pPr>
        <w:pStyle w:val="Compact"/>
        <w:numPr>
          <w:ilvl w:val="0"/>
          <w:numId w:val="1006"/>
        </w:numPr>
      </w:pPr>
      <w:r>
        <w:t xml:space="preserve">Dùng rolling/expanding evaluation cho volatility với QLIKE hoặc MSE trên variance proxy.</w:t>
      </w:r>
    </w:p>
    <w:p>
      <w:pPr>
        <w:pStyle w:val="Compact"/>
        <w:numPr>
          <w:ilvl w:val="0"/>
          <w:numId w:val="1006"/>
        </w:numPr>
      </w:pPr>
      <w:r>
        <w:t xml:space="preserve">Thực hiện VaR backtest bằng Kupiec và Christoffersen.</w:t>
      </w:r>
    </w:p>
    <w:p>
      <w:pPr>
        <w:pStyle w:val="Compact"/>
        <w:numPr>
          <w:ilvl w:val="0"/>
          <w:numId w:val="1006"/>
        </w:numPr>
      </w:pPr>
      <w:r>
        <w:t xml:space="preserve">Thử skewed Student-t/GED và kiểm tra distribution fit.</w:t>
      </w:r>
    </w:p>
    <w:p>
      <w:pPr>
        <w:pStyle w:val="Compact"/>
        <w:numPr>
          <w:ilvl w:val="0"/>
          <w:numId w:val="1006"/>
        </w:numPr>
      </w:pPr>
      <w:r>
        <w:t xml:space="preserve">Kiểm tra structural breaks hoặc regime-switching.</w:t>
      </w:r>
    </w:p>
    <w:p>
      <w:pPr>
        <w:pStyle w:val="Compact"/>
        <w:numPr>
          <w:ilvl w:val="0"/>
          <w:numId w:val="1006"/>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82"/>
    <w:bookmarkEnd w:id="83"/>
    <w:bookmarkStart w:id="86" w:name="phụ-lục"/>
    <w:p>
      <w:pPr>
        <w:pStyle w:val="Heading1"/>
      </w:pPr>
      <w:r>
        <w:rPr>
          <w:rStyle w:val="SectionNumber"/>
        </w:rPr>
        <w:t xml:space="preserve">7</w:t>
      </w:r>
      <w:r>
        <w:tab/>
      </w:r>
      <w:r>
        <w:t xml:space="preserve">Phụ lục</w:t>
      </w:r>
    </w:p>
    <w:bookmarkStart w:id="84"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4"/>
    <w:bookmarkStart w:id="85"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7"/>
        </w:numPr>
      </w:pPr>
      <w:r>
        <w:t xml:space="preserve">P-value nhỏ hơn 0,05: bác bỏ H0 ở mức 5%.</w:t>
      </w:r>
    </w:p>
    <w:p>
      <w:pPr>
        <w:pStyle w:val="Compact"/>
        <w:numPr>
          <w:ilvl w:val="0"/>
          <w:numId w:val="1007"/>
        </w:numPr>
      </w:pPr>
      <w:r>
        <w:t xml:space="preserve">P-value lớn hơn hoặc bằng 0,05: chưa đủ bằng chứng bác bỏ H0.</w:t>
      </w:r>
    </w:p>
    <w:p>
      <w:pPr>
        <w:pStyle w:val="Compact"/>
        <w:numPr>
          <w:ilvl w:val="0"/>
          <w:numId w:val="1007"/>
        </w:numPr>
      </w:pPr>
      <w:r>
        <w:t xml:space="preserve">P-value lớn không chứng minh H0 đúng hoặc model hoàn hảo.</w:t>
      </w:r>
    </w:p>
    <w:p>
      <w:pPr>
        <w:pStyle w:val="Compact"/>
        <w:numPr>
          <w:ilvl w:val="0"/>
          <w:numId w:val="1007"/>
        </w:numPr>
      </w:pPr>
      <w:r>
        <w:t xml:space="preserve">AIC/BIC chỉ so sánh các model dùng cùng response và sample.</w:t>
      </w:r>
    </w:p>
    <w:p>
      <w:pPr>
        <w:pStyle w:val="Compact"/>
        <w:numPr>
          <w:ilvl w:val="0"/>
          <w:numId w:val="1007"/>
        </w:numPr>
      </w:pPr>
      <w:r>
        <w:t xml:space="preserve">Metric holdout/CV đánh giá ngoài mẫu; AIC/BIC đánh giá relative in-sample fit.</w:t>
      </w:r>
    </w:p>
    <w:bookmarkEnd w:id="85"/>
    <w:bookmarkEnd w:id="86"/>
    <w:bookmarkStart w:id="87"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7"/>
    <w:bookmarkStart w:id="88" w:name="tài-liệu-tham-khảo"/>
    <w:p>
      <w:pPr>
        <w:pStyle w:val="Heading1"/>
      </w:pPr>
      <w:r>
        <w:rPr>
          <w:rStyle w:val="SectionNumber"/>
        </w:rPr>
        <w:t xml:space="preserve">9</w:t>
      </w:r>
      <w:r>
        <w:tab/>
      </w:r>
      <w:r>
        <w:t xml:space="preserve">Tài liệu tham khảo</w:t>
      </w:r>
    </w:p>
    <w:p>
      <w:pPr>
        <w:pStyle w:val="Compact"/>
        <w:numPr>
          <w:ilvl w:val="0"/>
          <w:numId w:val="1008"/>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8"/>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8"/>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8"/>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8"/>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08"/>
        </w:numPr>
      </w:pPr>
      <w:r>
        <w:t xml:space="preserve">Ghalanos, A.</w:t>
      </w:r>
      <w:r>
        <w:t xml:space="preserve"> </w:t>
      </w:r>
      <w:r>
        <w:rPr>
          <w:i/>
          <w:iCs/>
        </w:rPr>
        <w:t xml:space="preserve">rugarch: Univariate GARCH Models</w:t>
      </w:r>
      <w:r>
        <w:t xml:space="preserve">. R package documentation.</w:t>
      </w:r>
    </w:p>
    <w:p>
      <w:pPr>
        <w:pStyle w:val="Compact"/>
        <w:numPr>
          <w:ilvl w:val="0"/>
          <w:numId w:val="1008"/>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8"/>
    <w:bookmarkStart w:id="89"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2026-06-20T13:46:17Z</dcterms:created>
  <dcterms:modified xsi:type="dcterms:W3CDTF">2026-06-20T13:46:17Z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