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71.png" ContentType="image/png"/>
  <Override PartName="/word/media/rId41.png" ContentType="image/png"/>
  <Override PartName="/word/media/rId27.png" ContentType="image/png"/>
  <Override PartName="/word/media/rId55.png" ContentType="image/png"/>
  <Override PartName="/word/media/rId52.png" ContentType="image/png"/>
  <Override PartName="/word/media/rId37.png" ContentType="image/png"/>
  <Override PartName="/word/media/rId68.png" ContentType="image/png"/>
  <Override PartName="/word/media/rId34.png" ContentType="image/png"/>
  <Override PartName="/word/media/rId44.png" ContentType="image/png"/>
  <Override PartName="/word/media/rId6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24/06/2026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Trong phân tích tài chính, giá cổ phiếu được ghi nhận theo thời gian tạo thành một chuỗi thời gian (time series). Chuỗi này thường có hai đặc điểm quan trọng mà các phương pháp thống kê cổ điển — vốn giả định dữ liệu độc lập và phương sai không đổi — không xử lý tốt:</w:t>
      </w:r>
    </w:p>
    <w:p>
      <w:pPr>
        <w:pStyle w:val="Compact"/>
        <w:numPr>
          <w:ilvl w:val="0"/>
          <w:numId w:val="1001"/>
        </w:numPr>
      </w:pPr>
      <w:r>
        <w:rPr>
          <w:b/>
          <w:bCs/>
        </w:rPr>
        <w:t xml:space="preserve">Xu hướng dài hạn (trend):</w:t>
      </w:r>
      <w:r>
        <w:t xml:space="preserve"> </w:t>
      </w:r>
      <w:r>
        <w:t xml:space="preserve">Mức giá thay đổi theo thời gian, không dao động quanh một giá trị cố định, khiến chuỗi giá thường không dừng (non-stationary). Điều này đòi hỏi kiểm định tính dừng trước khi áp dụng các mô hình dự báo.</w:t>
      </w:r>
    </w:p>
    <w:p>
      <w:pPr>
        <w:pStyle w:val="Compact"/>
        <w:numPr>
          <w:ilvl w:val="0"/>
          <w:numId w:val="1001"/>
        </w:numPr>
      </w:pPr>
      <w:r>
        <w:rPr>
          <w:b/>
          <w:bCs/>
        </w:rPr>
        <w:t xml:space="preserve">Biến động thay đổi theo giai đoạn (volatility clustering):</w:t>
      </w:r>
      <w:r>
        <w:t xml:space="preserve"> </w:t>
      </w:r>
      <w:r>
        <w:t xml:space="preserve">Những ngày thị trường</w:t>
      </w:r>
      <w:r>
        <w:t xml:space="preserve"> </w:t>
      </w:r>
      <w:r>
        <w:t xml:space="preserve">“sóng gió”</w:t>
      </w:r>
      <w:r>
        <w:t xml:space="preserve"> </w:t>
      </w:r>
      <w:r>
        <w:t xml:space="preserve">thường đi liền nhau — một phiên giảm mạnh có xu hướng kéo theo những phiên biến động lớn tiếp theo. Hiện tượng này yêu cầu mô hình phương sai có điều kiện thay vì giả định phương sai cố định.</w:t>
      </w:r>
    </w:p>
    <w:p>
      <w:pPr>
        <w:pStyle w:val="FirstParagraph"/>
      </w:pPr>
      <w:r>
        <w:t xml:space="preserve">Vì hai đặc điểm này yêu cầu công cụ phân tích khác nhau, dự án tách thành</w:t>
      </w:r>
      <w:r>
        <w:t xml:space="preserve"> </w:t>
      </w:r>
      <w:r>
        <w:rPr>
          <w:b/>
          <w:bCs/>
        </w:rPr>
        <w:t xml:space="preserve">hai bài toán độc lập</w:t>
      </w:r>
      <w:r>
        <w:t xml:space="preserve">:</w:t>
      </w:r>
    </w:p>
    <w:p>
      <w:pPr>
        <w:pStyle w:val="Compact"/>
        <w:numPr>
          <w:ilvl w:val="0"/>
          <w:numId w:val="1002"/>
        </w:numPr>
      </w:pPr>
      <w:r>
        <w:rPr>
          <w:b/>
          <w:bCs/>
        </w:rPr>
        <w:t xml:space="preserve">Dự báo mức giá (price forecasting):</w:t>
      </w:r>
      <w:r>
        <w:t xml:space="preserve"> </w:t>
      </w:r>
      <w:r>
        <w:t xml:space="preserve">Ước lượng conditional mean — giá trị trung bình có điều kiện — của giá đóng cửa trong tương lai gần, sử dụng các mô hình ARIMA, ETS và so sánh với benchmark đơn giản (Naive, Drift).</w:t>
      </w:r>
    </w:p>
    <w:p>
      <w:pPr>
        <w:pStyle w:val="Compact"/>
        <w:numPr>
          <w:ilvl w:val="0"/>
          <w:numId w:val="1002"/>
        </w:numPr>
      </w:pPr>
      <w:r>
        <w:rPr>
          <w:b/>
          <w:bCs/>
        </w:rPr>
        <w:t xml:space="preserve">Mô hình hóa biến động (volatility modeling):</w:t>
      </w:r>
      <w:r>
        <w:t xml:space="preserve"> </w:t>
      </w:r>
      <w:r>
        <w:t xml:space="preserve">Ước lượng conditional variance — phương sai có điều kiện — của log return, nhằm đo lường mức rủi ro thay đổi theo thời gian bằng các specification GARCH.</w:t>
      </w:r>
    </w:p>
    <w:p>
      <w:pPr>
        <w:pStyle w:val="FirstParagraph"/>
      </w:pPr>
      <w:r>
        <w:t xml:space="preserve">FPT được chọn làm đối tượng nghiên cứu vì chuỗi dữ liệu OHLCV có sẵn trên Yahoo Finance kéo dài hơn 11 năm, cung cấp đủ quan sát (hơn 2.700 phiên giao dịch) để thực hành đầy đủ các bước: làm sạch dữ liệu, kiểm định tính dừng, đánh giá dự báo ngoài mẫu và mô hình hóa volatility. Việc chọn FPT chỉ phục vụ mục tiêu học thuật; dự án không đánh giá giá trị nội tại của cổ phiếu và không đưa ra bất kỳ khuyến nghị mua bán nào.</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3"/>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3"/>
        </w:numPr>
      </w:pPr>
      <w:r>
        <w:t xml:space="preserve">ARIMA, SARIMA, ETS, ETS Damped hoặc ARIMAX có cải thiện Naive/Drift ngoài mẫu không?</w:t>
      </w:r>
    </w:p>
    <w:p>
      <w:pPr>
        <w:pStyle w:val="Compact"/>
        <w:numPr>
          <w:ilvl w:val="0"/>
          <w:numId w:val="1003"/>
        </w:numPr>
      </w:pPr>
      <w:r>
        <w:t xml:space="preserve">Kết luận từ một holdout 30 phiên có ổn định qua rolling-origin CV không?</w:t>
      </w:r>
    </w:p>
    <w:p>
      <w:pPr>
        <w:pStyle w:val="Compact"/>
        <w:numPr>
          <w:ilvl w:val="0"/>
          <w:numId w:val="1003"/>
        </w:numPr>
      </w:pPr>
      <w:r>
        <w:t xml:space="preserve">Return có ARCH effect và volatility clustering không?</w:t>
      </w:r>
    </w:p>
    <w:p>
      <w:pPr>
        <w:pStyle w:val="Compact"/>
        <w:numPr>
          <w:ilvl w:val="0"/>
          <w:numId w:val="1003"/>
        </w:numPr>
      </w:pPr>
      <w:r>
        <w:t xml:space="preserve">Student-t và cấu trúc bất đối xứng có cải thiện sGARCH-Normal không?</w:t>
      </w:r>
    </w:p>
    <w:p>
      <w:pPr>
        <w:pStyle w:val="Compact"/>
        <w:numPr>
          <w:ilvl w:val="0"/>
          <w:numId w:val="1003"/>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một pipeline phân tích hoàn chỉnh bằng R, có khả năng tái lập toàn bộ kết quả từ file CSV thô đến báo cáo Word chỉ bằng một lệnh duy nhất. Cụ thể, pipeline thực hiện các bước sau:</w:t>
      </w:r>
    </w:p>
    <w:p>
      <w:pPr>
        <w:pStyle w:val="Compact"/>
        <w:numPr>
          <w:ilvl w:val="0"/>
          <w:numId w:val="1004"/>
        </w:numPr>
      </w:pPr>
      <w:r>
        <w:rPr>
          <w:b/>
          <w:bCs/>
        </w:rPr>
        <w:t xml:space="preserve">Kiểm tra và làm sạch dữ liệu:</w:t>
      </w:r>
      <w:r>
        <w:t xml:space="preserve"> </w:t>
      </w:r>
      <w:r>
        <w:t xml:space="preserve">Phát hiện ngày lỗi, ngày trùng, missing values, giá không hợp lệ và volume bằng 0.</w:t>
      </w:r>
    </w:p>
    <w:p>
      <w:pPr>
        <w:pStyle w:val="Compact"/>
        <w:numPr>
          <w:ilvl w:val="0"/>
          <w:numId w:val="1004"/>
        </w:numPr>
      </w:pPr>
      <w:r>
        <w:rPr>
          <w:b/>
          <w:bCs/>
        </w:rPr>
        <w:t xml:space="preserve">Tạo biến phái sinh:</w:t>
      </w:r>
      <w:r>
        <w:t xml:space="preserve"> </w:t>
      </w:r>
      <w:r>
        <w:t xml:space="preserve">Tính log price và log return từ giá đóng cửa.</w:t>
      </w:r>
    </w:p>
    <w:p>
      <w:pPr>
        <w:pStyle w:val="Compact"/>
        <w:numPr>
          <w:ilvl w:val="0"/>
          <w:numId w:val="1004"/>
        </w:numPr>
      </w:pPr>
      <w:r>
        <w:rPr>
          <w:b/>
          <w:bCs/>
        </w:rPr>
        <w:t xml:space="preserve">Phân tích khám phá (EDA):</w:t>
      </w:r>
      <w:r>
        <w:t xml:space="preserve"> </w:t>
      </w:r>
      <w:r>
        <w:t xml:space="preserve">Trực quan hóa giá, volume, return, phân phối và tự tương quan.</w:t>
      </w:r>
    </w:p>
    <w:p>
      <w:pPr>
        <w:pStyle w:val="Compact"/>
        <w:numPr>
          <w:ilvl w:val="0"/>
          <w:numId w:val="1004"/>
        </w:numPr>
      </w:pPr>
      <w:r>
        <w:rPr>
          <w:b/>
          <w:bCs/>
        </w:rPr>
        <w:t xml:space="preserve">Kiểm định tính dừng:</w:t>
      </w:r>
      <w:r>
        <w:t xml:space="preserve"> </w:t>
      </w:r>
      <w:r>
        <w:t xml:space="preserve">Augmented Dickey-Fuller cho</w:t>
      </w:r>
      <w:r>
        <w:t xml:space="preserve"> </w:t>
      </w: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w:t>
      </w:r>
    </w:p>
    <w:p>
      <w:pPr>
        <w:pStyle w:val="Compact"/>
        <w:numPr>
          <w:ilvl w:val="0"/>
          <w:numId w:val="1004"/>
        </w:numPr>
      </w:pPr>
      <w:r>
        <w:rPr>
          <w:b/>
          <w:bCs/>
        </w:rPr>
        <w:t xml:space="preserve">Đánh giá dự báo giá:</w:t>
      </w:r>
      <w:r>
        <w:t xml:space="preserve"> </w:t>
      </w:r>
      <w:r>
        <w:t xml:space="preserve">So sánh bảy mô hình trên holdout 30 phiên và rolling-origin cross-validation.</w:t>
      </w:r>
    </w:p>
    <w:p>
      <w:pPr>
        <w:pStyle w:val="Compact"/>
        <w:numPr>
          <w:ilvl w:val="0"/>
          <w:numId w:val="1004"/>
        </w:numPr>
      </w:pPr>
      <w:r>
        <w:rPr>
          <w:b/>
          <w:bCs/>
        </w:rPr>
        <w:t xml:space="preserve">Mô hình hóa volatility:</w:t>
      </w:r>
      <w:r>
        <w:t xml:space="preserve"> </w:t>
      </w:r>
      <w:r>
        <w:t xml:space="preserve">Fit bốn GARCH specifications và đánh giá bằng bộ diagnostic tests.</w:t>
      </w:r>
    </w:p>
    <w:p>
      <w:pPr>
        <w:pStyle w:val="FirstParagraph"/>
      </w:pPr>
      <w:r>
        <w:t xml:space="preserve">Phạm vi chỉ sử dụng lịch sử cổ phiếu</w:t>
      </w:r>
      <w:r>
        <w:t xml:space="preserve"> </w:t>
      </w:r>
      <w:r>
        <w:rPr>
          <w:rStyle w:val="VerbatimChar"/>
        </w:rPr>
        <w:t xml:space="preserve">FPT.VN</w:t>
      </w:r>
      <w:r>
        <w:t xml:space="preserve"> </w:t>
      </w:r>
      <w:r>
        <w:t xml:space="preserve">từ một nhà cung cấp (Yahoo Finance);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5"/>
        </w:numPr>
      </w:pPr>
      <w:r>
        <w:t xml:space="preserve">Không shuffle chuỗi thời gian.</w:t>
      </w:r>
    </w:p>
    <w:p>
      <w:pPr>
        <w:pStyle w:val="Compact"/>
        <w:numPr>
          <w:ilvl w:val="0"/>
          <w:numId w:val="1005"/>
        </w:numPr>
      </w:pPr>
      <w:r>
        <w:t xml:space="preserve">Mọi model trong cùng bảng holdout dùng cùng train/test split.</w:t>
      </w:r>
    </w:p>
    <w:p>
      <w:pPr>
        <w:pStyle w:val="Compact"/>
        <w:numPr>
          <w:ilvl w:val="0"/>
          <w:numId w:val="1005"/>
        </w:numPr>
      </w:pPr>
      <w:r>
        <w:t xml:space="preserve">Model phức tạp phải được so với benchmark đơn giản.</w:t>
      </w:r>
    </w:p>
    <w:p>
      <w:pPr>
        <w:pStyle w:val="Compact"/>
        <w:numPr>
          <w:ilvl w:val="0"/>
          <w:numId w:val="1005"/>
        </w:numPr>
      </w:pPr>
      <w:r>
        <w:t xml:space="preserve">Không chọn model chỉ bằng một metric hoặc AIC.</w:t>
      </w:r>
    </w:p>
    <w:p>
      <w:pPr>
        <w:pStyle w:val="Compact"/>
        <w:numPr>
          <w:ilvl w:val="0"/>
          <w:numId w:val="1005"/>
        </w:numPr>
      </w:pPr>
      <w:r>
        <w:t xml:space="preserve">P-value được diễn giải theo giả thuyết của từng test, không dùng như xác suất model đúng.</w:t>
      </w:r>
    </w:p>
    <w:p>
      <w:pPr>
        <w:pStyle w:val="Compact"/>
        <w:numPr>
          <w:ilvl w:val="0"/>
          <w:numId w:val="1005"/>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48"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Nhìn vào trục Y (giá đóng cửa), đường giá FPT không dao động quanh một mức cố định mà thay đổi rõ rệt về level qua các giai đoạn: giai đoạn đầu (2015-2017) giá dao động ở mức thấp, sau đó tăng dần và đạt các đỉnh cao hơn trong những năm gần đây. Xu hướng tăng dài hạn này là dấu hiệu trực quan của non-stationarity — chuỗi không quay về một giá trị trung bình cố định. Tuy nhiên, quan sát trực quan chỉ là gợi ý ban đầu; kiểm định ADF ở chương sau mới đưa ra kết luận thống kê chính thức. Cũng cần lưu ý rằng không thể suy ra nguyên nhân kinh tế hay dự đoán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Quan sát biểu đồ volume theo thời gian, phần lớn các phiên có khối lượng tập trung ở vùng thấp (phần dưới biểu đồ), nhưng xuất hiện nhiều spike đột biến vượt lên rất cao so với mức trung bình. Sự chênh lệch giữa mean và median trong bảng thống kê mô tả cũng xác nhận điều này: mean volume lớn hơn median đáng kể, cho thấy phân phối lệch phải do ảnh hưởng của các quan sát cực lớn. Biểu đồ này dùng để mô tả mức thanh khoản chung của cổ phiếu, không chứng minh quan hệ nhân quả giữa volume và biến động giá nếu chưa có nguồn kiểm chứng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Trục Y cho thấy log return dao động quanh giá trị 0 (đường ngang giữa biểu đồ), phù hợp với kỳ vọng rằng return trung bình gần 0 theo ngày. Tuy nhiên, điều quan trọng cần chú ý là</w:t>
      </w:r>
      <w:r>
        <w:t xml:space="preserve"> </w:t>
      </w:r>
      <w:r>
        <w:rPr>
          <w:b/>
          <w:bCs/>
        </w:rPr>
        <w:t xml:space="preserve">biên độ dao động không đều nhau qua các giai đoạn</w:t>
      </w:r>
      <w:r>
        <w:t xml:space="preserve">: có những vùng biến động hẹp (các thanh nhỏ sát nhau) xen kẽ với những vùng biến động rộng (các thanh lớn tập trung thành cụm). Ví dụ, giai đoạn 2020 có biên độ return lớn hơn rõ rệt so với các giai đoạn lân cận. Hiện tượng này — giai đoạn biến động lớn thường kéo theo giai đoạn biến động lớn tiếp theo — chính là dấu hiệu trực quan của</w:t>
      </w:r>
      <w:r>
        <w:t xml:space="preserve"> </w:t>
      </w:r>
      <w:r>
        <w:rPr>
          <w:b/>
          <w:bCs/>
        </w:rPr>
        <w:t xml:space="preserve">volatility clustering</w:t>
      </w:r>
      <w:r>
        <w:t xml:space="preserve">. Kiểm định ARCH-LM ở chương GARCH sẽ xác nhận chính thức liệu cấu trúc phương sai thay đổi theo thời gian này có ý nghĩa thống kê hay không.</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Biểu đồ bình phương return (</w:t>
      </w:r>
      <m:oMath>
        <m:sSubSup>
          <m:e>
            <m:r>
              <m:t>r</m:t>
            </m:r>
          </m:e>
          <m:sub>
            <m:r>
              <m:t>t</m:t>
            </m:r>
          </m:sub>
          <m:sup>
            <m:r>
              <m:t>2</m:t>
            </m:r>
          </m:sup>
        </m:sSubSup>
      </m:oMath>
      <w:r>
        <w:t xml:space="preserve">) loại bỏ dấu của return và chỉ giữ lại độ lớn của shock. Nhìn vào biểu đồ, các spike cao (tương ứng các phiên có biến động lớn) không phân tán đều mà xuất hiện</w:t>
      </w:r>
      <w:r>
        <w:t xml:space="preserve"> </w:t>
      </w:r>
      <w:r>
        <w:rPr>
          <w:b/>
          <w:bCs/>
        </w:rPr>
        <w:t xml:space="preserve">theo cụm</w:t>
      </w:r>
      <w:r>
        <w:t xml:space="preserve">: khi một spike lớn xuất hiện, các spike lớn khác thường nằm liền kề ngay sau đó. Nếu phương sai thực sự không đổi theo thời gian (homoscedastic), các spike sẽ phân bố ngẫu nhiên mà không tạo thành cụm. Sự tồn tại của các cụm này củng cố động cơ sử dụng conditional variance model (như GARCH) — mô hình cho phép phương sai thay đổi theo từng giai đoạn — thay vì giả định một phương sai cố định cho toàn bộ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Biểu đồ so sánh đường mật độ thực nghiệm của log return (histogram hoặc kernel density) với đường cong Normal có cùng mean và standard deviation. Cần chú ý hai đặc điểm: (1)</w:t>
      </w:r>
      <w:r>
        <w:t xml:space="preserve"> </w:t>
      </w:r>
      <w:r>
        <w:rPr>
          <w:b/>
          <w:bCs/>
        </w:rPr>
        <w:t xml:space="preserve">đỉnh (peak) của phân phối thực nghiệm cao hơn và nhọn hơn</w:t>
      </w:r>
      <w:r>
        <w:t xml:space="preserve"> </w:t>
      </w:r>
      <w:r>
        <w:t xml:space="preserve">so với đường Normal, cho thấy return tập trung quanh giá trị trung bình nhiều hơn Normal dự đoán; (2)</w:t>
      </w:r>
      <w:r>
        <w:t xml:space="preserve"> </w:t>
      </w:r>
      <w:r>
        <w:rPr>
          <w:b/>
          <w:bCs/>
        </w:rPr>
        <w:t xml:space="preserve">phần đuôi (tails) của phân phối thực nghiệm dày hơn</w:t>
      </w:r>
      <w:r>
        <w:t xml:space="preserve"> </w:t>
      </w:r>
      <w:r>
        <w:t xml:space="preserve">— tức là xác suất xảy ra các giá trị cực đoan (cả âm lẫn dương) lớn hơn so với phân phối Normal. Hiện tượng</w:t>
      </w:r>
      <w:r>
        <w:t xml:space="preserve"> </w:t>
      </w:r>
      <w:r>
        <w:t xml:space="preserve">“đỉnh cao, đuôi dày”</w:t>
      </w:r>
      <w:r>
        <w:t xml:space="preserve"> </w:t>
      </w:r>
      <w:r>
        <w:t xml:space="preserve">(leptokurtosis) này rất phổ biến trong dữ liệu tài chính và là lý do dự án so sánh Normal với phân phối Student-t (có đuôi dày hơn) trong các mô hình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Q-Q plot (Quantile-Quantile plot) so sánh phân vị của dữ liệu thực tế với phân vị lý thuyết của phân phối Normal. Nếu return tuân theo Normal hoàn hảo, tất cả các điểm sẽ nằm trên đường chéo tham chiếu. Trên biểu đồ, phần giữa các điểm bám sát đường tham chiếu, nhưng</w:t>
      </w:r>
      <w:r>
        <w:t xml:space="preserve"> </w:t>
      </w:r>
      <w:r>
        <w:rPr>
          <w:b/>
          <w:bCs/>
        </w:rPr>
        <w:t xml:space="preserve">ở hai đầu (đuôi trái và đuôi phải), các điểm lệch ra khỏi đường chéo</w:t>
      </w:r>
      <w:r>
        <w:t xml:space="preserve">: đuôi trái cong xuống dưới và đuôi phải cong lên trên. Điều này xác nhận phân phối return có</w:t>
      </w:r>
      <w:r>
        <w:t xml:space="preserve"> </w:t>
      </w:r>
      <w:r>
        <w:rPr>
          <w:b/>
          <w:bCs/>
        </w:rPr>
        <w:t xml:space="preserve">heavy tails</w:t>
      </w:r>
      <w:r>
        <w:t xml:space="preserve"> </w:t>
      </w:r>
      <w:r>
        <w:t xml:space="preserve">— các giá trị cực đoan xảy ra thường xuyên hơn so với Normal. Q-Q plot chỉ là chẩn đoán trực quan; adjusted Pearson Goodness-of-Fit test sau khi fit GARCH mới kiểm tra distribution fit một cách định lượng.</w:t>
      </w:r>
    </w:p>
    <w:bookmarkEnd w:id="40"/>
    <w:bookmarkStart w:id="47" w:name="tự-tương-quan"/>
    <w:p>
      <w:pPr>
        <w:pStyle w:val="Heading2"/>
      </w:pPr>
      <w:r>
        <w:rPr>
          <w:rStyle w:val="SectionNumber"/>
        </w:rPr>
        <w:t xml:space="preserve">3.4</w:t>
      </w:r>
      <w:r>
        <w:tab/>
      </w:r>
      <w:r>
        <w:t xml:space="preserve">Tự tương quan</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 (Autocorrelation Function) đo tương quan tuyến tính giữa return tại thời điểm</w:t>
      </w:r>
      <w:r>
        <w:t xml:space="preserve"> </w:t>
      </w:r>
      <m:oMath>
        <m:r>
          <m:t>t</m:t>
        </m:r>
      </m:oMath>
      <w:r>
        <w:t xml:space="preserve"> </w:t>
      </w:r>
      <w:r>
        <w:t xml:space="preserve">và return tại</w:t>
      </w:r>
      <w:r>
        <w:t xml:space="preserve"> </w:t>
      </w:r>
      <m:oMath>
        <m:r>
          <m:t>t</m:t>
        </m:r>
        <m:r>
          <m:rPr>
            <m:sty m:val="p"/>
          </m:rPr>
          <m:t>−</m:t>
        </m:r>
        <m:r>
          <m:t>k</m:t>
        </m:r>
      </m:oMath>
      <w:r>
        <w:t xml:space="preserve"> </w:t>
      </w:r>
      <w:r>
        <w:t xml:space="preserve">(với</w:t>
      </w:r>
      <w:r>
        <w:t xml:space="preserve"> </w:t>
      </w:r>
      <m:oMath>
        <m:r>
          <m:t>k</m:t>
        </m:r>
      </m:oMath>
      <w:r>
        <w:t xml:space="preserve"> </w:t>
      </w:r>
      <w:r>
        <w:t xml:space="preserve">là lag). PACF (Partial ACF) đo tương quan sau khi loại ảnh hưởng trung gian qua các lag trung gian. Trên biểu đồ, mỗi thanh dọc biểu diễn hệ số tương quan tại một lag; đường nét đứt ngang là ngưỡng ý nghĩa 95%. Nếu hầu hết các thanh nằm trong vùng ngưỡng (không vượt đường nét đứt), return không có dependence tuyến tính mạnh theo lag — phù hợp với giả thuyết rằng thông tin đã được phản ánh vào giá. Tuy nhiên, ACF return nhỏ</w:t>
      </w:r>
      <w:r>
        <w:t xml:space="preserve"> </w:t>
      </w:r>
      <w:r>
        <w:rPr>
          <w:b/>
          <w:bCs/>
        </w:rPr>
        <w:t xml:space="preserve">không loại trừ</w:t>
      </w:r>
      <w:r>
        <w:t xml:space="preserve"> </w:t>
      </w:r>
      <w:r>
        <w:t xml:space="preserve">dependence phi tuyến hoặc dependence trong squared return (liên quan đến conditional variance), vì vậy vẫn cần GARCH để mô hình hóa biến động.</w:t>
      </w:r>
    </w:p>
    <w:bookmarkEnd w:id="47"/>
    <w:bookmarkEnd w:id="48"/>
    <w:bookmarkStart w:id="60" w:name="tính-dừng-và-dự-báo-giá"/>
    <w:p>
      <w:pPr>
        <w:pStyle w:val="Heading1"/>
      </w:pPr>
      <w:r>
        <w:rPr>
          <w:rStyle w:val="SectionNumber"/>
        </w:rPr>
        <w:t xml:space="preserve">4</w:t>
      </w:r>
      <w:r>
        <w:tab/>
      </w:r>
      <w:r>
        <w:t xml:space="preserve">Tính dừng và dự báo giá</w:t>
      </w:r>
    </w:p>
    <w:bookmarkStart w:id="49"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6"/>
        </w:numPr>
      </w:pPr>
      <w:r>
        <w:t xml:space="preserve">H0: chuỗi có unit root, không dừng.</w:t>
      </w:r>
    </w:p>
    <w:p>
      <w:pPr>
        <w:pStyle w:val="Compact"/>
        <w:numPr>
          <w:ilvl w:val="0"/>
          <w:numId w:val="1006"/>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 cả hai đều lớn hơn 0,05, nên chưa bác bỏ H0: chuỗi giá gốc và log giá vẫn có thể có unit root (không dừng). Điều này phù hợp với quan sát trực quan ở chương EDA: đường giá có xu hướng thay vì dao động quanh một mức cố định. Lưu ý rằng log transform chỉ thay đổi scale (nén giá trị lớn, dãn giá trị nhỏ) nhưng không tự loại bỏ stochastic trend.</w:t>
      </w:r>
    </w:p>
    <w:p>
      <w:pPr>
        <w:pStyle w:val="BodyText"/>
      </w:pPr>
      <w:r>
        <w:t xml:space="preserve">Ngược lại,</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bác bỏ H0 mạnh. Sai phân logarit (log return =</w:t>
      </w:r>
      <w:r>
        <w:t xml:space="preserve"> </w:t>
      </w:r>
      <m:oMath>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oMath>
      <w:r>
        <w:t xml:space="preserve">) đã loại bỏ xu hướng và tạo chuỗi dừng, phù hợp để làm input cho các mô hình GARCH. Đây là lý do dự án dùng</w:t>
      </w:r>
      <w:r>
        <w:t xml:space="preserve"> </w:t>
      </w:r>
      <w:r>
        <w:rPr>
          <w:rStyle w:val="VerbatimChar"/>
        </w:rPr>
        <w:t xml:space="preserve">return</w:t>
      </w:r>
      <w:r>
        <w:t xml:space="preserve"> </w:t>
      </w:r>
      <w:r>
        <w:t xml:space="preserve">thay vì</w:t>
      </w:r>
      <w:r>
        <w:t xml:space="preserve"> </w:t>
      </w:r>
      <w:r>
        <w:rPr>
          <w:rStyle w:val="VerbatimChar"/>
        </w:rPr>
        <w:t xml:space="preserve">close</w:t>
      </w:r>
      <w:r>
        <w:t xml:space="preserve"> </w:t>
      </w:r>
      <w:r>
        <w:t xml:space="preserve">cho bài toán volatility.</w:t>
      </w:r>
    </w:p>
    <w:bookmarkEnd w:id="49"/>
    <w:bookmarkStart w:id="50"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27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0"/>
    <w:bookmarkStart w:id="51"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1"/>
    <w:bookmarkStart w:id="58"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0.0007</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Đọc bảng so sánh theo ba góc độ:</w:t>
      </w:r>
    </w:p>
    <w:p>
      <w:pPr>
        <w:pStyle w:val="Compact"/>
        <w:numPr>
          <w:ilvl w:val="0"/>
          <w:numId w:val="1007"/>
        </w:numPr>
      </w:pPr>
      <w:r>
        <w:rPr>
          <w:b/>
          <w:bCs/>
        </w:rPr>
        <w:t xml:space="preserve">Holdout (cột</w:t>
      </w:r>
      <w:r>
        <w:rPr>
          <w:b/>
          <w:bCs/>
        </w:rPr>
        <w:t xml:space="preserve"> </w:t>
      </w:r>
      <w:r>
        <w:rPr>
          <w:rStyle w:val="VerbatimChar"/>
          <w:b/>
          <w:bCs/>
        </w:rPr>
        <w:t xml:space="preserve">rmse</w:t>
      </w:r>
      <w:r>
        <w:rPr>
          <w:b/>
          <w:bCs/>
        </w:rPr>
        <w:t xml:space="preserve">,</w:t>
      </w:r>
      <w:r>
        <w:rPr>
          <w:b/>
          <w:bCs/>
        </w:rPr>
        <w:t xml:space="preserve"> </w:t>
      </w:r>
      <w:r>
        <w:rPr>
          <w:rStyle w:val="VerbatimChar"/>
          <w:b/>
          <w:bCs/>
        </w:rPr>
        <w:t xml:space="preserve">mae</w:t>
      </w:r>
      <w:r>
        <w:rPr>
          <w:b/>
          <w:bCs/>
        </w:rPr>
        <w:t xml:space="preserve">,</w:t>
      </w:r>
      <w:r>
        <w:rPr>
          <w:b/>
          <w:bCs/>
        </w:rPr>
        <w:t xml:space="preserve"> </w:t>
      </w:r>
      <w:r>
        <w:rPr>
          <w:rStyle w:val="VerbatimChar"/>
          <w:b/>
          <w:bCs/>
        </w:rPr>
        <w:t xml:space="preserve">mape</w:t>
      </w:r>
      <w:r>
        <w:rPr>
          <w:b/>
          <w:bCs/>
        </w:rPr>
        <w:t xml:space="preserve">,</w:t>
      </w:r>
      <w:r>
        <w:rPr>
          <w:b/>
          <w:bCs/>
        </w:rPr>
        <w:t xml:space="preserve"> </w:t>
      </w:r>
      <w:r>
        <w:rPr>
          <w:rStyle w:val="VerbatimChar"/>
          <w:b/>
          <w:bCs/>
        </w:rPr>
        <w:t xml:space="preserve">final_rmse_rank</w:t>
      </w:r>
      <w:r>
        <w:rPr>
          <w:b/>
          <w:bCs/>
        </w:rPr>
        <w:t xml:space="preserve">):</w:t>
      </w:r>
      <w:r>
        <w:t xml:space="preserve"> </w:t>
      </w:r>
      <w:r>
        <w:t xml:space="preserve">Nhìn vào cột</w:t>
      </w:r>
      <w:r>
        <w:t xml:space="preserve"> </w:t>
      </w:r>
      <w:r>
        <w:rPr>
          <w:rStyle w:val="VerbatimChar"/>
        </w:rPr>
        <w:t xml:space="preserve">final_rmse_rank</w:t>
      </w:r>
      <w:r>
        <w:t xml:space="preserve">, ETS Damped xếp hạng 1 với RMSE = 1,939.13, nhưng chỉ hơn Naive 0.72 đơn vị — mức cải thiện rất nhỏ so với benchmark đơn giản nhất. MAPE thấp nhất thuộc về ETS (2.08%), cho thấy thứ hạng thay đổi tùy theo metric được chọn.</w:t>
      </w:r>
    </w:p>
    <w:p>
      <w:pPr>
        <w:pStyle w:val="Compact"/>
        <w:numPr>
          <w:ilvl w:val="0"/>
          <w:numId w:val="1007"/>
        </w:numPr>
      </w:pPr>
      <w:r>
        <w:rPr>
          <w:b/>
          <w:bCs/>
        </w:rPr>
        <w:t xml:space="preserve">Rolling CV (cột</w:t>
      </w:r>
      <w:r>
        <w:rPr>
          <w:b/>
          <w:bCs/>
        </w:rPr>
        <w:t xml:space="preserve"> </w:t>
      </w:r>
      <w:r>
        <w:rPr>
          <w:rStyle w:val="VerbatimChar"/>
          <w:b/>
          <w:bCs/>
        </w:rPr>
        <w:t xml:space="preserve">cv_mean_rmse</w:t>
      </w:r>
      <w:r>
        <w:rPr>
          <w:b/>
          <w:bCs/>
        </w:rPr>
        <w:t xml:space="preserve">,</w:t>
      </w:r>
      <w:r>
        <w:rPr>
          <w:b/>
          <w:bCs/>
        </w:rPr>
        <w:t xml:space="preserve"> </w:t>
      </w:r>
      <w:r>
        <w:rPr>
          <w:rStyle w:val="VerbatimChar"/>
          <w:b/>
          <w:bCs/>
        </w:rPr>
        <w:t xml:space="preserve">cv_rmse_rank</w:t>
      </w:r>
      <w:r>
        <w:rPr>
          <w:b/>
          <w:bCs/>
        </w:rPr>
        <w:t xml:space="preserve">):</w:t>
      </w:r>
      <w:r>
        <w:t xml:space="preserve"> </w:t>
      </w:r>
      <w:r>
        <w:t xml:space="preserve">CV kiểm tra sự ổn định của kết quả trên nhiều cửa sổ thời gian. Naive dẫn đầu với mean RMSE 5,353.94. Nếu model dẫn holdout khác với model dẫn CV, kết quả holdout có thể không ổn định.</w:t>
      </w:r>
    </w:p>
    <w:p>
      <w:pPr>
        <w:pStyle w:val="Compact"/>
        <w:numPr>
          <w:ilvl w:val="0"/>
          <w:numId w:val="1007"/>
        </w:numPr>
      </w:pPr>
      <w:r>
        <w:rPr>
          <w:b/>
          <w:bCs/>
        </w:rPr>
        <w:t xml:space="preserve">Residual diagnostics (cột</w:t>
      </w:r>
      <w:r>
        <w:rPr>
          <w:b/>
          <w:bCs/>
        </w:rPr>
        <w:t xml:space="preserve"> </w:t>
      </w:r>
      <w:r>
        <w:rPr>
          <w:rStyle w:val="VerbatimChar"/>
          <w:b/>
          <w:bCs/>
        </w:rPr>
        <w:t xml:space="preserve">residual_diagnostic_pass</w:t>
      </w:r>
      <w:r>
        <w:rPr>
          <w:b/>
          <w:bCs/>
        </w:rPr>
        <w:t xml:space="preserve">):</w:t>
      </w:r>
      <w:r>
        <w:t xml:space="preserve"> </w:t>
      </w:r>
      <w:r>
        <w:t xml:space="preserve">Giá trị</w:t>
      </w:r>
      <w:r>
        <w:t xml:space="preserve"> </w:t>
      </w:r>
      <w:r>
        <w:rPr>
          <w:rStyle w:val="VerbatimChar"/>
        </w:rPr>
        <w:t xml:space="preserve">FALSE</w:t>
      </w:r>
      <w:r>
        <w:t xml:space="preserve"> </w:t>
      </w:r>
      <w:r>
        <w:t xml:space="preserve">nghĩa là model vẫn còn autocorrelation trong residual — có cấu trúc chưa được nắm bắt.</w:t>
      </w:r>
    </w:p>
    <w:p>
      <w:pPr>
        <w:pStyle w:val="TableCaption"/>
      </w:pPr>
      <w:r>
        <w:t xml:space="preserve">Ljung-Box trên residual của fitted forecast models</w:t>
      </w:r>
    </w:p>
    <w:tbl>
      <w:tblPr>
        <w:tblStyle w:val="Table"/>
        <w:tblW w:type="auto" w:w="0"/>
        <w:tblLook w:firstRow="1" w:lastRow="0" w:firstColumn="0" w:lastColumn="0" w:noHBand="0" w:noVBand="0" w:val="0020"/>
        <w:tblCaption w:val="Ljung-Box trên residual của fitted forecast mode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lb_statistic</w:t>
            </w:r>
          </w:p>
        </w:tc>
        <w:tc>
          <w:tcPr/>
          <w:p>
            <w:pPr>
              <w:pStyle w:val="Compact"/>
              <w:jc w:val="right"/>
            </w:pPr>
            <w:r>
              <w:t xml:space="preserve">lb_p_value</w:t>
            </w:r>
          </w:p>
        </w:tc>
        <w:tc>
          <w:tcPr/>
          <w:p>
            <w:pPr>
              <w:pStyle w:val="Compact"/>
              <w:jc w:val="right"/>
            </w:pPr>
            <w:r>
              <w:t xml:space="preserve">test_lag</w:t>
            </w:r>
          </w:p>
        </w:tc>
        <w:tc>
          <w:tcPr/>
          <w:p>
            <w:pPr>
              <w:pStyle w:val="Compact"/>
              <w:jc w:val="right"/>
            </w:pPr>
            <w:r>
              <w:t xml:space="preserve">fitdf</w:t>
            </w:r>
          </w:p>
        </w:tc>
        <w:tc>
          <w:tcPr/>
          <w:p>
            <w:pPr>
              <w:pStyle w:val="Compact"/>
              <w:jc w:val="left"/>
            </w:pPr>
            <w:r>
              <w:t xml:space="preserve">white_noise</w:t>
            </w:r>
          </w:p>
        </w:tc>
      </w:tr>
      <w:tr>
        <w:tc>
          <w:tcPr/>
          <w:p>
            <w:pPr>
              <w:pStyle w:val="Compact"/>
              <w:jc w:val="left"/>
            </w:pPr>
            <w:r>
              <w:t xml:space="preserve">ARIMA</w:t>
            </w:r>
          </w:p>
        </w:tc>
        <w:tc>
          <w:tcPr/>
          <w:p>
            <w:pPr>
              <w:pStyle w:val="Compact"/>
              <w:jc w:val="right"/>
            </w:pPr>
            <w:r>
              <w:t xml:space="preserve">23.63248</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SARIMA</w:t>
            </w:r>
          </w:p>
        </w:tc>
        <w:tc>
          <w:tcPr/>
          <w:p>
            <w:pPr>
              <w:pStyle w:val="Compact"/>
              <w:jc w:val="right"/>
            </w:pPr>
            <w:r>
              <w:t xml:space="preserve">25.07300</w:t>
            </w:r>
          </w:p>
        </w:tc>
        <w:tc>
          <w:tcPr/>
          <w:p>
            <w:pPr>
              <w:pStyle w:val="Compact"/>
              <w:jc w:val="right"/>
            </w:pPr>
            <w:r>
              <w:t xml:space="preserve">0.00074</w:t>
            </w:r>
          </w:p>
        </w:tc>
        <w:tc>
          <w:tcPr/>
          <w:p>
            <w:pPr>
              <w:pStyle w:val="Compact"/>
              <w:jc w:val="right"/>
            </w:pPr>
            <w:r>
              <w:t xml:space="preserve">10</w:t>
            </w:r>
          </w:p>
        </w:tc>
        <w:tc>
          <w:tcPr/>
          <w:p>
            <w:pPr>
              <w:pStyle w:val="Compact"/>
              <w:jc w:val="right"/>
            </w:pPr>
            <w:r>
              <w:t xml:space="preserve">3</w:t>
            </w:r>
          </w:p>
        </w:tc>
        <w:tc>
          <w:tcPr/>
          <w:p>
            <w:pPr>
              <w:pStyle w:val="Compact"/>
              <w:jc w:val="left"/>
            </w:pPr>
            <w:r>
              <w:t xml:space="preserve">No (Reject H0)</w:t>
            </w:r>
          </w:p>
        </w:tc>
      </w:tr>
      <w:tr>
        <w:tc>
          <w:tcPr/>
          <w:p>
            <w:pPr>
              <w:pStyle w:val="Compact"/>
              <w:jc w:val="left"/>
            </w:pPr>
            <w:r>
              <w:t xml:space="preserve">ETS</w:t>
            </w:r>
          </w:p>
        </w:tc>
        <w:tc>
          <w:tcPr/>
          <w:p>
            <w:pPr>
              <w:pStyle w:val="Compact"/>
              <w:jc w:val="right"/>
            </w:pPr>
            <w:r>
              <w:t xml:space="preserve">19.87305</w:t>
            </w:r>
          </w:p>
        </w:tc>
        <w:tc>
          <w:tcPr/>
          <w:p>
            <w:pPr>
              <w:pStyle w:val="Compact"/>
              <w:jc w:val="right"/>
            </w:pPr>
            <w:r>
              <w:t xml:space="preserve">0.00292</w:t>
            </w:r>
          </w:p>
        </w:tc>
        <w:tc>
          <w:tcPr/>
          <w:p>
            <w:pPr>
              <w:pStyle w:val="Compact"/>
              <w:jc w:val="right"/>
            </w:pPr>
            <w:r>
              <w:t xml:space="preserve">10</w:t>
            </w:r>
          </w:p>
        </w:tc>
        <w:tc>
          <w:tcPr/>
          <w:p>
            <w:pPr>
              <w:pStyle w:val="Compact"/>
              <w:jc w:val="right"/>
            </w:pPr>
            <w:r>
              <w:t xml:space="preserve">4</w:t>
            </w:r>
          </w:p>
        </w:tc>
        <w:tc>
          <w:tcPr/>
          <w:p>
            <w:pPr>
              <w:pStyle w:val="Compact"/>
              <w:jc w:val="left"/>
            </w:pPr>
            <w:r>
              <w:t xml:space="preserve">No (Reject H0)</w:t>
            </w:r>
          </w:p>
        </w:tc>
      </w:tr>
      <w:tr>
        <w:tc>
          <w:tcPr/>
          <w:p>
            <w:pPr>
              <w:pStyle w:val="Compact"/>
              <w:jc w:val="left"/>
            </w:pPr>
            <w:r>
              <w:t xml:space="preserve">ETS Damped</w:t>
            </w:r>
          </w:p>
        </w:tc>
        <w:tc>
          <w:tcPr/>
          <w:p>
            <w:pPr>
              <w:pStyle w:val="Compact"/>
              <w:jc w:val="right"/>
            </w:pPr>
            <w:r>
              <w:t xml:space="preserve">19.59529</w:t>
            </w:r>
          </w:p>
        </w:tc>
        <w:tc>
          <w:tcPr/>
          <w:p>
            <w:pPr>
              <w:pStyle w:val="Compact"/>
              <w:jc w:val="right"/>
            </w:pPr>
            <w:r>
              <w:t xml:space="preserve">0.00149</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ARIMAX</w:t>
            </w:r>
          </w:p>
        </w:tc>
        <w:tc>
          <w:tcPr/>
          <w:p>
            <w:pPr>
              <w:pStyle w:val="Compact"/>
              <w:jc w:val="right"/>
            </w:pPr>
            <w:r>
              <w:t xml:space="preserve">33.10920</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0</w:t>
            </w:r>
          </w:p>
        </w:tc>
        <w:tc>
          <w:tcPr/>
          <w:p>
            <w:pPr>
              <w:pStyle w:val="Compact"/>
              <w:jc w:val="left"/>
            </w:pPr>
            <w:r>
              <w:t xml:space="preserve">No (Reject H0)</w:t>
            </w:r>
          </w:p>
        </w:tc>
      </w:tr>
    </w:tbl>
    <w:p>
      <w:pPr>
        <w:pStyle w:val="BodyText"/>
      </w:pPr>
      <w:r>
        <w:t xml:space="preserve">Có 0 trong 5 fitted models vượt Ljung-Box ở mức 5%. Cột</w:t>
      </w:r>
      <w:r>
        <w:t xml:space="preserve"> </w:t>
      </w:r>
      <w:r>
        <w:rPr>
          <w:rStyle w:val="VerbatimChar"/>
        </w:rPr>
        <w:t xml:space="preserve">lb_p_value</w:t>
      </w:r>
      <w:r>
        <w:t xml:space="preserve"> </w:t>
      </w:r>
      <w:r>
        <w:t xml:space="preserve">cho thấy p-value của từng model: nếu p-value &lt; 0,05, residual có autocorrelation — model chưa nắm bắt hết cấu trúc mean. Hiện tất cả đều chưa đạt white noise. Kết hợp cả ba nguồn bằng chứng (holdout, CV, residual diagnostics), dự án chưa chứng minh model phức tạp cải thiện Naive một cách ổn định.</w:t>
      </w:r>
    </w:p>
    <w:p>
      <w:pPr>
        <w:pStyle w:val="CaptionedFigure"/>
      </w:pPr>
      <w:r>
        <w:drawing>
          <wp:inline>
            <wp:extent cx="5067300" cy="3040380"/>
            <wp:effectExtent b="0" l="0" r="0" t="0"/>
            <wp:docPr descr="ETS Damped trên holdout 30 phiên" title="" id="53" name="Picture"/>
            <a:graphic>
              <a:graphicData uri="http://schemas.openxmlformats.org/drawingml/2006/picture">
                <pic:pic>
                  <pic:nvPicPr>
                    <pic:cNvPr descr="report_files/8d83366d08b2f34e5b6383b76400133e06fcc9d2.png" id="54" name="Picture"/>
                    <pic:cNvPicPr>
                      <a:picLocks noChangeArrowheads="1" noChangeAspect="1"/>
                    </pic:cNvPicPr>
                  </pic:nvPicPr>
                  <pic:blipFill>
                    <a:blip r:embed="rId52"/>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gồm hai vùng chính:</w:t>
      </w:r>
      <w:r>
        <w:t xml:space="preserve"> </w:t>
      </w:r>
      <w:r>
        <w:rPr>
          <w:b/>
          <w:bCs/>
        </w:rPr>
        <w:t xml:space="preserve">phần bên trái</w:t>
      </w:r>
      <w:r>
        <w:t xml:space="preserve"> </w:t>
      </w:r>
      <w:r>
        <w:t xml:space="preserve">là dữ liệu lịch sử (training),</w:t>
      </w:r>
      <w:r>
        <w:t xml:space="preserve"> </w:t>
      </w:r>
      <w:r>
        <w:rPr>
          <w:b/>
          <w:bCs/>
        </w:rPr>
        <w:t xml:space="preserve">phần bên phải</w:t>
      </w:r>
      <w:r>
        <w:t xml:space="preserve"> </w:t>
      </w:r>
      <w:r>
        <w:t xml:space="preserve">là vùng forecast 30 phiên với đường dự báo (line) và dải prediction interval (vùng màu). Cần đọc biểu đồ ở phần cuối chuỗi: đường forecast cho thấy ETS Damped dự báo xu hướng tắt dần (không ngoại suy trend vô hạn), và dải prediction interval mở rộng dần theo horizon — phản ánh mức độ bất định tăng theo thời gian dự báo. Lưu ý rằng dải interval chỉ mô tả bất định</w:t>
      </w:r>
      <w:r>
        <w:t xml:space="preserve"> </w:t>
      </w:r>
      <w:r>
        <w:rPr>
          <w:b/>
          <w:bCs/>
        </w:rPr>
        <w:t xml:space="preserve">theo giả định của model</w:t>
      </w:r>
      <w:r>
        <w:t xml:space="preserve">, không phải cam kết giá tương lai chắc chắn nằm trong khoảng.</w:t>
      </w:r>
    </w:p>
    <w:p>
      <w:pPr>
        <w:pStyle w:val="CaptionedFigure"/>
      </w:pPr>
      <w:r>
        <w:drawing>
          <wp:inline>
            <wp:extent cx="5067300" cy="3167062"/>
            <wp:effectExtent b="0" l="0" r="0" t="0"/>
            <wp:docPr descr="Residual diagnostics của ETS Damped" title="" id="56" name="Picture"/>
            <a:graphic>
              <a:graphicData uri="http://schemas.openxmlformats.org/drawingml/2006/picture">
                <pic:pic>
                  <pic:nvPicPr>
                    <pic:cNvPr descr="report_files/84c5bd146dcebd1b4976bdd2bd2d2bddddc7dce4.png" id="57" name="Picture"/>
                    <pic:cNvPicPr>
                      <a:picLocks noChangeArrowheads="1" noChangeAspect="1"/>
                    </pic:cNvPicPr>
                  </pic:nvPicPr>
                  <pic:blipFill>
                    <a:blip r:embed="rId55"/>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58"/>
    <w:bookmarkStart w:id="59"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59"/>
    <w:bookmarkEnd w:id="60"/>
    <w:bookmarkStart w:id="76" w:name="mô-hình-hóa-conditional-volatility"/>
    <w:p>
      <w:pPr>
        <w:pStyle w:val="Heading1"/>
      </w:pPr>
      <w:r>
        <w:rPr>
          <w:rStyle w:val="SectionNumber"/>
        </w:rPr>
        <w:t xml:space="preserve">5</w:t>
      </w:r>
      <w:r>
        <w:tab/>
      </w:r>
      <w:r>
        <w:t xml:space="preserve">Mô hình hóa conditional volatility</w:t>
      </w:r>
    </w:p>
    <w:bookmarkStart w:id="61" w:name="động-cơ-và-phương-trình"/>
    <w:p>
      <w:pPr>
        <w:pStyle w:val="Heading2"/>
      </w:pPr>
      <w:r>
        <w:rPr>
          <w:rStyle w:val="SectionNumber"/>
        </w:rPr>
        <w:t xml:space="preserve">5.1</w:t>
      </w:r>
      <w:r>
        <w:tab/>
      </w:r>
      <w:r>
        <w:t xml:space="preserve">Động cơ và phương trình</w:t>
      </w:r>
    </w:p>
    <w:p>
      <w:pPr>
        <w:pStyle w:val="FirstParagraph"/>
      </w:pPr>
      <w:r>
        <w:t xml:space="preserve">Trước khi fit GARCH, cần kiểm tra liệu return có thực sự cần mô hình phương sai có điều kiện hay không.</w:t>
      </w:r>
      <w:r>
        <w:t xml:space="preserve"> </w:t>
      </w:r>
      <w:r>
        <w:rPr>
          <w:b/>
          <w:bCs/>
        </w:rPr>
        <w:t xml:space="preserve">Kiểm định ARCH-LM</w:t>
      </w:r>
      <w:r>
        <w:t xml:space="preserve"> </w:t>
      </w:r>
      <w:r>
        <w:t xml:space="preserve">(Engle, 1982) làm điều này bằng cách hồi quy bình phương residual lên các lag của chính nó:</w:t>
      </w:r>
    </w:p>
    <w:p>
      <w:pPr>
        <w:pStyle w:val="Compact"/>
        <w:numPr>
          <w:ilvl w:val="0"/>
          <w:numId w:val="1008"/>
        </w:numPr>
      </w:pPr>
      <w:r>
        <w:rPr>
          <w:b/>
          <w:bCs/>
        </w:rPr>
        <w:t xml:space="preserve">H0:</w:t>
      </w:r>
      <w:r>
        <w:t xml:space="preserve"> </w:t>
      </w:r>
      <w:r>
        <w:t xml:space="preserve">Không có ARCH effect (phương sai không thay đổi theo thời gian).</w:t>
      </w:r>
    </w:p>
    <w:p>
      <w:pPr>
        <w:pStyle w:val="Compact"/>
        <w:numPr>
          <w:ilvl w:val="0"/>
          <w:numId w:val="1008"/>
        </w:numPr>
      </w:pPr>
      <w:r>
        <w:rPr>
          <w:b/>
          <w:bCs/>
        </w:rPr>
        <w:t xml:space="preserve">H1:</w:t>
      </w:r>
      <w:r>
        <w:t xml:space="preserve"> </w:t>
      </w:r>
      <w:r>
        <w:t xml:space="preserve">Có ARCH effect (phương sai phụ thuộc vào các shock quá khứ).</w:t>
      </w:r>
    </w:p>
    <w:p>
      <w:pPr>
        <w:pStyle w:val="FirstParagraph"/>
      </w:pPr>
      <w:r>
        <w:t xml:space="preserve">Kết quả: ARCH-LM trên raw return có p-value = 1.09e-38. Vì p-value rất nhỏ (&lt; 0,05), bác bỏ H0 — xác nhận rằng return FPT có ARCH effect và việc sử dụng conditional variance model là có căn cứ.</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m:oMath>
        <m:r>
          <m:t>μ</m:t>
        </m:r>
      </m:oMath>
      <w:r>
        <w:t xml:space="preserve"> </w:t>
      </w:r>
      <w:r>
        <w:t xml:space="preserve">là conditional mean của return,</w:t>
      </w:r>
      <w:r>
        <w:t xml:space="preserve"> </w:t>
      </w:r>
      <m:oMath>
        <m:sSub>
          <m:e>
            <m:r>
              <m:t>ϵ</m:t>
            </m:r>
          </m:e>
          <m:sub>
            <m:r>
              <m:t>t</m:t>
            </m:r>
          </m:sub>
        </m:sSub>
      </m:oMath>
      <w:r>
        <w:t xml:space="preserve"> </w:t>
      </w:r>
      <w:r>
        <w:t xml:space="preserve">là phần shock (chênh lệch giữa return thực tế và conditional mean),</w:t>
      </w:r>
      <w:r>
        <w:t xml:space="preserve"> </w:t>
      </w:r>
      <m:oMath>
        <m:sSub>
          <m:e>
            <m:r>
              <m:t>σ</m:t>
            </m:r>
          </m:e>
          <m:sub>
            <m:r>
              <m:t>t</m:t>
            </m:r>
          </m:sub>
        </m:sSub>
      </m:oMath>
      <w:r>
        <w:t xml:space="preserve"> </w:t>
      </w:r>
      <w:r>
        <w:t xml:space="preserve">là conditional standard deviation, và</w:t>
      </w:r>
      <w:r>
        <w:t xml:space="preserve"> </w:t>
      </w:r>
      <m:oMath>
        <m:sSub>
          <m:e>
            <m:r>
              <m:t>z</m:t>
            </m:r>
          </m:e>
          <m:sub>
            <m:r>
              <m:t>t</m:t>
            </m:r>
          </m:sub>
        </m:sSub>
      </m:oMath>
      <w:r>
        <w:t xml:space="preserve"> </w:t>
      </w:r>
      <w:r>
        <w:t xml:space="preserve">là standardized innovation (có mean 0, variance 1). Baseline sGARCH(1,1) mô hình hóa phương sai có điều kiện như sau:</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t xml:space="preserve">Công thức này có ba thành phần:</w:t>
      </w:r>
      <w:r>
        <w:t xml:space="preserve"> </w:t>
      </w:r>
      <m:oMath>
        <m:r>
          <m:t>ω</m:t>
        </m:r>
      </m:oMath>
      <w:r>
        <w:t xml:space="preserve"> </w:t>
      </w:r>
      <w:r>
        <w:t xml:space="preserve">là hằng số (mức variance nền),</w:t>
      </w:r>
      <w:r>
        <w:t xml:space="preserve"> </w:t>
      </w:r>
      <m:oMath>
        <m:sSub>
          <m:e>
            <m:r>
              <m:t>α</m:t>
            </m:r>
          </m:e>
          <m:sub>
            <m:r>
              <m:t>1</m:t>
            </m:r>
          </m:sub>
        </m:sSub>
        <m:sSubSup>
          <m:e>
            <m:r>
              <m:t>ϵ</m:t>
            </m:r>
          </m:e>
          <m:sub>
            <m:r>
              <m:t>t</m:t>
            </m:r>
            <m:r>
              <m:rPr>
                <m:sty m:val="p"/>
              </m:rPr>
              <m:t>−</m:t>
            </m:r>
            <m:r>
              <m:t>1</m:t>
            </m:r>
          </m:sub>
          <m:sup>
            <m:r>
              <m:t>2</m:t>
            </m:r>
          </m:sup>
        </m:sSubSup>
      </m:oMath>
      <w:r>
        <w:t xml:space="preserve"> </w:t>
      </w:r>
      <w:r>
        <w:t xml:space="preserve">đo phản ứng của phương sai với shock mới nhất (nếu</w:t>
      </w:r>
      <w:r>
        <w:t xml:space="preserve"> </w:t>
      </w:r>
      <m:oMath>
        <m:sSub>
          <m:e>
            <m:r>
              <m:t>α</m:t>
            </m:r>
          </m:e>
          <m:sub>
            <m:r>
              <m:t>1</m:t>
            </m:r>
          </m:sub>
        </m:sSub>
      </m:oMath>
      <w:r>
        <w:t xml:space="preserve"> </w:t>
      </w:r>
      <w:r>
        <w:t xml:space="preserve">lớn, một ngày biến động mạnh sẽ làm tăng nhanh phương sai hôm sau), và</w:t>
      </w:r>
      <w:r>
        <w:t xml:space="preserve"> </w:t>
      </w:r>
      <m:oMath>
        <m:sSub>
          <m:e>
            <m:r>
              <m:t>β</m:t>
            </m:r>
          </m:e>
          <m:sub>
            <m:r>
              <m:t>1</m:t>
            </m:r>
          </m:sub>
        </m:sSub>
        <m:sSubSup>
          <m:e>
            <m:r>
              <m:t>σ</m:t>
            </m:r>
          </m:e>
          <m:sub>
            <m:r>
              <m:t>t</m:t>
            </m:r>
            <m:r>
              <m:rPr>
                <m:sty m:val="p"/>
              </m:rPr>
              <m:t>−</m:t>
            </m:r>
            <m:r>
              <m:t>1</m:t>
            </m:r>
          </m:sub>
          <m:sup>
            <m:r>
              <m:t>2</m:t>
            </m:r>
          </m:sup>
        </m:sSubSup>
      </m:oMath>
      <w:r>
        <w:t xml:space="preserve"> </w:t>
      </w:r>
      <w:r>
        <w:t xml:space="preserve">đo</w:t>
      </w:r>
      <w:r>
        <w:t xml:space="preserve"> </w:t>
      </w:r>
      <w:r>
        <w:t xml:space="preserve">“bộ nhớ”</w:t>
      </w:r>
      <w:r>
        <w:t xml:space="preserve"> </w:t>
      </w:r>
      <w:r>
        <w:t xml:space="preserve">của variance quá khứ (nếu</w:t>
      </w:r>
      <w:r>
        <w:t xml:space="preserve"> </w:t>
      </w:r>
      <m:oMath>
        <m:sSub>
          <m:e>
            <m:r>
              <m:t>β</m:t>
            </m:r>
          </m:e>
          <m:sub>
            <m:r>
              <m:t>1</m:t>
            </m:r>
          </m:sub>
        </m:sSub>
      </m:oMath>
      <w:r>
        <w:t xml:space="preserve"> </w:t>
      </w:r>
      <w:r>
        <w:t xml:space="preserve">lớn, phương sai cao sẽ duy trì lâu). Tổng</w:t>
      </w:r>
      <w:r>
        <w:t xml:space="preserve"> </w:t>
      </w:r>
      <m:oMath>
        <m:sSub>
          <m:e>
            <m:r>
              <m:t>α</m:t>
            </m:r>
          </m:e>
          <m:sub>
            <m:r>
              <m:t>1</m:t>
            </m:r>
          </m:sub>
        </m:sSub>
        <m:r>
          <m:rPr>
            <m:sty m:val="p"/>
          </m:rPr>
          <m:t>+</m:t>
        </m:r>
        <m:sSub>
          <m:e>
            <m:r>
              <m:t>β</m:t>
            </m:r>
          </m:e>
          <m:sub>
            <m:r>
              <m:t>1</m:t>
            </m:r>
          </m:sub>
        </m:sSub>
      </m:oMath>
      <w:r>
        <w:t xml:space="preserve"> </w:t>
      </w:r>
      <w:r>
        <w:t xml:space="preserve">gần 1 nghĩa là volatility rất persistent. Lưu ý: công thức này chỉ áp dụng cho sGARCH; eGARCH và GJR-GARCH có parameterization riêng và không cộng</w:t>
      </w:r>
      <w:r>
        <w:t xml:space="preserve"> </w:t>
      </w:r>
      <m:oMath>
        <m:r>
          <m:t>α</m:t>
        </m:r>
        <m:r>
          <m:rPr>
            <m:sty m:val="p"/>
          </m:rPr>
          <m:t>+</m:t>
        </m:r>
        <m:r>
          <m:t>β</m:t>
        </m:r>
      </m:oMath>
      <w:r>
        <w:t xml:space="preserve"> </w:t>
      </w:r>
      <w:r>
        <w:t xml:space="preserve">theo cách tương tự.</w:t>
      </w:r>
    </w:p>
    <w:bookmarkEnd w:id="61"/>
    <w:bookmarkStart w:id="62" w:name="specification-được-so-sánh"/>
    <w:p>
      <w:pPr>
        <w:pStyle w:val="Heading2"/>
      </w:pPr>
      <w:r>
        <w:rPr>
          <w:rStyle w:val="SectionNumber"/>
        </w:rPr>
        <w:t xml:space="preserve">5.2</w:t>
      </w:r>
      <w:r>
        <w:tab/>
      </w:r>
      <w:r>
        <w:t xml:space="preserve">Specification được so sánh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c>
          <w:tcPr/>
          <w:p>
            <w:pPr>
              <w:pStyle w:val="Compact"/>
            </w:pPr>
            <w:r>
              <w:t xml:space="preserve">Giải thích</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c>
          <w:tcPr/>
          <w:p>
            <w:pPr>
              <w:pStyle w:val="Compact"/>
            </w:pPr>
            <w:r>
              <w:t xml:space="preserve">Mô hình cơ bản nhất; giả định shock dương và âm ảnh hưởng như nhau, innovation tuân theo Normal</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c>
          <w:tcPr/>
          <w:p>
            <w:pPr>
              <w:pStyle w:val="Compact"/>
            </w:pPr>
            <w:r>
              <w:t xml:space="preserve">Giữ cấu trúc sGARCH nhưng thay Normal bằng Student-t để xem heavy tails có cải thiện fit không</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c>
          <w:tcPr/>
          <w:p>
            <w:pPr>
              <w:pStyle w:val="Compact"/>
            </w:pPr>
            <w:r>
              <w:t xml:space="preserve">Mô hình hóa</w:t>
            </w:r>
            <w:r>
              <w:t xml:space="preserve"> </w:t>
            </w:r>
            <m:oMath>
              <m:r>
                <m:rPr>
                  <m:sty m:val="p"/>
                </m:rPr>
                <m:t>log</m:t>
              </m:r>
              <m:r>
                <m:rPr>
                  <m:sty m:val="p"/>
                </m:rPr>
                <m:t>(</m:t>
              </m:r>
              <m:sSubSup>
                <m:e>
                  <m:r>
                    <m:t>σ</m:t>
                  </m:r>
                </m:e>
                <m:sub>
                  <m:r>
                    <m:t>t</m:t>
                  </m:r>
                </m:sub>
                <m:sup>
                  <m:r>
                    <m:t>2</m:t>
                  </m:r>
                </m:sup>
              </m:sSubSup>
              <m:r>
                <m:rPr>
                  <m:sty m:val="p"/>
                </m:rPr>
                <m:t>)</m:t>
              </m:r>
            </m:oMath>
            <w:r>
              <w:t xml:space="preserve"> </w:t>
            </w:r>
            <w:r>
              <w:t xml:space="preserve">thay vì</w:t>
            </w:r>
            <w:r>
              <w:t xml:space="preserve"> </w:t>
            </w:r>
            <m:oMath>
              <m:sSubSup>
                <m:e>
                  <m:r>
                    <m:t>σ</m:t>
                  </m:r>
                </m:e>
                <m:sub>
                  <m:r>
                    <m:t>t</m:t>
                  </m:r>
                </m:sub>
                <m:sup>
                  <m:r>
                    <m:t>2</m:t>
                  </m:r>
                </m:sup>
              </m:sSubSup>
            </m:oMath>
            <w:r>
              <w:t xml:space="preserve">, cho phép shock âm và dương tác động khác nhau lên volatility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c>
          <w:tcPr/>
          <w:p>
            <w:pPr>
              <w:pStyle w:val="Compact"/>
            </w:pPr>
            <w:r>
              <w:t xml:space="preserve">Thêm biến indicator</w:t>
            </w:r>
            <w:r>
              <w:t xml:space="preserve"> </w:t>
            </w:r>
            <m:oMath>
              <m:r>
                <m:t>I</m:t>
              </m:r>
              <m:r>
                <m:rPr>
                  <m:sty m:val="p"/>
                </m:rPr>
                <m:t>(</m:t>
              </m:r>
              <m:sSub>
                <m:e>
                  <m:r>
                    <m:t>ϵ</m:t>
                  </m:r>
                </m:e>
                <m:sub>
                  <m:r>
                    <m:t>t</m:t>
                  </m:r>
                  <m:r>
                    <m:rPr>
                      <m:sty m:val="p"/>
                    </m:rPr>
                    <m:t>−</m:t>
                  </m:r>
                  <m:r>
                    <m:t>1</m:t>
                  </m:r>
                </m:sub>
              </m:sSub>
              <m:r>
                <m:rPr>
                  <m:sty m:val="p"/>
                </m:rPr>
                <m:t>&lt;</m:t>
              </m:r>
              <m:r>
                <m:t>0</m:t>
              </m:r>
              <m:r>
                <m:rPr>
                  <m:sty m:val="p"/>
                </m:rPr>
                <m:t>)</m:t>
              </m:r>
            </m:oMath>
            <w:r>
              <w:t xml:space="preserve"> </w:t>
            </w:r>
            <w:r>
              <w:t xml:space="preserve">để ước lượng tác động bất đối xứng</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2"/>
    <w:bookmarkStart w:id="63" w:name="so-sánh-fit-và-diagnostics"/>
    <w:p>
      <w:pPr>
        <w:pStyle w:val="Heading2"/>
      </w:pPr>
      <w:r>
        <w:rPr>
          <w:rStyle w:val="SectionNumber"/>
        </w:rPr>
        <w:t xml:space="preserve">5.3</w:t>
      </w:r>
      <w:r>
        <w:tab/>
      </w:r>
      <w:r>
        <w:t xml:space="preserve">So sánh fit và diagnostics</w:t>
      </w:r>
    </w:p>
    <w:p>
      <w:pPr>
        <w:pStyle w:val="TableCaption"/>
      </w:pPr>
      <w:r>
        <w:t xml:space="preserve">So sánh GARCH: Core = Ljung-Box + ARCH-LM, Sign = sign-bias, Stable = Nyblom, GOF = Pearson</w:t>
      </w:r>
    </w:p>
    <w:tbl>
      <w:tblPr>
        <w:tblStyle w:val="Table"/>
        <w:tblW w:type="pct" w:w="5000"/>
        <w:tblLayout w:type="fixed"/>
        <w:tblLook w:firstRow="1" w:lastRow="0" w:firstColumn="0" w:lastColumn="0" w:noHBand="0" w:noVBand="0" w:val="0020"/>
        <w:tblCaption w:val="So sánh GARCH: Core = Ljung-Box + ARCH-LM, Sign = sign-bias, Stable = Nyblom, GOF = Pearson"/>
      </w:tblPr>
      <w:tblGrid>
        <w:gridCol w:w="901"/>
        <w:gridCol w:w="426"/>
        <w:gridCol w:w="426"/>
        <w:gridCol w:w="379"/>
        <w:gridCol w:w="426"/>
        <w:gridCol w:w="237"/>
        <w:gridCol w:w="237"/>
        <w:gridCol w:w="331"/>
        <w:gridCol w:w="284"/>
        <w:gridCol w:w="426"/>
        <w:gridCol w:w="3841"/>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ΔAIC</w:t>
            </w:r>
          </w:p>
        </w:tc>
        <w:tc>
          <w:tcPr/>
          <w:p>
            <w:pPr>
              <w:pStyle w:val="Compact"/>
              <w:jc w:val="right"/>
            </w:pPr>
            <w:r>
              <w:t xml:space="preserve">Persist.</w:t>
            </w:r>
          </w:p>
        </w:tc>
        <w:tc>
          <w:tcPr/>
          <w:p>
            <w:pPr>
              <w:pStyle w:val="Compact"/>
              <w:jc w:val="left"/>
            </w:pPr>
            <w:r>
              <w:t xml:space="preserve">Core</w:t>
            </w:r>
          </w:p>
        </w:tc>
        <w:tc>
          <w:tcPr/>
          <w:p>
            <w:pPr>
              <w:pStyle w:val="Compact"/>
              <w:jc w:val="left"/>
            </w:pPr>
            <w:r>
              <w:t xml:space="preserve">Sign</w:t>
            </w:r>
          </w:p>
        </w:tc>
        <w:tc>
          <w:tcPr/>
          <w:p>
            <w:pPr>
              <w:pStyle w:val="Compact"/>
              <w:jc w:val="left"/>
            </w:pPr>
            <w:r>
              <w:t xml:space="preserve">Stable</w:t>
            </w:r>
          </w:p>
        </w:tc>
        <w:tc>
          <w:tcPr/>
          <w:p>
            <w:pPr>
              <w:pStyle w:val="Compact"/>
              <w:jc w:val="left"/>
            </w:pPr>
            <w:r>
              <w:t xml:space="preserve">GOF</w:t>
            </w:r>
          </w:p>
        </w:tc>
        <w:tc>
          <w:tcPr/>
          <w:p>
            <w:pPr>
              <w:pStyle w:val="Compact"/>
              <w:jc w:val="left"/>
            </w:pPr>
            <w:r>
              <w:t xml:space="preserve">Ứng viên</w:t>
            </w:r>
          </w:p>
        </w:tc>
        <w:tc>
          <w:tcPr/>
          <w:p>
            <w:pPr>
              <w:pStyle w:val="Compact"/>
              <w:jc w:val="left"/>
            </w:pPr>
            <w:r>
              <w:t xml:space="preserve">Đánh giá</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Đọc bảng so sánh theo hai nhóm:</w:t>
      </w:r>
    </w:p>
    <w:p>
      <w:pPr>
        <w:pStyle w:val="Compact"/>
        <w:numPr>
          <w:ilvl w:val="0"/>
          <w:numId w:val="1009"/>
        </w:numPr>
      </w:pPr>
      <w:r>
        <w:rPr>
          <w:b/>
          <w:bCs/>
        </w:rPr>
        <w:t xml:space="preserve">Fit (cột AIC, BIC, ΔAIC):</w:t>
      </w:r>
      <w:r>
        <w:t xml:space="preserve"> </w:t>
      </w:r>
      <w:r>
        <w:t xml:space="preserve">AIC và BIC càng nhỏ càng tốt. So sánh cột AIC: Student-t cải thiện AIC rõ rệt so với sGARCH-Normal, xác nhận rằng heavy tails quan sát trong EDA là có ý nghĩa. GJR-GARCH-Student-t có AIC thấp nhất, nhưng cột</w:t>
      </w:r>
      <w:r>
        <w:t xml:space="preserve"> </w:t>
      </w:r>
      <w:r>
        <w:rPr>
          <w:b/>
          <w:bCs/>
        </w:rPr>
        <w:t xml:space="preserve">Stable = FALSE</w:t>
      </w:r>
      <w:r>
        <w:t xml:space="preserve"> </w:t>
      </w:r>
      <w:r>
        <w:t xml:space="preserve">cho thấy Nyblom bác bỏ parameter stability. eGARCH-Student-t chỉ kém GJR 0.00137 AIC (đọc cột ΔAIC) — chênh lệch rất nhỏ.</w:t>
      </w:r>
    </w:p>
    <w:p>
      <w:pPr>
        <w:pStyle w:val="Compact"/>
        <w:numPr>
          <w:ilvl w:val="0"/>
          <w:numId w:val="1009"/>
        </w:numPr>
      </w:pPr>
      <w:r>
        <w:rPr>
          <w:b/>
          <w:bCs/>
        </w:rPr>
        <w:t xml:space="preserve">Diagnostics (cột Core, Sign, Stable, GOF):</w:t>
      </w:r>
      <w:r>
        <w:t xml:space="preserve"> </w:t>
      </w:r>
      <w:r>
        <w:rPr>
          <w:rStyle w:val="VerbatimChar"/>
        </w:rPr>
        <w:t xml:space="preserve">TRUE</w:t>
      </w:r>
      <w:r>
        <w:t xml:space="preserve"> </w:t>
      </w:r>
      <w:r>
        <w:t xml:space="preserve">nghĩa là vượt kiểm định,</w:t>
      </w:r>
      <w:r>
        <w:t xml:space="preserve"> </w:t>
      </w:r>
      <w:r>
        <w:rPr>
          <w:rStyle w:val="VerbatimChar"/>
        </w:rPr>
        <w:t xml:space="preserve">FALSE</w:t>
      </w:r>
      <w:r>
        <w:t xml:space="preserve"> </w:t>
      </w:r>
      <w:r>
        <w:t xml:space="preserve">là không vượt. eGARCH-Student-t là model duy nhất đạt cả Core, Sign và Stable; vì vậy đây là ứng viên cân bằng theo quy tắc định trước, không phải model</w:t>
      </w:r>
      <w:r>
        <w:t xml:space="preserve"> </w:t>
      </w:r>
      <w:r>
        <w:t xml:space="preserve">“hoàn hảo”</w:t>
      </w:r>
      <w:r>
        <w:t xml:space="preserve"> </w:t>
      </w:r>
      <w:r>
        <w:t xml:space="preserve">vì cột GOF vẫn là FALSE.</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Để hiểu bảng chẩn đoán trên, cần biết mục đích của từng kiểm định:</w:t>
      </w:r>
    </w:p>
    <w:p>
      <w:pPr>
        <w:pStyle w:val="Compact"/>
        <w:numPr>
          <w:ilvl w:val="0"/>
          <w:numId w:val="1010"/>
        </w:numPr>
      </w:pPr>
      <w:r>
        <w:rPr>
          <w:b/>
          <w:bCs/>
        </w:rPr>
        <w:t xml:space="preserve">Ljung-Box standardized residual</w:t>
      </w:r>
      <w:r>
        <w:t xml:space="preserve"> </w:t>
      </w:r>
      <w:r>
        <w:t xml:space="preserve">(</w:t>
      </w:r>
      <w:r>
        <w:rPr>
          <w:rStyle w:val="VerbatimChar"/>
        </w:rPr>
        <w:t xml:space="preserve">ljung_box_residual_p</w:t>
      </w:r>
      <w:r>
        <w:t xml:space="preserve">): Kiểm tra xem residual sau khi chuẩn hóa còn autocorrelation tuyến tính không. P-value &gt; 0,05 nghĩa là model đã nắm bắt được mean dynamics.</w:t>
      </w:r>
    </w:p>
    <w:p>
      <w:pPr>
        <w:pStyle w:val="Compact"/>
        <w:numPr>
          <w:ilvl w:val="0"/>
          <w:numId w:val="1010"/>
        </w:numPr>
      </w:pPr>
      <w:r>
        <w:rPr>
          <w:b/>
          <w:bCs/>
        </w:rPr>
        <w:t xml:space="preserve">Ljung-Box squared residual</w:t>
      </w:r>
      <w:r>
        <w:t xml:space="preserve"> </w:t>
      </w:r>
      <w:r>
        <w:t xml:space="preserve">(</w:t>
      </w:r>
      <w:r>
        <w:rPr>
          <w:rStyle w:val="VerbatimChar"/>
        </w:rPr>
        <w:t xml:space="preserve">ljung_box_squared_p</w:t>
      </w:r>
      <w:r>
        <w:t xml:space="preserve">): Kiểm tra xem bình phương residual còn autocorrelation không. P-value &gt; 0,05 nghĩa là model đã nắm bắt được variance dynamics.</w:t>
      </w:r>
    </w:p>
    <w:p>
      <w:pPr>
        <w:pStyle w:val="Compact"/>
        <w:numPr>
          <w:ilvl w:val="0"/>
          <w:numId w:val="1010"/>
        </w:numPr>
      </w:pPr>
      <w:r>
        <w:rPr>
          <w:b/>
          <w:bCs/>
        </w:rPr>
        <w:t xml:space="preserve">ARCH-LM sau fit</w:t>
      </w:r>
      <w:r>
        <w:t xml:space="preserve"> </w:t>
      </w:r>
      <w:r>
        <w:t xml:space="preserve">(</w:t>
      </w:r>
      <w:r>
        <w:rPr>
          <w:rStyle w:val="VerbatimChar"/>
        </w:rPr>
        <w:t xml:space="preserve">arch_lm_p</w:t>
      </w:r>
      <w:r>
        <w:t xml:space="preserve">): Tương tự kiểm định pre-fit, nhưng chạy trên residual sau khi fit GARCH. P-value &gt; 0,05 nghĩa là không còn ARCH effect dư thừa.</w:t>
      </w:r>
    </w:p>
    <w:p>
      <w:pPr>
        <w:pStyle w:val="Compact"/>
        <w:numPr>
          <w:ilvl w:val="0"/>
          <w:numId w:val="1010"/>
        </w:numPr>
      </w:pPr>
      <w:r>
        <w:rPr>
          <w:b/>
          <w:bCs/>
        </w:rPr>
        <w:t xml:space="preserve">Sign-bias joint test</w:t>
      </w:r>
      <w:r>
        <w:t xml:space="preserve"> </w:t>
      </w:r>
      <w:r>
        <w:t xml:space="preserve">(</w:t>
      </w:r>
      <w:r>
        <w:rPr>
          <w:rStyle w:val="VerbatimChar"/>
        </w:rPr>
        <w:t xml:space="preserve">sign_bias_joint_p</w:t>
      </w:r>
      <w:r>
        <w:t xml:space="preserve">): Kiểm tra xem shock dương và âm có ảnh hưởng khác nhau lên variance mà model chưa nắm bắt không. P-value &gt; 0,05 nghĩa là asymmetry đã được model giải quyết.</w:t>
      </w:r>
    </w:p>
    <w:p>
      <w:pPr>
        <w:pStyle w:val="Compact"/>
        <w:numPr>
          <w:ilvl w:val="0"/>
          <w:numId w:val="1010"/>
        </w:numPr>
      </w:pPr>
      <w:r>
        <w:rPr>
          <w:b/>
          <w:bCs/>
        </w:rPr>
        <w:t xml:space="preserve">Nyblom stability</w:t>
      </w:r>
      <w:r>
        <w:t xml:space="preserve"> </w:t>
      </w:r>
      <w:r>
        <w:t xml:space="preserve">(</w:t>
      </w:r>
      <w:r>
        <w:rPr>
          <w:rStyle w:val="VerbatimChar"/>
        </w:rPr>
        <w:t xml:space="preserve">nyblom_joint</w:t>
      </w:r>
      <w:r>
        <w:t xml:space="preserve">): Kiểm tra xem các tham số của model có ổn định trong suốt sample hay thay đổi theo thời gian. Giá trị joint statistic nhỏ hơn ngưỡng 5% (</w:t>
      </w:r>
      <w:r>
        <w:rPr>
          <w:rStyle w:val="VerbatimChar"/>
        </w:rPr>
        <w:t xml:space="preserve">nyblom_5pct_critical</w:t>
      </w:r>
      <w:r>
        <w:t xml:space="preserve">) nghĩa là không có bằng chứng tham số bất ổn.</w:t>
      </w:r>
    </w:p>
    <w:p>
      <w:pPr>
        <w:pStyle w:val="Compact"/>
        <w:numPr>
          <w:ilvl w:val="0"/>
          <w:numId w:val="1010"/>
        </w:numPr>
      </w:pPr>
      <w:r>
        <w:rPr>
          <w:b/>
          <w:bCs/>
        </w:rPr>
        <w:t xml:space="preserve">Adjusted Pearson GOF</w:t>
      </w:r>
      <w:r>
        <w:t xml:space="preserve"> </w:t>
      </w:r>
      <w:r>
        <w:t xml:space="preserve">(</w:t>
      </w:r>
      <w:r>
        <w:rPr>
          <w:rStyle w:val="VerbatimChar"/>
        </w:rPr>
        <w:t xml:space="preserve">pearson_group20_p</w:t>
      </w:r>
      <w:r>
        <w:t xml:space="preserve">): Kiểm tra xem phân phối đã chọn (Normal hoặc Student-t) có fit tốt với dữ liệu không. P-value &gt; 0,05 nghĩa là không bác bỏ distribution fit.</w:t>
      </w:r>
    </w:p>
    <w:p>
      <w:pPr>
        <w:pStyle w:val="FirstParagraph"/>
      </w:pPr>
      <w:r>
        <w:t xml:space="preserve">Kết quả: Ljung-Box (cả residual và squared), ARCH-LM và sign-bias đều chưa bác bỏ H0 ở mức 5% cho cả bốn model — các model đã nắm bắt được cấu trúc mean và variance chính. Tuy nhiên,</w:t>
      </w:r>
      <w:r>
        <w:t xml:space="preserve"> </w:t>
      </w:r>
      <w:r>
        <w:rPr>
          <w:b/>
          <w:bCs/>
        </w:rPr>
        <w:t xml:space="preserve">Nyblom chỉ chấp nhận joint stability cho eGARCH</w:t>
      </w:r>
      <w:r>
        <w:t xml:space="preserve"> </w:t>
      </w:r>
      <w:r>
        <w:t xml:space="preserve">(nhìn cột</w:t>
      </w:r>
      <w:r>
        <w:t xml:space="preserve"> </w:t>
      </w:r>
      <w:r>
        <w:rPr>
          <w:rStyle w:val="VerbatimChar"/>
        </w:rPr>
        <w:t xml:space="preserve">nyblom_joint</w:t>
      </w:r>
      <w:r>
        <w:t xml:space="preserve"> </w:t>
      </w:r>
      <w:r>
        <w:t xml:space="preserve">&lt;</w:t>
      </w:r>
      <w:r>
        <w:t xml:space="preserve"> </w:t>
      </w:r>
      <w:r>
        <w:rPr>
          <w:rStyle w:val="VerbatimChar"/>
        </w:rPr>
        <w:t xml:space="preserve">nyblom_5pct_critical</w:t>
      </w:r>
      <w:r>
        <w:t xml:space="preserve">); ba model còn lại có tham số có thể không ổn định qua thời gian.</w:t>
      </w:r>
      <w:r>
        <w:t xml:space="preserve"> </w:t>
      </w:r>
      <w:r>
        <w:rPr>
          <w:b/>
          <w:bCs/>
        </w:rPr>
        <w:t xml:space="preserve">Adjusted Pearson GOF bác bỏ distribution fit</w:t>
      </w:r>
      <w:r>
        <w:t xml:space="preserve"> </w:t>
      </w:r>
      <w:r>
        <w:t xml:space="preserve">ở cả bốn specification — đây là hạn chế chung.</w:t>
      </w:r>
    </w:p>
    <w:bookmarkEnd w:id="63"/>
    <w:bookmarkStart w:id="64"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Bảng tham số gồm hai loại inference:</w:t>
      </w:r>
      <w:r>
        <w:t xml:space="preserve"> </w:t>
      </w:r>
      <w:r>
        <w:rPr>
          <w:b/>
          <w:bCs/>
        </w:rPr>
        <w:t xml:space="preserve">conventional</w:t>
      </w:r>
      <w:r>
        <w:t xml:space="preserve"> </w:t>
      </w:r>
      <w:r>
        <w:t xml:space="preserve">(giả định distribution đúng) và</w:t>
      </w:r>
      <w:r>
        <w:t xml:space="preserve"> </w:t>
      </w:r>
      <w:r>
        <w:rPr>
          <w:b/>
          <w:bCs/>
        </w:rPr>
        <w:t xml:space="preserve">robust</w:t>
      </w:r>
      <w:r>
        <w:t xml:space="preserve"> </w:t>
      </w:r>
      <w:r>
        <w:t xml:space="preserve">(không yêu cầu distribution đúng hoàn toàn). Vì Pearson GOF đã bác bỏ distribution fit,</w:t>
      </w:r>
      <w:r>
        <w:t xml:space="preserve"> </w:t>
      </w:r>
      <w:r>
        <w:rPr>
          <w:b/>
          <w:bCs/>
        </w:rPr>
        <w:t xml:space="preserve">robust inference quan trọng hơn</w:t>
      </w:r>
      <w:r>
        <w:t xml:space="preserve">. Cách đọc: so sánh cột</w:t>
      </w:r>
      <w:r>
        <w:t xml:space="preserve"> </w:t>
      </w:r>
      <w:r>
        <w:rPr>
          <w:rStyle w:val="VerbatimChar"/>
        </w:rPr>
        <w:t xml:space="preserve">p_value</w:t>
      </w:r>
      <w:r>
        <w:t xml:space="preserve"> </w:t>
      </w:r>
      <w:r>
        <w:t xml:space="preserve">và</w:t>
      </w:r>
      <w:r>
        <w:t xml:space="preserve"> </w:t>
      </w:r>
      <w:r>
        <w:rPr>
          <w:rStyle w:val="VerbatimChar"/>
        </w:rPr>
        <w:t xml:space="preserve">robust_p_value</w:t>
      </w:r>
      <w:r>
        <w:t xml:space="preserve"> </w:t>
      </w:r>
      <w:r>
        <w:t xml:space="preserve">của từng tham số — nếu một tham số có conventional p-value nhỏ nhưng robust p-value lớn, không nên diễn giải mạnh rằng tham số đó có ý nghĩa.</w:t>
      </w:r>
      <w:r>
        <w:t xml:space="preserve"> </w:t>
      </w:r>
      <w:r>
        <w:rPr>
          <w:rStyle w:val="VerbatimChar"/>
        </w:rPr>
        <w:t xml:space="preserve">beta1</w:t>
      </w:r>
      <w:r>
        <w:t xml:space="preserve"> </w:t>
      </w:r>
      <w:r>
        <w:t xml:space="preserve">của eGARCH gần 1 cho thấy volatility có memory dài theo parameterization của model — shock trong quá khứ ảnh hưởng đến phương sai hiện tại rất lâu. Lưu ý: không cộng</w:t>
      </w:r>
      <w:r>
        <w:t xml:space="preserve"> </w:t>
      </w:r>
      <w:r>
        <w:rPr>
          <w:rStyle w:val="VerbatimChar"/>
        </w:rPr>
        <w:t xml:space="preserve">alpha1 + beta1</w:t>
      </w:r>
      <w:r>
        <w:t xml:space="preserve"> </w:t>
      </w:r>
      <w:r>
        <w:t xml:space="preserve">như sGARCH vì eGARCH mô hình hóa</w:t>
      </w:r>
      <w:r>
        <w:t xml:space="preserve"> </w:t>
      </w:r>
      <m:oMath>
        <m:r>
          <m:rPr>
            <m:sty m:val="p"/>
          </m:rPr>
          <m:t>log</m:t>
        </m:r>
        <m:r>
          <m:rPr>
            <m:sty m:val="p"/>
          </m:rPr>
          <m:t>(</m:t>
        </m:r>
        <m:sSubSup>
          <m:e>
            <m:r>
              <m:t>σ</m:t>
            </m:r>
          </m:e>
          <m:sub>
            <m:r>
              <m:t>t</m:t>
            </m:r>
          </m:sub>
          <m:sup>
            <m:r>
              <m:t>2</m:t>
            </m:r>
          </m:sup>
        </m:sSubSup>
        <m:r>
          <m:rPr>
            <m:sty m:val="p"/>
          </m:rPr>
          <m:t>)</m:t>
        </m:r>
      </m:oMath>
      <w:r>
        <w:t xml:space="preserve">, không phải</w:t>
      </w:r>
      <w:r>
        <w:t xml:space="preserve"> </w:t>
      </w:r>
      <m:oMath>
        <m:sSubSup>
          <m:e>
            <m:r>
              <m:t>σ</m:t>
            </m:r>
          </m:e>
          <m:sub>
            <m:r>
              <m:t>t</m:t>
            </m:r>
          </m:sub>
          <m:sup>
            <m:r>
              <m:t>2</m:t>
            </m:r>
          </m:sup>
        </m:sSubSup>
      </m:oMath>
      <w:r>
        <w:t xml:space="preserve">.</w:t>
      </w:r>
    </w:p>
    <w:bookmarkEnd w:id="64"/>
    <w:bookmarkStart w:id="74"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6" name="Picture"/>
            <a:graphic>
              <a:graphicData uri="http://schemas.openxmlformats.org/drawingml/2006/picture">
                <pic:pic>
                  <pic:nvPicPr>
                    <pic:cNvPr descr="report_files/ef53e153bad1ed53bb918cdd5108976475da0254.png" id="67" name="Picture"/>
                    <pic:cNvPicPr>
                      <a:picLocks noChangeArrowheads="1" noChangeAspect="1"/>
                    </pic:cNvPicPr>
                  </pic:nvPicPr>
                  <pic:blipFill>
                    <a:blip r:embed="rId65"/>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Biểu đồ vẽ bốn đường conditional volatility (</w:t>
      </w:r>
      <m:oMath>
        <m:sSub>
          <m:e>
            <m:r>
              <m:t>σ</m:t>
            </m:r>
          </m:e>
          <m:sub>
            <m:r>
              <m:t>t</m:t>
            </m:r>
          </m:sub>
        </m:sSub>
      </m:oMath>
      <w:r>
        <w:t xml:space="preserve">) theo thời gian, mỗi đường tương ứng một GARCH specification. Cần chú ý: (1) bốn đường</w:t>
      </w:r>
      <w:r>
        <w:t xml:space="preserve"> </w:t>
      </w:r>
      <w:r>
        <w:rPr>
          <w:b/>
          <w:bCs/>
        </w:rPr>
        <w:t xml:space="preserve">broadly đồng biến</w:t>
      </w:r>
      <w:r>
        <w:t xml:space="preserve"> </w:t>
      </w:r>
      <w:r>
        <w:t xml:space="preserve">— cùng tăng và giảm theo các giai đoạn, xác nhận rằng các specification đều phát hiện cùng các cụm biến động; (2) các</w:t>
      </w:r>
      <w:r>
        <w:t xml:space="preserve"> </w:t>
      </w:r>
      <w:r>
        <w:rPr>
          <w:b/>
          <w:bCs/>
        </w:rPr>
        <w:t xml:space="preserve">đỉnh (peaks)</w:t>
      </w:r>
      <w:r>
        <w:t xml:space="preserve"> </w:t>
      </w:r>
      <w:r>
        <w:t xml:space="preserve">tương ứng các giai đoạn model ước lượng conditional volatility cao — nhưng báo cáo không tự gán nguyên nhân sự kiện nếu chưa có nguồn bên ngoài xác nhận; (3) sự khác biệt giữa các đường thể hiện ở độ nhạy với shock — eGARCH và GJR có thể phản ứng khác nhau với shock âm do cấu trúc bất đối xứng.</w:t>
      </w:r>
    </w:p>
    <w:p>
      <w:pPr>
        <w:pStyle w:val="CaptionedFigure"/>
      </w:pPr>
      <w:r>
        <w:drawing>
          <wp:inline>
            <wp:extent cx="5067300" cy="2714625"/>
            <wp:effectExtent b="0" l="0" r="0" t="0"/>
            <wp:docPr descr="ACF standardized residual và squared standardized residual" title="" id="69" name="Picture"/>
            <a:graphic>
              <a:graphicData uri="http://schemas.openxmlformats.org/drawingml/2006/picture">
                <pic:pic>
                  <pic:nvPicPr>
                    <pic:cNvPr descr="report_files/cd953a7a2a5a9f7512c96fab26871cc62d0469f9.png" id="70" name="Picture"/>
                    <pic:cNvPicPr>
                      <a:picLocks noChangeArrowheads="1" noChangeAspect="1"/>
                    </pic:cNvPicPr>
                  </pic:nvPicPr>
                  <pic:blipFill>
                    <a:blip r:embed="rId68"/>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2" name="Picture"/>
            <a:graphic>
              <a:graphicData uri="http://schemas.openxmlformats.org/drawingml/2006/picture">
                <pic:pic>
                  <pic:nvPicPr>
                    <pic:cNvPr descr="report_files/3a07c567705fc3134a94f1decac1d74b3c9e7f08.png" id="73" name="Picture"/>
                    <pic:cNvPicPr>
                      <a:picLocks noChangeArrowheads="1" noChangeAspect="1"/>
                    </pic:cNvPicPr>
                  </pic:nvPicPr>
                  <pic:blipFill>
                    <a:blip r:embed="rId71"/>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cho thấy cách conditional variance phản ứng với standardized shock</w:t>
      </w:r>
      <w:r>
        <w:t xml:space="preserve"> </w:t>
      </w:r>
      <m:oMath>
        <m:sSub>
          <m:e>
            <m:r>
              <m:t>z</m:t>
            </m:r>
          </m:e>
          <m:sub>
            <m:r>
              <m:t>t</m:t>
            </m:r>
          </m:sub>
        </m:sSub>
      </m:oMath>
      <w:r>
        <w:t xml:space="preserve"> </w:t>
      </w:r>
      <w:r>
        <w:t xml:space="preserve">có độ lớn khác nhau. Trục X là độ lớn shock (giá trị âm = shock giảm giá, dương = shock tăng giá), trục Y là conditional variance kết quả. Nếu đường cong</w:t>
      </w:r>
      <w:r>
        <w:t xml:space="preserve"> </w:t>
      </w:r>
      <w:r>
        <w:rPr>
          <w:b/>
          <w:bCs/>
        </w:rPr>
        <w:t xml:space="preserve">đối xứng</w:t>
      </w:r>
      <w:r>
        <w:t xml:space="preserve"> </w:t>
      </w:r>
      <w:r>
        <w:t xml:space="preserve">qua</w:t>
      </w:r>
      <w:r>
        <w:t xml:space="preserve"> </w:t>
      </w:r>
      <m:oMath>
        <m:sSub>
          <m:e>
            <m:r>
              <m:t>z</m:t>
            </m:r>
          </m:e>
          <m:sub>
            <m:r>
              <m:t>t</m:t>
            </m:r>
          </m:sub>
        </m:sSub>
        <m:r>
          <m:rPr>
            <m:sty m:val="p"/>
          </m:rPr>
          <m:t>=</m:t>
        </m:r>
        <m:r>
          <m:t>0</m:t>
        </m:r>
      </m:oMath>
      <w:r>
        <w:t xml:space="preserve">, shock âm và dương cùng độ lớn tác động như nhau. Nếu đường cong</w:t>
      </w:r>
      <w:r>
        <w:t xml:space="preserve"> </w:t>
      </w:r>
      <w:r>
        <w:rPr>
          <w:b/>
          <w:bCs/>
        </w:rPr>
        <w:t xml:space="preserve">dốc hơn ở phía âm</w:t>
      </w:r>
      <w:r>
        <w:t xml:space="preserve">, shock giảm giá làm tăng volatility mạnh hơn shock tăng giá cùng độ lớn — đây là hiệu ứng bất đối xứng (leverage effect) phổ biến trong tài chính. Việc diễn giải leverage cụ thể phải dựa trên dấu, parameterization và robust significance của package.</w:t>
      </w:r>
    </w:p>
    <w:bookmarkEnd w:id="74"/>
    <w:bookmarkStart w:id="75"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5"/>
    <w:bookmarkEnd w:id="76"/>
    <w:bookmarkStart w:id="80" w:name="kết-luận-hạn-chế-và-hướng-phát-triển"/>
    <w:p>
      <w:pPr>
        <w:pStyle w:val="Heading1"/>
      </w:pPr>
      <w:r>
        <w:rPr>
          <w:rStyle w:val="SectionNumber"/>
        </w:rPr>
        <w:t xml:space="preserve">6</w:t>
      </w:r>
      <w:r>
        <w:tab/>
      </w:r>
      <w:r>
        <w:t xml:space="preserve">Kết luận, hạn chế và hướng phát triển</w:t>
      </w:r>
    </w:p>
    <w:bookmarkStart w:id="77" w:name="kết-luận"/>
    <w:p>
      <w:pPr>
        <w:pStyle w:val="Heading2"/>
      </w:pPr>
      <w:r>
        <w:rPr>
          <w:rStyle w:val="SectionNumber"/>
        </w:rPr>
        <w:t xml:space="preserve">6.1</w:t>
      </w:r>
      <w:r>
        <w:tab/>
      </w:r>
      <w:r>
        <w:t xml:space="preserve">Kết luận</w:t>
      </w:r>
    </w:p>
    <w:p>
      <w:pPr>
        <w:pStyle w:val="Compact"/>
        <w:numPr>
          <w:ilvl w:val="0"/>
          <w:numId w:val="1011"/>
        </w:numPr>
      </w:pPr>
      <w:r>
        <w:t xml:space="preserve">Raw data có 2,960 dòng; sau khi loại 173 hàng volume bằng 0 và chuẩn hóa 1 OHLC row, dữ liệu model còn 2,787 dòng và 2,786 log returns.</w:t>
      </w:r>
    </w:p>
    <w:p>
      <w:pPr>
        <w:pStyle w:val="Compact"/>
        <w:numPr>
          <w:ilvl w:val="0"/>
          <w:numId w:val="1011"/>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11"/>
        </w:numPr>
      </w:pPr>
      <w:r>
        <w:t xml:space="preserve">ETS Damped dẫn holdout theo RMSE nhưng chỉ hơn Naive 0.72; Naive dẫn rolling CV; mọi fitted forecast model còn residual autocorrelation.</w:t>
      </w:r>
    </w:p>
    <w:p>
      <w:pPr>
        <w:pStyle w:val="Compact"/>
        <w:numPr>
          <w:ilvl w:val="0"/>
          <w:numId w:val="1011"/>
        </w:numPr>
      </w:pPr>
      <w:r>
        <w:t xml:space="preserve">Pre-fit ARCH-LM phát hiện ARCH effect. Student-t cải thiện relative fit so với Normal trong GARCH.</w:t>
      </w:r>
    </w:p>
    <w:p>
      <w:pPr>
        <w:pStyle w:val="Compact"/>
        <w:numPr>
          <w:ilvl w:val="0"/>
          <w:numId w:val="1011"/>
        </w:numPr>
      </w:pPr>
      <w:r>
        <w:t xml:space="preserve">GJR có AIC thấp nhất nhưng parameter stability không đạt; eGARCH-Student-t là ứng viên cân bằng nhờ fit gần GJR, core diagnostics và Nyblom stability đạt.</w:t>
      </w:r>
    </w:p>
    <w:p>
      <w:pPr>
        <w:pStyle w:val="Compact"/>
        <w:numPr>
          <w:ilvl w:val="0"/>
          <w:numId w:val="1011"/>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77"/>
    <w:bookmarkStart w:id="78" w:name="hạn-chế"/>
    <w:p>
      <w:pPr>
        <w:pStyle w:val="Heading2"/>
      </w:pPr>
      <w:r>
        <w:rPr>
          <w:rStyle w:val="SectionNumber"/>
        </w:rPr>
        <w:t xml:space="preserve">6.2</w:t>
      </w:r>
      <w:r>
        <w:tab/>
      </w:r>
      <w:r>
        <w:t xml:space="preserve">Hạn chế</w:t>
      </w:r>
    </w:p>
    <w:p>
      <w:pPr>
        <w:pStyle w:val="Compact"/>
        <w:numPr>
          <w:ilvl w:val="0"/>
          <w:numId w:val="1012"/>
        </w:numPr>
      </w:pPr>
      <w:r>
        <w:t xml:space="preserve">Chỉ sử dụng lịch sử một cổ phiếu từ một nhà cung cấp.</w:t>
      </w:r>
    </w:p>
    <w:p>
      <w:pPr>
        <w:pStyle w:val="Compact"/>
        <w:numPr>
          <w:ilvl w:val="0"/>
          <w:numId w:val="1012"/>
        </w:numPr>
      </w:pPr>
      <w:r>
        <w:t xml:space="preserve">Holdout 30 phiên ngắn; kết quả nhạy với cửa sổ đánh giá.</w:t>
      </w:r>
    </w:p>
    <w:p>
      <w:pPr>
        <w:pStyle w:val="Compact"/>
        <w:numPr>
          <w:ilvl w:val="0"/>
          <w:numId w:val="1012"/>
        </w:numPr>
      </w:pPr>
      <w:r>
        <w:t xml:space="preserve">SARIMA và ARIMAX chưa có rolling CV cùng coverage.</w:t>
      </w:r>
    </w:p>
    <w:p>
      <w:pPr>
        <w:pStyle w:val="Compact"/>
        <w:numPr>
          <w:ilvl w:val="0"/>
          <w:numId w:val="1012"/>
        </w:numPr>
      </w:pPr>
      <w:r>
        <w:t xml:space="preserve">Tất cả fitted forecast models còn residual autocorrelation.</w:t>
      </w:r>
    </w:p>
    <w:p>
      <w:pPr>
        <w:pStyle w:val="Compact"/>
        <w:numPr>
          <w:ilvl w:val="0"/>
          <w:numId w:val="1012"/>
        </w:numPr>
      </w:pPr>
      <w:r>
        <w:t xml:space="preserve">Ba trong bốn GARCH không đạt Nyblom joint stability.</w:t>
      </w:r>
    </w:p>
    <w:p>
      <w:pPr>
        <w:pStyle w:val="Compact"/>
        <w:numPr>
          <w:ilvl w:val="0"/>
          <w:numId w:val="1012"/>
        </w:numPr>
      </w:pPr>
      <w:r>
        <w:t xml:space="preserve">Pearson GOF bác bỏ distribution fit ở cả bốn GARCH.</w:t>
      </w:r>
    </w:p>
    <w:p>
      <w:pPr>
        <w:pStyle w:val="Compact"/>
        <w:numPr>
          <w:ilvl w:val="0"/>
          <w:numId w:val="1012"/>
        </w:numPr>
      </w:pPr>
      <w:r>
        <w:t xml:space="preserve">Chưa có out-of-sample volatility loss hoặc VaR backtest.</w:t>
      </w:r>
    </w:p>
    <w:p>
      <w:pPr>
        <w:pStyle w:val="Compact"/>
        <w:numPr>
          <w:ilvl w:val="0"/>
          <w:numId w:val="1012"/>
        </w:numPr>
      </w:pPr>
      <w:r>
        <w:t xml:space="preserve">Chưa kiểm tra structural breaks một cách chuyên biệt.</w:t>
      </w:r>
    </w:p>
    <w:bookmarkEnd w:id="78"/>
    <w:bookmarkStart w:id="79" w:name="hướng-phát-triển"/>
    <w:p>
      <w:pPr>
        <w:pStyle w:val="Heading2"/>
      </w:pPr>
      <w:r>
        <w:rPr>
          <w:rStyle w:val="SectionNumber"/>
        </w:rPr>
        <w:t xml:space="preserve">6.3</w:t>
      </w:r>
      <w:r>
        <w:tab/>
      </w:r>
      <w:r>
        <w:t xml:space="preserve">Hướng phát triển</w:t>
      </w:r>
    </w:p>
    <w:p>
      <w:pPr>
        <w:pStyle w:val="Compact"/>
        <w:numPr>
          <w:ilvl w:val="0"/>
          <w:numId w:val="1013"/>
        </w:numPr>
      </w:pPr>
      <w:r>
        <w:t xml:space="preserve">Chạy cùng rolling-origin folds cho toàn bộ forecast models.</w:t>
      </w:r>
    </w:p>
    <w:p>
      <w:pPr>
        <w:pStyle w:val="Compact"/>
        <w:numPr>
          <w:ilvl w:val="0"/>
          <w:numId w:val="1013"/>
        </w:numPr>
      </w:pPr>
      <w:r>
        <w:t xml:space="preserve">Bổ sung MASE và prediction-interval coverage.</w:t>
      </w:r>
    </w:p>
    <w:p>
      <w:pPr>
        <w:pStyle w:val="Compact"/>
        <w:numPr>
          <w:ilvl w:val="0"/>
          <w:numId w:val="1013"/>
        </w:numPr>
      </w:pPr>
      <w:r>
        <w:t xml:space="preserve">Dùng rolling/expanding evaluation cho volatility với QLIKE hoặc MSE trên variance proxy.</w:t>
      </w:r>
    </w:p>
    <w:p>
      <w:pPr>
        <w:pStyle w:val="Compact"/>
        <w:numPr>
          <w:ilvl w:val="0"/>
          <w:numId w:val="1013"/>
        </w:numPr>
      </w:pPr>
      <w:r>
        <w:t xml:space="preserve">Thực hiện VaR backtest bằng Kupiec và Christoffersen.</w:t>
      </w:r>
    </w:p>
    <w:p>
      <w:pPr>
        <w:pStyle w:val="Compact"/>
        <w:numPr>
          <w:ilvl w:val="0"/>
          <w:numId w:val="1013"/>
        </w:numPr>
      </w:pPr>
      <w:r>
        <w:t xml:space="preserve">Thử skewed Student-t/GED và kiểm tra distribution fit.</w:t>
      </w:r>
    </w:p>
    <w:p>
      <w:pPr>
        <w:pStyle w:val="Compact"/>
        <w:numPr>
          <w:ilvl w:val="0"/>
          <w:numId w:val="1013"/>
        </w:numPr>
      </w:pPr>
      <w:r>
        <w:t xml:space="preserve">Kiểm tra structural breaks hoặc regime-switching.</w:t>
      </w:r>
    </w:p>
    <w:p>
      <w:pPr>
        <w:pStyle w:val="Compact"/>
        <w:numPr>
          <w:ilvl w:val="0"/>
          <w:numId w:val="1013"/>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79"/>
    <w:bookmarkEnd w:id="80"/>
    <w:bookmarkStart w:id="83" w:name="phụ-lục"/>
    <w:p>
      <w:pPr>
        <w:pStyle w:val="Heading1"/>
      </w:pPr>
      <w:r>
        <w:rPr>
          <w:rStyle w:val="SectionNumber"/>
        </w:rPr>
        <w:t xml:space="preserve">7</w:t>
      </w:r>
      <w:r>
        <w:tab/>
      </w:r>
      <w:r>
        <w:t xml:space="preserve">Phụ lục</w:t>
      </w:r>
    </w:p>
    <w:bookmarkStart w:id="81"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1"/>
    <w:bookmarkStart w:id="82"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14"/>
        </w:numPr>
      </w:pPr>
      <w:r>
        <w:t xml:space="preserve">P-value nhỏ hơn 0,05: bác bỏ H0 ở mức 5%.</w:t>
      </w:r>
    </w:p>
    <w:p>
      <w:pPr>
        <w:pStyle w:val="Compact"/>
        <w:numPr>
          <w:ilvl w:val="0"/>
          <w:numId w:val="1014"/>
        </w:numPr>
      </w:pPr>
      <w:r>
        <w:t xml:space="preserve">P-value lớn hơn hoặc bằng 0,05: chưa đủ bằng chứng bác bỏ H0.</w:t>
      </w:r>
    </w:p>
    <w:p>
      <w:pPr>
        <w:pStyle w:val="Compact"/>
        <w:numPr>
          <w:ilvl w:val="0"/>
          <w:numId w:val="1014"/>
        </w:numPr>
      </w:pPr>
      <w:r>
        <w:t xml:space="preserve">P-value lớn không chứng minh H0 đúng hoặc model hoàn hảo.</w:t>
      </w:r>
    </w:p>
    <w:p>
      <w:pPr>
        <w:pStyle w:val="Compact"/>
        <w:numPr>
          <w:ilvl w:val="0"/>
          <w:numId w:val="1014"/>
        </w:numPr>
      </w:pPr>
      <w:r>
        <w:t xml:space="preserve">AIC/BIC chỉ so sánh các model dùng cùng response và sample.</w:t>
      </w:r>
    </w:p>
    <w:p>
      <w:pPr>
        <w:pStyle w:val="Compact"/>
        <w:numPr>
          <w:ilvl w:val="0"/>
          <w:numId w:val="1014"/>
        </w:numPr>
      </w:pPr>
      <w:r>
        <w:t xml:space="preserve">Metric holdout/CV đánh giá ngoài mẫu; AIC/BIC đánh giá relative in-sample fit.</w:t>
      </w:r>
    </w:p>
    <w:bookmarkEnd w:id="82"/>
    <w:bookmarkEnd w:id="83"/>
    <w:bookmarkStart w:id="84"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4"/>
    <w:bookmarkStart w:id="85" w:name="tài-liệu-tham-khảo"/>
    <w:p>
      <w:pPr>
        <w:pStyle w:val="Heading1"/>
      </w:pPr>
      <w:r>
        <w:rPr>
          <w:rStyle w:val="SectionNumber"/>
        </w:rPr>
        <w:t xml:space="preserve">9</w:t>
      </w:r>
      <w:r>
        <w:tab/>
      </w:r>
      <w:r>
        <w:t xml:space="preserve">Tài liệu tham khảo</w:t>
      </w:r>
    </w:p>
    <w:p>
      <w:pPr>
        <w:pStyle w:val="Compact"/>
        <w:numPr>
          <w:ilvl w:val="0"/>
          <w:numId w:val="1015"/>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15"/>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15"/>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15"/>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15"/>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15"/>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15"/>
        </w:numPr>
      </w:pPr>
      <w:r>
        <w:t xml:space="preserve">Ghalanos, A.</w:t>
      </w:r>
      <w:r>
        <w:t xml:space="preserve"> </w:t>
      </w:r>
      <w:r>
        <w:rPr>
          <w:i/>
          <w:iCs/>
        </w:rPr>
        <w:t xml:space="preserve">rugarch: Univariate GARCH Models</w:t>
      </w:r>
      <w:r>
        <w:t xml:space="preserve">. R package documentation.</w:t>
      </w:r>
    </w:p>
    <w:p>
      <w:pPr>
        <w:pStyle w:val="Compact"/>
        <w:numPr>
          <w:ilvl w:val="0"/>
          <w:numId w:val="1015"/>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5"/>
    <w:bookmarkStart w:id="86"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5" Target="media/rId6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2026-06-24T06:25:41Z</dcterms:created>
  <dcterms:modified xsi:type="dcterms:W3CDTF">2026-06-24T06:25:41Z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