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30.png" ContentType="image/png"/>
  <Override PartName="/word/media/rId74.png" ContentType="image/png"/>
  <Override PartName="/word/media/rId41.png" ContentType="image/png"/>
  <Override PartName="/word/media/rId27.png" ContentType="image/png"/>
  <Override PartName="/word/media/rId58.png" ContentType="image/png"/>
  <Override PartName="/word/media/rId55.png" ContentType="image/png"/>
  <Override PartName="/word/media/rId37.png" ContentType="image/png"/>
  <Override PartName="/word/media/rId71.png" ContentType="image/png"/>
  <Override PartName="/word/media/rId34.png" ContentType="image/png"/>
  <Override PartName="/word/media/rId44.png" ContentType="image/png"/>
  <Override PartName="/word/media/rId6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Dự báo giá và phân tích biến động cổ phiếu FPT bằng mô hình chuỗi thời gian</w:t>
      </w:r>
    </w:p>
    <w:p>
      <w:pPr>
        <w:pStyle w:val="Subtitle"/>
      </w:pPr>
      <w:r>
        <w:t xml:space="preserve">Môn: Lập trình R cho phân tích - Nhóm 06 | Giảng viên: TS. Phan Thị Thể</w:t>
      </w:r>
    </w:p>
    <w:p>
      <w:pPr>
        <w:pStyle w:val="Author"/>
      </w:pPr>
      <w:r>
        <w:t xml:space="preserve">Trần Thiên Lực - 24133037; Nguyễn Đức Học - 24162039; Lê Đặng Hoàng Anh - 24162006</w:t>
      </w:r>
    </w:p>
    <w:p>
      <w:pPr>
        <w:pStyle w:val="Date"/>
      </w:pPr>
      <w:r>
        <w:t xml:space="preserve">22/06/2026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tóm-tắt"/>
    <w:p>
      <w:pPr>
        <w:pStyle w:val="Heading1"/>
      </w:pPr>
      <w:r>
        <w:t xml:space="preserve">Tóm tắt</w:t>
      </w:r>
    </w:p>
    <w:p>
      <w:pPr>
        <w:pStyle w:val="FirstParagraph"/>
      </w:pPr>
      <w:r>
        <w:t xml:space="preserve">Nghiên cứu xây dựng một pipeline R có thể tái lập để phân tích cổ phiếu FPT trong giai đoạn 2015-01-05 đến 2026-06-08. Dữ liệu Yahoo Finance được kiểm tra chất lượng, trực quan hóa, kiểm định tính dừng, dùng để đánh giá bảy phương pháp dự báo giá và bốn specification GARCH. Hai bài toán được tách biệt: dự báo mức giá đóng cửa và mô hình hóa phương sai có điều kiện của log return.</w:t>
      </w:r>
    </w:p>
    <w:p>
      <w:pPr>
        <w:pStyle w:val="BodyText"/>
      </w:pPr>
      <w:r>
        <w:t xml:space="preserve">Trên holdout 30 phiên, ETS Damped có RMSE thấp nhất (1,939.13), nhưng chỉ thấp hơn Naive 0.72 đơn vị. Trong rolling-origin CV, Naive dẫn đầu nhóm có cùng coverage với mean RMSE 5,353.94. Ljung-Box bác bỏ giả thuyết white-noise residual cho tất cả fitted forecast models, nên chưa có bằng chứng mô hình phức tạp cải thiện Naive một cách ổn định. Với volatility, eGARCH-Student-t là ứng viên cân bằng nhờ AIC gần GJR-GARCH, core residual diagnostics đạt và Nyblom joint stability không bị bác bỏ; adjusted Pearson GOF vẫn là hạn chế.</w:t>
      </w:r>
    </w:p>
    <w:p>
      <w:pPr>
        <w:pStyle w:val="BodyText"/>
      </w:pPr>
      <w:r>
        <w:rPr>
          <w:b/>
          <w:bCs/>
        </w:rPr>
        <w:t xml:space="preserve">Từ khóa:</w:t>
      </w:r>
      <w:r>
        <w:t xml:space="preserve"> </w:t>
      </w:r>
      <w:r>
        <w:t xml:space="preserve">FPT, chuỗi thời gian, ARIMA, ETS, GARCH, volatility, R.</w:t>
      </w:r>
    </w:p>
    <w:p>
      <w:r>
        <w:br w:type="page"/>
      </w:r>
    </w:p>
    <w:bookmarkEnd w:id="9"/>
    <w:bookmarkStart w:id="14" w:name="giới-thiệu"/>
    <w:p>
      <w:pPr>
        <w:pStyle w:val="Heading1"/>
      </w:pPr>
      <w:r>
        <w:rPr>
          <w:rStyle w:val="SectionNumber"/>
        </w:rPr>
        <w:t xml:space="preserve">1</w:t>
      </w:r>
      <w:r>
        <w:tab/>
      </w:r>
      <w:r>
        <w:t xml:space="preserve">Giới thiệu</w:t>
      </w:r>
    </w:p>
    <w:bookmarkStart w:id="10" w:name="bối-cảnh"/>
    <w:p>
      <w:pPr>
        <w:pStyle w:val="Heading2"/>
      </w:pPr>
      <w:r>
        <w:rPr>
          <w:rStyle w:val="SectionNumber"/>
        </w:rPr>
        <w:t xml:space="preserve">1.1</w:t>
      </w:r>
      <w:r>
        <w:tab/>
      </w:r>
      <w:r>
        <w:t xml:space="preserve">Bối cảnh</w:t>
      </w:r>
    </w:p>
    <w:p>
      <w:pPr>
        <w:pStyle w:val="FirstParagraph"/>
      </w:pPr>
      <w:r>
        <w:t xml:space="preserve">Giá cổ phiếu là chuỗi thời gian có thứ tự, thường chứa xu hướng dài hạn và mức biến động thay đổi theo từng giai đoạn. Vì vậy, dự án không xem “dự báo giá” và “đo lường biến động” là cùng một bài toán. Dự báo giá tập trung vào conditional mean của mức giá, còn GARCH tập trung vào conditional variance của log return.</w:t>
      </w:r>
    </w:p>
    <w:p>
      <w:pPr>
        <w:pStyle w:val="BodyText"/>
      </w:pPr>
      <w:r>
        <w:t xml:space="preserve">FPT được chọn vì repository có chuỗi OHLCV dài hơn 11 năm và đủ quan sát để thực hành cleaning, kiểm định, đánh giá ngoài mẫu và mô hình hóa volatility. Việc chọn FPT chỉ phục vụ mục tiêu học thuật; dự án không đánh giá giá trị nội tại và không đưa ra khuyến nghị mua bán.</w:t>
      </w:r>
    </w:p>
    <w:bookmarkEnd w:id="10"/>
    <w:bookmarkStart w:id="11" w:name="câu-hỏi-nghiên-cứu"/>
    <w:p>
      <w:pPr>
        <w:pStyle w:val="Heading2"/>
      </w:pPr>
      <w:r>
        <w:rPr>
          <w:rStyle w:val="SectionNumber"/>
        </w:rPr>
        <w:t xml:space="preserve">1.2</w:t>
      </w:r>
      <w:r>
        <w:tab/>
      </w:r>
      <w:r>
        <w:t xml:space="preserve">Câu hỏi nghiên cứu</w:t>
      </w:r>
    </w:p>
    <w:p>
      <w:pPr>
        <w:pStyle w:val="Compact"/>
        <w:numPr>
          <w:ilvl w:val="0"/>
          <w:numId w:val="1001"/>
        </w:numPr>
      </w:pPr>
      <w:r>
        <w:rPr>
          <w:rStyle w:val="VerbatimChar"/>
        </w:rPr>
        <w:t xml:space="preserve">close</w:t>
      </w:r>
      <w:r>
        <w:t xml:space="preserve">,</w:t>
      </w:r>
      <w:r>
        <w:t xml:space="preserve"> </w:t>
      </w:r>
      <w:r>
        <w:rPr>
          <w:rStyle w:val="VerbatimChar"/>
        </w:rPr>
        <w:t xml:space="preserve">log_close</w:t>
      </w:r>
      <w:r>
        <w:t xml:space="preserve"> </w:t>
      </w:r>
      <w:r>
        <w:t xml:space="preserve">và</w:t>
      </w:r>
      <w:r>
        <w:t xml:space="preserve"> </w:t>
      </w:r>
      <w:r>
        <w:rPr>
          <w:rStyle w:val="VerbatimChar"/>
        </w:rPr>
        <w:t xml:space="preserve">return</w:t>
      </w:r>
      <w:r>
        <w:t xml:space="preserve"> </w:t>
      </w:r>
      <w:r>
        <w:t xml:space="preserve">có dừng hay không?</w:t>
      </w:r>
    </w:p>
    <w:p>
      <w:pPr>
        <w:pStyle w:val="Compact"/>
        <w:numPr>
          <w:ilvl w:val="0"/>
          <w:numId w:val="1001"/>
        </w:numPr>
      </w:pPr>
      <w:r>
        <w:t xml:space="preserve">ARIMA, SARIMA, ETS, ETS Damped hoặc ARIMAX có cải thiện Naive/Drift ngoài mẫu không?</w:t>
      </w:r>
    </w:p>
    <w:p>
      <w:pPr>
        <w:pStyle w:val="Compact"/>
        <w:numPr>
          <w:ilvl w:val="0"/>
          <w:numId w:val="1001"/>
        </w:numPr>
      </w:pPr>
      <w:r>
        <w:t xml:space="preserve">Kết luận từ một holdout 30 phiên có ổn định qua rolling-origin CV không?</w:t>
      </w:r>
    </w:p>
    <w:p>
      <w:pPr>
        <w:pStyle w:val="Compact"/>
        <w:numPr>
          <w:ilvl w:val="0"/>
          <w:numId w:val="1001"/>
        </w:numPr>
      </w:pPr>
      <w:r>
        <w:t xml:space="preserve">Return có ARCH effect và volatility clustering không?</w:t>
      </w:r>
    </w:p>
    <w:p>
      <w:pPr>
        <w:pStyle w:val="Compact"/>
        <w:numPr>
          <w:ilvl w:val="0"/>
          <w:numId w:val="1001"/>
        </w:numPr>
      </w:pPr>
      <w:r>
        <w:t xml:space="preserve">Student-t và cấu trúc bất đối xứng có cải thiện sGARCH-Normal không?</w:t>
      </w:r>
    </w:p>
    <w:p>
      <w:pPr>
        <w:pStyle w:val="Compact"/>
        <w:numPr>
          <w:ilvl w:val="0"/>
          <w:numId w:val="1001"/>
        </w:numPr>
      </w:pPr>
      <w:r>
        <w:t xml:space="preserve">Sau khi fit GARCH, residual dynamics, sign bias, parameter instability hoặc distribution misfit còn tồn tại không?</w:t>
      </w:r>
    </w:p>
    <w:bookmarkEnd w:id="11"/>
    <w:bookmarkStart w:id="12" w:name="mục-tiêu-và-phạm-vi"/>
    <w:p>
      <w:pPr>
        <w:pStyle w:val="Heading2"/>
      </w:pPr>
      <w:r>
        <w:rPr>
          <w:rStyle w:val="SectionNumber"/>
        </w:rPr>
        <w:t xml:space="preserve">1.3</w:t>
      </w:r>
      <w:r>
        <w:tab/>
      </w:r>
      <w:r>
        <w:t xml:space="preserve">Mục tiêu và phạm vi</w:t>
      </w:r>
    </w:p>
    <w:p>
      <w:pPr>
        <w:pStyle w:val="FirstParagraph"/>
      </w:pPr>
      <w:r>
        <w:t xml:space="preserve">Dự án xây dựng pipeline R tái lập từ raw CSV đến Word: kiểm tra dữ liệu, tạo log return, EDA, ADF, forecast evaluation, GARCH comparison và diagnostics. Phạm vi chỉ sử dụng lịch sử</w:t>
      </w:r>
      <w:r>
        <w:t xml:space="preserve"> </w:t>
      </w:r>
      <w:r>
        <w:rPr>
          <w:rStyle w:val="VerbatimChar"/>
        </w:rPr>
        <w:t xml:space="preserve">FPT.VN</w:t>
      </w:r>
      <w:r>
        <w:t xml:space="preserve">; dự án chưa đưa VN-Index, biến vĩ mô, tin tức hoặc dữ liệu intraday vào mô hình.</w:t>
      </w:r>
    </w:p>
    <w:bookmarkEnd w:id="12"/>
    <w:bookmarkStart w:id="13" w:name="nguyên-tắc-phương-pháp"/>
    <w:p>
      <w:pPr>
        <w:pStyle w:val="Heading2"/>
      </w:pPr>
      <w:r>
        <w:rPr>
          <w:rStyle w:val="SectionNumber"/>
        </w:rPr>
        <w:t xml:space="preserve">1.4</w:t>
      </w:r>
      <w:r>
        <w:tab/>
      </w:r>
      <w:r>
        <w:t xml:space="preserve">Nguyên tắc phương pháp</w:t>
      </w:r>
    </w:p>
    <w:p>
      <w:pPr>
        <w:pStyle w:val="Compact"/>
        <w:numPr>
          <w:ilvl w:val="0"/>
          <w:numId w:val="1002"/>
        </w:numPr>
      </w:pPr>
      <w:r>
        <w:t xml:space="preserve">Không shuffle chuỗi thời gian.</w:t>
      </w:r>
    </w:p>
    <w:p>
      <w:pPr>
        <w:pStyle w:val="Compact"/>
        <w:numPr>
          <w:ilvl w:val="0"/>
          <w:numId w:val="1002"/>
        </w:numPr>
      </w:pPr>
      <w:r>
        <w:t xml:space="preserve">Mọi model trong cùng bảng holdout dùng cùng train/test split.</w:t>
      </w:r>
    </w:p>
    <w:p>
      <w:pPr>
        <w:pStyle w:val="Compact"/>
        <w:numPr>
          <w:ilvl w:val="0"/>
          <w:numId w:val="1002"/>
        </w:numPr>
      </w:pPr>
      <w:r>
        <w:t xml:space="preserve">Model phức tạp phải được so với benchmark đơn giản.</w:t>
      </w:r>
    </w:p>
    <w:p>
      <w:pPr>
        <w:pStyle w:val="Compact"/>
        <w:numPr>
          <w:ilvl w:val="0"/>
          <w:numId w:val="1002"/>
        </w:numPr>
      </w:pPr>
      <w:r>
        <w:t xml:space="preserve">Không chọn model chỉ bằng một metric hoặc AIC.</w:t>
      </w:r>
    </w:p>
    <w:p>
      <w:pPr>
        <w:pStyle w:val="Compact"/>
        <w:numPr>
          <w:ilvl w:val="0"/>
          <w:numId w:val="1002"/>
        </w:numPr>
      </w:pPr>
      <w:r>
        <w:t xml:space="preserve">P-value được diễn giải theo giả thuyết của từng test, không dùng như xác suất model đúng.</w:t>
      </w:r>
    </w:p>
    <w:p>
      <w:pPr>
        <w:pStyle w:val="Compact"/>
        <w:numPr>
          <w:ilvl w:val="0"/>
          <w:numId w:val="1002"/>
        </w:numPr>
      </w:pPr>
      <w:r>
        <w:t xml:space="preserve">Kết luận phải đi kèm giới hạn và không được chuyển thành khuyến nghị đầu tư.</w:t>
      </w:r>
    </w:p>
    <w:bookmarkEnd w:id="13"/>
    <w:bookmarkEnd w:id="14"/>
    <w:bookmarkStart w:id="19" w:name="dữ-liệu-và-kiểm-tra-chất-lượng"/>
    <w:p>
      <w:pPr>
        <w:pStyle w:val="Heading1"/>
      </w:pPr>
      <w:r>
        <w:rPr>
          <w:rStyle w:val="SectionNumber"/>
        </w:rPr>
        <w:t xml:space="preserve">2</w:t>
      </w:r>
      <w:r>
        <w:tab/>
      </w:r>
      <w:r>
        <w:t xml:space="preserve">Dữ liệu và kiểm tra chất lượng</w:t>
      </w:r>
    </w:p>
    <w:bookmarkStart w:id="15" w:name="nguồn-và-phạm-vi"/>
    <w:p>
      <w:pPr>
        <w:pStyle w:val="Heading2"/>
      </w:pPr>
      <w:r>
        <w:rPr>
          <w:rStyle w:val="SectionNumber"/>
        </w:rPr>
        <w:t xml:space="preserve">2.1</w:t>
      </w:r>
      <w:r>
        <w:tab/>
      </w:r>
      <w:r>
        <w:t xml:space="preserve">Nguồn và phạm vi</w:t>
      </w:r>
    </w:p>
    <w:p>
      <w:pPr>
        <w:pStyle w:val="FirstParagraph"/>
      </w:pPr>
      <w:r>
        <w:t xml:space="preserve">Dữ liệu được lấy từ Yahoo Finance với ticker</w:t>
      </w:r>
      <w:r>
        <w:t xml:space="preserve"> </w:t>
      </w:r>
      <w:r>
        <w:rPr>
          <w:rStyle w:val="VerbatimChar"/>
        </w:rPr>
        <w:t xml:space="preserve">FPT.VN</w:t>
      </w:r>
      <w:r>
        <w:t xml:space="preserve"> </w:t>
      </w:r>
      <w:r>
        <w:t xml:space="preserve">bằng</w:t>
      </w:r>
      <w:r>
        <w:t xml:space="preserve"> </w:t>
      </w:r>
      <w:r>
        <w:rPr>
          <w:rStyle w:val="VerbatimChar"/>
        </w:rPr>
        <w:t xml:space="preserve">notebooks/01_scrape_fpt_colab.ipynb</w:t>
      </w:r>
      <w:r>
        <w:t xml:space="preserve">. Notebook dùng</w:t>
      </w:r>
      <w:r>
        <w:t xml:space="preserve"> </w:t>
      </w:r>
      <w:r>
        <w:rPr>
          <w:rStyle w:val="VerbatimChar"/>
        </w:rPr>
        <w:t xml:space="preserve">auto_adjust = TRUE</w:t>
      </w:r>
      <w:r>
        <w:t xml:space="preserve">, vì vậy các cột giá được hiểu là giá đã điều chỉnh theo dữ liệu của nhà cung cấp. Tệp raw cố định có 2,960 dòng từ 2015-01-01 đến 2026-06-08 và được lưu tại</w:t>
      </w:r>
      <w:r>
        <w:t xml:space="preserve"> </w:t>
      </w:r>
      <w:r>
        <w:rPr>
          <w:rStyle w:val="VerbatimChar"/>
        </w:rPr>
        <w:t xml:space="preserve">data/raw/FPT_stock_data.csv</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Biến</w:t>
            </w:r>
          </w:p>
        </w:tc>
        <w:tc>
          <w:tcPr/>
          <w:p>
            <w:pPr>
              <w:pStyle w:val="Compact"/>
            </w:pPr>
            <w:r>
              <w:t xml:space="preserve">Ý nghĩa</w:t>
            </w:r>
          </w:p>
        </w:tc>
      </w:tr>
      <w:tr>
        <w:tc>
          <w:tcPr/>
          <w:p>
            <w:pPr>
              <w:pStyle w:val="Compact"/>
            </w:pPr>
            <w:r>
              <w:rPr>
                <w:rStyle w:val="VerbatimChar"/>
              </w:rPr>
              <w:t xml:space="preserve">date</w:t>
            </w:r>
          </w:p>
        </w:tc>
        <w:tc>
          <w:tcPr/>
          <w:p>
            <w:pPr>
              <w:pStyle w:val="Compact"/>
            </w:pPr>
            <w:r>
              <w:t xml:space="preserve">Ngày quan sát</w:t>
            </w:r>
          </w:p>
        </w:tc>
      </w:tr>
      <w:tr>
        <w:tc>
          <w:tcPr/>
          <w:p>
            <w:pPr>
              <w:pStyle w:val="Compact"/>
            </w:pPr>
            <w:r>
              <w:rPr>
                <w:rStyle w:val="VerbatimChar"/>
              </w:rPr>
              <w:t xml:space="preserve">open</w:t>
            </w:r>
          </w:p>
        </w:tc>
        <w:tc>
          <w:tcPr/>
          <w:p>
            <w:pPr>
              <w:pStyle w:val="Compact"/>
            </w:pPr>
            <w:r>
              <w:t xml:space="preserve">Giá mở cửa đã điều chỉnh</w:t>
            </w:r>
          </w:p>
        </w:tc>
      </w:tr>
      <w:tr>
        <w:tc>
          <w:tcPr/>
          <w:p>
            <w:pPr>
              <w:pStyle w:val="Compact"/>
            </w:pPr>
            <w:r>
              <w:rPr>
                <w:rStyle w:val="VerbatimChar"/>
              </w:rPr>
              <w:t xml:space="preserve">high</w:t>
            </w:r>
          </w:p>
        </w:tc>
        <w:tc>
          <w:tcPr/>
          <w:p>
            <w:pPr>
              <w:pStyle w:val="Compact"/>
            </w:pPr>
            <w:r>
              <w:t xml:space="preserve">Giá cao nhất đã điều chỉnh</w:t>
            </w:r>
          </w:p>
        </w:tc>
      </w:tr>
      <w:tr>
        <w:tc>
          <w:tcPr/>
          <w:p>
            <w:pPr>
              <w:pStyle w:val="Compact"/>
            </w:pPr>
            <w:r>
              <w:rPr>
                <w:rStyle w:val="VerbatimChar"/>
              </w:rPr>
              <w:t xml:space="preserve">low</w:t>
            </w:r>
          </w:p>
        </w:tc>
        <w:tc>
          <w:tcPr/>
          <w:p>
            <w:pPr>
              <w:pStyle w:val="Compact"/>
            </w:pPr>
            <w:r>
              <w:t xml:space="preserve">Giá thấp nhất đã điều chỉnh</w:t>
            </w:r>
          </w:p>
        </w:tc>
      </w:tr>
      <w:tr>
        <w:tc>
          <w:tcPr/>
          <w:p>
            <w:pPr>
              <w:pStyle w:val="Compact"/>
            </w:pPr>
            <w:r>
              <w:rPr>
                <w:rStyle w:val="VerbatimChar"/>
              </w:rPr>
              <w:t xml:space="preserve">close</w:t>
            </w:r>
          </w:p>
        </w:tc>
        <w:tc>
          <w:tcPr/>
          <w:p>
            <w:pPr>
              <w:pStyle w:val="Compact"/>
            </w:pPr>
            <w:r>
              <w:t xml:space="preserve">Giá đóng cửa đã điều chỉnh</w:t>
            </w:r>
          </w:p>
        </w:tc>
      </w:tr>
      <w:tr>
        <w:tc>
          <w:tcPr/>
          <w:p>
            <w:pPr>
              <w:pStyle w:val="Compact"/>
            </w:pPr>
            <w:r>
              <w:rPr>
                <w:rStyle w:val="VerbatimChar"/>
              </w:rPr>
              <w:t xml:space="preserve">volume</w:t>
            </w:r>
          </w:p>
        </w:tc>
        <w:tc>
          <w:tcPr/>
          <w:p>
            <w:pPr>
              <w:pStyle w:val="Compact"/>
            </w:pPr>
            <w:r>
              <w:t xml:space="preserve">Khối lượng giao dịch</w:t>
            </w:r>
          </w:p>
        </w:tc>
      </w:tr>
    </w:tbl>
    <w:bookmarkEnd w:id="15"/>
    <w:bookmarkStart w:id="16" w:name="quy-trình-làm-sạch"/>
    <w:p>
      <w:pPr>
        <w:pStyle w:val="Heading2"/>
      </w:pPr>
      <w:r>
        <w:rPr>
          <w:rStyle w:val="SectionNumber"/>
        </w:rPr>
        <w:t xml:space="preserve">2.2</w:t>
      </w:r>
      <w:r>
        <w:tab/>
      </w:r>
      <w:r>
        <w:t xml:space="preserve">Quy trình làm sạch</w:t>
      </w:r>
    </w:p>
    <w:p>
      <w:pPr>
        <w:pStyle w:val="FirstParagraph"/>
      </w:pPr>
      <w:r>
        <w:rPr>
          <w:rStyle w:val="VerbatimChar"/>
        </w:rPr>
        <w:t xml:space="preserve">R/01_data_cleaning.R</w:t>
      </w:r>
      <w:r>
        <w:t xml:space="preserve"> </w:t>
      </w:r>
      <w:r>
        <w:t xml:space="preserve">chuẩn hóa tên cột, chuyển kiểu Date/numeric, sắp xếp theo thời gian và kiểm tra schema. Pipeline dừng nếu có ngày lỗi, ngày trùng, missing OHLCV, giá không dương hoặc volume âm.</w:t>
      </w:r>
    </w:p>
    <w:p>
      <w:pPr>
        <w:pStyle w:val="BodyText"/>
      </w:pPr>
      <w:r>
        <w:t xml:space="preserve">Dữ liệu raw có 173 dòng</w:t>
      </w:r>
      <w:r>
        <w:t xml:space="preserve"> </w:t>
      </w:r>
      <w:r>
        <w:rPr>
          <w:rStyle w:val="VerbatimChar"/>
        </w:rPr>
        <w:t xml:space="preserve">volume = 0</w:t>
      </w:r>
      <w:r>
        <w:t xml:space="preserve">; các dòng này bị loại vì không đại diện cho phiên có khối lượng giao dịch dương trong chuỗi mô hình. Quan hệ OHLC được kiểm tra với tolerance</w:t>
      </w:r>
      <w:r>
        <w:t xml:space="preserve"> </w:t>
      </w:r>
      <w:r>
        <w:rPr>
          <w:rStyle w:val="VerbatimChar"/>
        </w:rPr>
        <w:t xml:space="preserve">1e-8</w:t>
      </w:r>
      <w:r>
        <w:t xml:space="preserve"> </w:t>
      </w:r>
      <w:r>
        <w:t xml:space="preserve">để không nhầm sai số floating-point khoảng</w:t>
      </w:r>
      <w:r>
        <w:t xml:space="preserve"> </w:t>
      </w:r>
      <w:r>
        <w:rPr>
          <w:rStyle w:val="VerbatimChar"/>
        </w:rPr>
        <w:t xml:space="preserve">10^-12</w:t>
      </w:r>
      <w:r>
        <w:t xml:space="preserve"> </w:t>
      </w:r>
      <w:r>
        <w:t xml:space="preserve">với lỗi thực. Sau tolerance và lọc volume, 1 dòng OHLC bất thường thực sự được chuẩn hóa.</w:t>
      </w:r>
    </w:p>
    <w:p>
      <w:pPr>
        <w:pStyle w:val="TableCaption"/>
      </w:pPr>
      <w:r>
        <w:t xml:space="preserve">Tóm tắt kiểm tra chất lượng dữ liệu</w:t>
      </w:r>
    </w:p>
    <w:tbl>
      <w:tblPr>
        <w:tblStyle w:val="Table"/>
        <w:tblW w:type="auto" w:w="0"/>
        <w:tblLook w:firstRow="1" w:lastRow="0" w:firstColumn="0" w:lastColumn="0" w:noHBand="0" w:noVBand="0" w:val="0020"/>
        <w:tblCaption w:val="Tóm tắt kiểm tra chất lượng dữ liệu"/>
      </w:tblPr>
      <w:tblGrid>
        <w:gridCol w:w="3960"/>
        <w:gridCol w:w="3960"/>
      </w:tblGrid>
      <w:tr>
        <w:trPr>
          <w:tblHeader w:val="on"/>
        </w:trPr>
        <w:tc>
          <w:tcPr/>
          <w:p>
            <w:pPr>
              <w:pStyle w:val="Compact"/>
              <w:jc w:val="left"/>
            </w:pPr>
            <w:r>
              <w:t xml:space="preserve">check</w:t>
            </w:r>
          </w:p>
        </w:tc>
        <w:tc>
          <w:tcPr/>
          <w:p>
            <w:pPr>
              <w:pStyle w:val="Compact"/>
              <w:jc w:val="right"/>
            </w:pPr>
            <w:r>
              <w:t xml:space="preserve">count</w:t>
            </w:r>
          </w:p>
        </w:tc>
      </w:tr>
      <w:tr>
        <w:tc>
          <w:tcPr/>
          <w:p>
            <w:pPr>
              <w:pStyle w:val="Compact"/>
              <w:jc w:val="left"/>
            </w:pPr>
            <w:r>
              <w:t xml:space="preserve">raw_rows</w:t>
            </w:r>
          </w:p>
        </w:tc>
        <w:tc>
          <w:tcPr/>
          <w:p>
            <w:pPr>
              <w:pStyle w:val="Compact"/>
              <w:jc w:val="right"/>
            </w:pPr>
            <w:r>
              <w:t xml:space="preserve">2960</w:t>
            </w:r>
          </w:p>
        </w:tc>
      </w:tr>
      <w:tr>
        <w:tc>
          <w:tcPr/>
          <w:p>
            <w:pPr>
              <w:pStyle w:val="Compact"/>
              <w:jc w:val="left"/>
            </w:pPr>
            <w:r>
              <w:t xml:space="preserve">invalid_date</w:t>
            </w:r>
          </w:p>
        </w:tc>
        <w:tc>
          <w:tcPr/>
          <w:p>
            <w:pPr>
              <w:pStyle w:val="Compact"/>
              <w:jc w:val="right"/>
            </w:pPr>
            <w:r>
              <w:t xml:space="preserve">0</w:t>
            </w:r>
          </w:p>
        </w:tc>
      </w:tr>
      <w:tr>
        <w:tc>
          <w:tcPr/>
          <w:p>
            <w:pPr>
              <w:pStyle w:val="Compact"/>
              <w:jc w:val="left"/>
            </w:pPr>
            <w:r>
              <w:t xml:space="preserve">duplicate_date</w:t>
            </w:r>
          </w:p>
        </w:tc>
        <w:tc>
          <w:tcPr/>
          <w:p>
            <w:pPr>
              <w:pStyle w:val="Compact"/>
              <w:jc w:val="right"/>
            </w:pPr>
            <w:r>
              <w:t xml:space="preserve">0</w:t>
            </w:r>
          </w:p>
        </w:tc>
      </w:tr>
      <w:tr>
        <w:tc>
          <w:tcPr/>
          <w:p>
            <w:pPr>
              <w:pStyle w:val="Compact"/>
              <w:jc w:val="left"/>
            </w:pPr>
            <w:r>
              <w:t xml:space="preserve">missing_ohlcv</w:t>
            </w:r>
          </w:p>
        </w:tc>
        <w:tc>
          <w:tcPr/>
          <w:p>
            <w:pPr>
              <w:pStyle w:val="Compact"/>
              <w:jc w:val="right"/>
            </w:pPr>
            <w:r>
              <w:t xml:space="preserve">0</w:t>
            </w:r>
          </w:p>
        </w:tc>
      </w:tr>
      <w:tr>
        <w:tc>
          <w:tcPr/>
          <w:p>
            <w:pPr>
              <w:pStyle w:val="Compact"/>
              <w:jc w:val="left"/>
            </w:pPr>
            <w:r>
              <w:t xml:space="preserve">non_positive_price</w:t>
            </w:r>
          </w:p>
        </w:tc>
        <w:tc>
          <w:tcPr/>
          <w:p>
            <w:pPr>
              <w:pStyle w:val="Compact"/>
              <w:jc w:val="right"/>
            </w:pPr>
            <w:r>
              <w:t xml:space="preserve">0</w:t>
            </w:r>
          </w:p>
        </w:tc>
      </w:tr>
      <w:tr>
        <w:tc>
          <w:tcPr/>
          <w:p>
            <w:pPr>
              <w:pStyle w:val="Compact"/>
              <w:jc w:val="left"/>
            </w:pPr>
            <w:r>
              <w:t xml:space="preserve">negative_volume</w:t>
            </w:r>
          </w:p>
        </w:tc>
        <w:tc>
          <w:tcPr/>
          <w:p>
            <w:pPr>
              <w:pStyle w:val="Compact"/>
              <w:jc w:val="right"/>
            </w:pPr>
            <w:r>
              <w:t xml:space="preserve">0</w:t>
            </w:r>
          </w:p>
        </w:tc>
      </w:tr>
      <w:tr>
        <w:tc>
          <w:tcPr/>
          <w:p>
            <w:pPr>
              <w:pStyle w:val="Compact"/>
              <w:jc w:val="left"/>
            </w:pPr>
            <w:r>
              <w:t xml:space="preserve">zero_volume</w:t>
            </w:r>
          </w:p>
        </w:tc>
        <w:tc>
          <w:tcPr/>
          <w:p>
            <w:pPr>
              <w:pStyle w:val="Compact"/>
              <w:jc w:val="right"/>
            </w:pPr>
            <w:r>
              <w:t xml:space="preserve">173</w:t>
            </w:r>
          </w:p>
        </w:tc>
      </w:tr>
      <w:tr>
        <w:tc>
          <w:tcPr/>
          <w:p>
            <w:pPr>
              <w:pStyle w:val="Compact"/>
              <w:jc w:val="left"/>
            </w:pPr>
            <w:r>
              <w:t xml:space="preserve">ohlc_rows_repaired_after_volume_filter</w:t>
            </w:r>
          </w:p>
        </w:tc>
        <w:tc>
          <w:tcPr/>
          <w:p>
            <w:pPr>
              <w:pStyle w:val="Compact"/>
              <w:jc w:val="right"/>
            </w:pPr>
            <w:r>
              <w:t xml:space="preserve">1</w:t>
            </w:r>
          </w:p>
        </w:tc>
      </w:tr>
    </w:tbl>
    <w:bookmarkEnd w:id="16"/>
    <w:bookmarkStart w:id="17" w:name="dữ-liệu-model"/>
    <w:p>
      <w:pPr>
        <w:pStyle w:val="Heading2"/>
      </w:pPr>
      <w:r>
        <w:rPr>
          <w:rStyle w:val="SectionNumber"/>
        </w:rPr>
        <w:t xml:space="preserve">2.3</w:t>
      </w:r>
      <w:r>
        <w:tab/>
      </w:r>
      <w:r>
        <w:t xml:space="preserve">Dữ liệu model</w:t>
      </w:r>
    </w:p>
    <w:p>
      <w:pPr>
        <w:pStyle w:val="FirstParagraph"/>
      </w:pPr>
      <w:r>
        <w:t xml:space="preserve">Tệp</w:t>
      </w:r>
      <w:r>
        <w:t xml:space="preserve"> </w:t>
      </w:r>
      <w:r>
        <w:rPr>
          <w:rStyle w:val="VerbatimChar"/>
        </w:rPr>
        <w:t xml:space="preserve">data/processed/fpt_clean.csv</w:t>
      </w:r>
      <w:r>
        <w:t xml:space="preserve"> </w:t>
      </w:r>
      <w:r>
        <w:t xml:space="preserve">có 2,787 dòng từ 2015-01-05 đến 2026-06-08, gồm tám biến raw/derived. Hai biến được tạo thêm là:</w:t>
      </w:r>
    </w:p>
    <w:p>
      <w:pPr>
        <w:pStyle w:val="BodyText"/>
      </w:pPr>
      <m:oMathPara>
        <m:oMathParaPr>
          <m:jc m:val="center"/>
        </m:oMathParaPr>
        <m:oMath>
          <m:sSub>
            <m:e>
              <m:r>
                <m:rPr>
                  <m:nor/>
                  <m:sty m:val="p"/>
                </m:rPr>
                <m:t>log_close</m:t>
              </m:r>
            </m:e>
            <m:sub>
              <m:r>
                <m:t>t</m:t>
              </m:r>
            </m:sub>
          </m:sSub>
          <m:r>
            <m:rPr>
              <m:sty m:val="p"/>
            </m:rPr>
            <m:t>=</m:t>
          </m:r>
          <m:r>
            <m:rPr>
              <m:sty m:val="p"/>
            </m:rPr>
            <m:t>log</m:t>
          </m:r>
          <m:r>
            <m:rPr>
              <m:sty m:val="p"/>
            </m:rPr>
            <m:t>(</m:t>
          </m:r>
          <m:sSub>
            <m:e>
              <m:r>
                <m:t>P</m:t>
              </m:r>
            </m:e>
            <m:sub>
              <m:r>
                <m:t>t</m:t>
              </m:r>
            </m:sub>
          </m:sSub>
          <m:r>
            <m:rPr>
              <m:sty m:val="p"/>
            </m:rPr>
            <m:t>)</m:t>
          </m:r>
          <m:r>
            <m:rPr>
              <m:sty m:val="p"/>
            </m:rPr>
            <m:t>,</m:t>
          </m:r>
          <m:r>
            <m:t>  </m:t>
          </m:r>
          <m:sSub>
            <m:e>
              <m:r>
                <m:t>r</m:t>
              </m:r>
            </m:e>
            <m:sub>
              <m:r>
                <m:t>t</m:t>
              </m:r>
            </m:sub>
          </m:sSub>
          <m:r>
            <m:rPr>
              <m:sty m:val="p"/>
            </m:rPr>
            <m:t>=</m:t>
          </m:r>
          <m:r>
            <m:rPr>
              <m:sty m:val="p"/>
            </m:rPr>
            <m:t>log</m:t>
          </m:r>
          <m:r>
            <m:rPr>
              <m:sty m:val="p"/>
            </m:rPr>
            <m:t>(</m:t>
          </m:r>
          <m:sSub>
            <m:e>
              <m:r>
                <m:t>P</m:t>
              </m:r>
            </m:e>
            <m:sub>
              <m:r>
                <m:t>t</m:t>
              </m:r>
            </m:sub>
          </m:sSub>
          <m:r>
            <m:rPr>
              <m:sty m:val="p"/>
            </m:rPr>
            <m:t>)</m:t>
          </m:r>
          <m:r>
            <m:rPr>
              <m:sty m:val="p"/>
            </m:rPr>
            <m:t>−</m:t>
          </m:r>
          <m:r>
            <m:rPr>
              <m:sty m:val="p"/>
            </m:rPr>
            <m:t>log</m:t>
          </m:r>
          <m:r>
            <m:rPr>
              <m:sty m:val="p"/>
            </m:rPr>
            <m:t>(</m:t>
          </m:r>
          <m:sSub>
            <m:e>
              <m:r>
                <m:t>P</m:t>
              </m:r>
            </m:e>
            <m:sub>
              <m:r>
                <m:t>t</m:t>
              </m:r>
              <m:r>
                <m:rPr>
                  <m:sty m:val="p"/>
                </m:rPr>
                <m:t>−</m:t>
              </m:r>
              <m:r>
                <m:t>1</m:t>
              </m:r>
            </m:sub>
          </m:sSub>
          <m:r>
            <m:rPr>
              <m:sty m:val="p"/>
            </m:rPr>
            <m:t>)</m:t>
          </m:r>
          <m:r>
            <m:rPr>
              <m:sty m:val="p"/>
            </m:rPr>
            <m:t>.</m:t>
          </m:r>
        </m:oMath>
      </m:oMathPara>
    </w:p>
    <w:p>
      <w:pPr>
        <w:pStyle w:val="FirstParagraph"/>
      </w:pPr>
      <w:r>
        <w:t xml:space="preserve">Return đầu tiên là</w:t>
      </w:r>
      <w:r>
        <w:t xml:space="preserve"> </w:t>
      </w:r>
      <w:r>
        <w:rPr>
          <w:rStyle w:val="VerbatimChar"/>
        </w:rPr>
        <w:t xml:space="preserve">NA</w:t>
      </w:r>
      <w:r>
        <w:t xml:space="preserve"> </w:t>
      </w:r>
      <w:r>
        <w:t xml:space="preserve">theo định nghĩa vì không có giá phiên trước; còn lại có 2,786 log returns hợp lệ. Dữ liệu sạch không còn volume bằng 0.</w:t>
      </w:r>
    </w:p>
    <w:p>
      <w:pPr>
        <w:pStyle w:val="TableCaption"/>
      </w:pPr>
      <w:r>
        <w:t xml:space="preserve">Giá trị thiếu trong tám biến của dữ liệu model</w:t>
      </w:r>
    </w:p>
    <w:tbl>
      <w:tblPr>
        <w:tblStyle w:val="Table"/>
        <w:tblW w:type="auto" w:w="0"/>
        <w:tblLook w:firstRow="1" w:lastRow="0" w:firstColumn="0" w:lastColumn="0" w:noHBand="0" w:noVBand="0" w:val="0020"/>
        <w:tblCaption w:val="Giá trị thiếu trong tám biến của dữ liệu model"/>
      </w:tblPr>
      <w:tblGrid>
        <w:gridCol w:w="2640"/>
        <w:gridCol w:w="2640"/>
        <w:gridCol w:w="2640"/>
      </w:tblGrid>
      <w:tr>
        <w:trPr>
          <w:tblHeader w:val="on"/>
        </w:trPr>
        <w:tc>
          <w:tcPr/>
          <w:p>
            <w:pPr>
              <w:pStyle w:val="Compact"/>
              <w:jc w:val="left"/>
            </w:pPr>
            <w:r>
              <w:t xml:space="preserve">variable</w:t>
            </w:r>
          </w:p>
        </w:tc>
        <w:tc>
          <w:tcPr/>
          <w:p>
            <w:pPr>
              <w:pStyle w:val="Compact"/>
              <w:jc w:val="right"/>
            </w:pPr>
            <w:r>
              <w:t xml:space="preserve">missing_count</w:t>
            </w:r>
          </w:p>
        </w:tc>
        <w:tc>
          <w:tcPr/>
          <w:p>
            <w:pPr>
              <w:pStyle w:val="Compact"/>
              <w:jc w:val="right"/>
            </w:pPr>
            <w:r>
              <w:t xml:space="preserve">missing_percentage</w:t>
            </w:r>
          </w:p>
        </w:tc>
      </w:tr>
      <w:tr>
        <w:tc>
          <w:tcPr/>
          <w:p>
            <w:pPr>
              <w:pStyle w:val="Compact"/>
              <w:jc w:val="left"/>
            </w:pPr>
            <w:r>
              <w:t xml:space="preserve">date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open</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high</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low</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close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volume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log_close</w:t>
            </w:r>
          </w:p>
        </w:tc>
        <w:tc>
          <w:tcPr/>
          <w:p>
            <w:pPr>
              <w:pStyle w:val="Compact"/>
              <w:jc w:val="right"/>
            </w:pPr>
            <w:r>
              <w:t xml:space="preserve">0</w:t>
            </w:r>
          </w:p>
        </w:tc>
        <w:tc>
          <w:tcPr/>
          <w:p>
            <w:pPr>
              <w:pStyle w:val="Compact"/>
              <w:jc w:val="right"/>
            </w:pPr>
            <w:r>
              <w:t xml:space="preserve">0.0000</w:t>
            </w:r>
          </w:p>
        </w:tc>
      </w:tr>
      <w:tr>
        <w:tc>
          <w:tcPr/>
          <w:p>
            <w:pPr>
              <w:pStyle w:val="Compact"/>
              <w:jc w:val="left"/>
            </w:pPr>
            <w:r>
              <w:t xml:space="preserve">return</w:t>
            </w:r>
          </w:p>
        </w:tc>
        <w:tc>
          <w:tcPr/>
          <w:p>
            <w:pPr>
              <w:pStyle w:val="Compact"/>
              <w:jc w:val="right"/>
            </w:pPr>
            <w:r>
              <w:t xml:space="preserve">1</w:t>
            </w:r>
          </w:p>
        </w:tc>
        <w:tc>
          <w:tcPr/>
          <w:p>
            <w:pPr>
              <w:pStyle w:val="Compact"/>
              <w:jc w:val="right"/>
            </w:pPr>
            <w:r>
              <w:t xml:space="preserve">0.0359</w:t>
            </w:r>
          </w:p>
        </w:tc>
      </w:tr>
    </w:tbl>
    <w:p/>
    <w:p>
      <w:pPr>
        <w:pStyle w:val="TableCaption"/>
      </w:pPr>
      <w:r>
        <w:t xml:space="preserve">Thống kê mô tả dữ liệu sạch</w:t>
      </w:r>
    </w:p>
    <w:tbl>
      <w:tblPr>
        <w:tblStyle w:val="Table"/>
        <w:tblW w:type="pct" w:w="5000"/>
        <w:tblLayout w:type="fixed"/>
        <w:tblLook w:firstRow="1" w:lastRow="0" w:firstColumn="0" w:lastColumn="0" w:noHBand="0" w:noVBand="0" w:val="0020"/>
        <w:tblCaption w:val="Thống kê mô tả dữ liệu sạch"/>
      </w:tblPr>
      <w:tblGrid>
        <w:gridCol w:w="937"/>
        <w:gridCol w:w="625"/>
        <w:gridCol w:w="1354"/>
        <w:gridCol w:w="1146"/>
        <w:gridCol w:w="1354"/>
        <w:gridCol w:w="1146"/>
        <w:gridCol w:w="1354"/>
      </w:tblGrid>
      <w:tr>
        <w:trPr>
          <w:tblHeader w:val="on"/>
        </w:trPr>
        <w:tc>
          <w:tcPr/>
          <w:p>
            <w:pPr>
              <w:pStyle w:val="Compact"/>
              <w:jc w:val="left"/>
            </w:pPr>
            <w:r>
              <w:t xml:space="preserve">variable</w:t>
            </w:r>
          </w:p>
        </w:tc>
        <w:tc>
          <w:tcPr/>
          <w:p>
            <w:pPr>
              <w:pStyle w:val="Compact"/>
              <w:jc w:val="right"/>
            </w:pPr>
            <w:r>
              <w:t xml:space="preserve">count</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close</w:t>
            </w:r>
          </w:p>
        </w:tc>
        <w:tc>
          <w:tcPr/>
          <w:p>
            <w:pPr>
              <w:pStyle w:val="Compact"/>
              <w:jc w:val="right"/>
            </w:pPr>
            <w:r>
              <w:t xml:space="preserve">2787</w:t>
            </w:r>
          </w:p>
        </w:tc>
        <w:tc>
          <w:tcPr/>
          <w:p>
            <w:pPr>
              <w:pStyle w:val="Compact"/>
              <w:jc w:val="right"/>
            </w:pPr>
            <w:r>
              <w:t xml:space="preserve">40798.2490</w:t>
            </w:r>
          </w:p>
        </w:tc>
        <w:tc>
          <w:tcPr/>
          <w:p>
            <w:pPr>
              <w:pStyle w:val="Compact"/>
              <w:jc w:val="right"/>
            </w:pPr>
            <w:r>
              <w:t xml:space="preserve">21344.08</w:t>
            </w:r>
          </w:p>
        </w:tc>
        <w:tc>
          <w:tcPr/>
          <w:p>
            <w:pPr>
              <w:pStyle w:val="Compact"/>
              <w:jc w:val="right"/>
            </w:pPr>
            <w:r>
              <w:t xml:space="preserve">34871.6976</w:t>
            </w:r>
          </w:p>
        </w:tc>
        <w:tc>
          <w:tcPr/>
          <w:p>
            <w:pPr>
              <w:pStyle w:val="Compact"/>
              <w:jc w:val="right"/>
            </w:pPr>
            <w:r>
              <w:t xml:space="preserve">6955.4502</w:t>
            </w:r>
          </w:p>
        </w:tc>
        <w:tc>
          <w:tcPr/>
          <w:p>
            <w:pPr>
              <w:pStyle w:val="Compact"/>
              <w:jc w:val="right"/>
            </w:pPr>
            <w:r>
              <w:t xml:space="preserve">1.298557e+05</w:t>
            </w:r>
          </w:p>
        </w:tc>
      </w:tr>
      <w:tr>
        <w:tc>
          <w:tcPr/>
          <w:p>
            <w:pPr>
              <w:pStyle w:val="Compact"/>
              <w:jc w:val="left"/>
            </w:pPr>
            <w:r>
              <w:t xml:space="preserve">volume</w:t>
            </w:r>
          </w:p>
        </w:tc>
        <w:tc>
          <w:tcPr/>
          <w:p>
            <w:pPr>
              <w:pStyle w:val="Compact"/>
              <w:jc w:val="right"/>
            </w:pPr>
            <w:r>
              <w:t xml:space="preserve">2787</w:t>
            </w:r>
          </w:p>
        </w:tc>
        <w:tc>
          <w:tcPr/>
          <w:p>
            <w:pPr>
              <w:pStyle w:val="Compact"/>
              <w:jc w:val="right"/>
            </w:pPr>
            <w:r>
              <w:t xml:space="preserve">4187990.0843</w:t>
            </w:r>
          </w:p>
        </w:tc>
        <w:tc>
          <w:tcPr/>
          <w:p>
            <w:pPr>
              <w:pStyle w:val="Compact"/>
              <w:jc w:val="right"/>
            </w:pPr>
            <w:r>
              <w:t xml:space="preserve">2913864.00</w:t>
            </w:r>
          </w:p>
        </w:tc>
        <w:tc>
          <w:tcPr/>
          <w:p>
            <w:pPr>
              <w:pStyle w:val="Compact"/>
              <w:jc w:val="right"/>
            </w:pPr>
            <w:r>
              <w:t xml:space="preserve">9925516.6264</w:t>
            </w:r>
          </w:p>
        </w:tc>
        <w:tc>
          <w:tcPr/>
          <w:p>
            <w:pPr>
              <w:pStyle w:val="Compact"/>
              <w:jc w:val="right"/>
            </w:pPr>
            <w:r>
              <w:t xml:space="preserve">53113.0000</w:t>
            </w:r>
          </w:p>
        </w:tc>
        <w:tc>
          <w:tcPr/>
          <w:p>
            <w:pPr>
              <w:pStyle w:val="Compact"/>
              <w:jc w:val="right"/>
            </w:pPr>
            <w:r>
              <w:t xml:space="preserve">4.157099e+08</w:t>
            </w:r>
          </w:p>
        </w:tc>
      </w:tr>
      <w:tr>
        <w:tc>
          <w:tcPr/>
          <w:p>
            <w:pPr>
              <w:pStyle w:val="Compact"/>
              <w:jc w:val="left"/>
            </w:pPr>
            <w:r>
              <w:t xml:space="preserve">return</w:t>
            </w:r>
          </w:p>
        </w:tc>
        <w:tc>
          <w:tcPr/>
          <w:p>
            <w:pPr>
              <w:pStyle w:val="Compact"/>
              <w:jc w:val="right"/>
            </w:pPr>
            <w:r>
              <w:t xml:space="preserve">2786</w:t>
            </w:r>
          </w:p>
        </w:tc>
        <w:tc>
          <w:tcPr/>
          <w:p>
            <w:pPr>
              <w:pStyle w:val="Compact"/>
              <w:jc w:val="right"/>
            </w:pPr>
            <w:r>
              <w:t xml:space="preserve">0.0008</w:t>
            </w:r>
          </w:p>
        </w:tc>
        <w:tc>
          <w:tcPr/>
          <w:p>
            <w:pPr>
              <w:pStyle w:val="Compact"/>
              <w:jc w:val="right"/>
            </w:pPr>
            <w:r>
              <w:t xml:space="preserve">0.00</w:t>
            </w:r>
          </w:p>
        </w:tc>
        <w:tc>
          <w:tcPr/>
          <w:p>
            <w:pPr>
              <w:pStyle w:val="Compact"/>
              <w:jc w:val="right"/>
            </w:pPr>
            <w:r>
              <w:t xml:space="preserve">0.0166</w:t>
            </w:r>
          </w:p>
        </w:tc>
        <w:tc>
          <w:tcPr/>
          <w:p>
            <w:pPr>
              <w:pStyle w:val="Compact"/>
              <w:jc w:val="right"/>
            </w:pPr>
            <w:r>
              <w:t xml:space="preserve">-0.0725</w:t>
            </w:r>
          </w:p>
        </w:tc>
        <w:tc>
          <w:tcPr/>
          <w:p>
            <w:pPr>
              <w:pStyle w:val="Compact"/>
              <w:jc w:val="right"/>
            </w:pPr>
            <w:r>
              <w:t xml:space="preserve">8.850000e-02</w:t>
            </w:r>
          </w:p>
        </w:tc>
      </w:tr>
    </w:tbl>
    <w:p>
      <w:pPr>
        <w:pStyle w:val="BodyText"/>
      </w:pPr>
      <w:r>
        <w:t xml:space="preserve">Mean return lịch sử xấp xỉ 0.0837% mỗi phiên và standard deviation xấp xỉ 1.658%. Đây là mô tả sample, không phải lợi suất hoặc rủi ro đảm bảo trong tương lai. Volume có mean lớn hơn median do phân phối lệch và các quan sát rất lớn.</w:t>
      </w:r>
    </w:p>
    <w:bookmarkEnd w:id="17"/>
    <w:bookmarkStart w:id="18" w:name="hạn-chế-dữ-liệu"/>
    <w:p>
      <w:pPr>
        <w:pStyle w:val="Heading2"/>
      </w:pPr>
      <w:r>
        <w:rPr>
          <w:rStyle w:val="SectionNumber"/>
        </w:rPr>
        <w:t xml:space="preserve">2.4</w:t>
      </w:r>
      <w:r>
        <w:tab/>
      </w:r>
      <w:r>
        <w:t xml:space="preserve">Hạn chế dữ liệu</w:t>
      </w:r>
    </w:p>
    <w:p>
      <w:pPr>
        <w:pStyle w:val="FirstParagraph"/>
      </w:pPr>
      <w:r>
        <w:t xml:space="preserve">Yahoo Finance có thể hiệu chỉnh dữ liệu lịch sử. Vì vậy dự án dùng fixed raw CSV để tái lập đúng sample; nếu tải lại dữ liệu, nhóm phải rerun toàn pipeline và không được trộn output cũ với input mới. Chuỗi chỉ gồm một cổ phiếu và chưa có market index hoặc biến vĩ mô để kiểm soát bối cảnh thị trường.</w:t>
      </w:r>
    </w:p>
    <w:bookmarkEnd w:id="18"/>
    <w:bookmarkEnd w:id="19"/>
    <w:bookmarkStart w:id="51" w:name="phân-tích-khám-phá-và-trực-quan-hóa"/>
    <w:p>
      <w:pPr>
        <w:pStyle w:val="Heading1"/>
      </w:pPr>
      <w:r>
        <w:rPr>
          <w:rStyle w:val="SectionNumber"/>
        </w:rPr>
        <w:t xml:space="preserve">3</w:t>
      </w:r>
      <w:r>
        <w:tab/>
      </w:r>
      <w:r>
        <w:t xml:space="preserve">Phân tích khám phá và trực quan hóa</w:t>
      </w:r>
    </w:p>
    <w:bookmarkStart w:id="26" w:name="giá-và-khối-lượng"/>
    <w:p>
      <w:pPr>
        <w:pStyle w:val="Heading2"/>
      </w:pPr>
      <w:r>
        <w:rPr>
          <w:rStyle w:val="SectionNumber"/>
        </w:rPr>
        <w:t xml:space="preserve">3.1</w:t>
      </w:r>
      <w:r>
        <w:tab/>
      </w:r>
      <w:r>
        <w:t xml:space="preserve">Giá và khối lượng</w:t>
      </w:r>
    </w:p>
    <w:p>
      <w:pPr>
        <w:pStyle w:val="CaptionedFigure"/>
      </w:pPr>
      <w:r>
        <w:drawing>
          <wp:inline>
            <wp:extent cx="5067300" cy="3040380"/>
            <wp:effectExtent b="0" l="0" r="0" t="0"/>
            <wp:docPr descr="Giá đóng cửa điều chỉnh của FPT" title="" id="21" name="Picture"/>
            <a:graphic>
              <a:graphicData uri="http://schemas.openxmlformats.org/drawingml/2006/picture">
                <pic:pic>
                  <pic:nvPicPr>
                    <pic:cNvPr descr="report_files/1b778d55195aacf1660542bf9e0726a8235135ff.png" id="22" name="Picture"/>
                    <pic:cNvPicPr>
                      <a:picLocks noChangeArrowheads="1" noChangeAspect="1"/>
                    </pic:cNvPicPr>
                  </pic:nvPicPr>
                  <pic:blipFill>
                    <a:blip r:embed="rId20"/>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Giá đóng cửa điều chỉnh của FPT</w:t>
      </w:r>
    </w:p>
    <w:p>
      <w:pPr>
        <w:pStyle w:val="BodyText"/>
      </w:pPr>
      <w:r>
        <w:t xml:space="preserve">Giá thay đổi rõ về level và có xu hướng dài hạn; biểu đồ gợi ý non-stationarity nhưng không thay thế ADF. Không thể suy ra nguyên nhân kinh tế hoặc xu hướng tương lai chỉ từ đường giá.</w:t>
      </w:r>
    </w:p>
    <w:p>
      <w:pPr>
        <w:pStyle w:val="CaptionedFigure"/>
      </w:pPr>
      <w:r>
        <w:drawing>
          <wp:inline>
            <wp:extent cx="5067300" cy="3040380"/>
            <wp:effectExtent b="0" l="0" r="0" t="0"/>
            <wp:docPr descr="Khối lượng giao dịch FPT theo thời gian" title="" id="24" name="Picture"/>
            <a:graphic>
              <a:graphicData uri="http://schemas.openxmlformats.org/drawingml/2006/picture">
                <pic:pic>
                  <pic:nvPicPr>
                    <pic:cNvPr descr="report_files/f15e40b36bd7fcdd4014095245cb808c4fb3e9f3.png" id="25" name="Picture"/>
                    <pic:cNvPicPr>
                      <a:picLocks noChangeArrowheads="1" noChangeAspect="1"/>
                    </pic:cNvPicPr>
                  </pic:nvPicPr>
                  <pic:blipFill>
                    <a:blip r:embed="rId23"/>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Khối lượng giao dịch FPT theo thời gian</w:t>
      </w:r>
    </w:p>
    <w:p>
      <w:pPr>
        <w:pStyle w:val="BodyText"/>
      </w:pPr>
      <w:r>
        <w:t xml:space="preserve">Volume phân tán mạnh và có các quan sát cực lớn. Hình được dùng mô tả thanh khoản, không chứng minh một sự kiện hay quan hệ nhân quả nếu chưa có nguồn độc lập.</w:t>
      </w:r>
    </w:p>
    <w:bookmarkEnd w:id="26"/>
    <w:bookmarkStart w:id="33" w:name="log-return-và-volatility-clustering"/>
    <w:p>
      <w:pPr>
        <w:pStyle w:val="Heading2"/>
      </w:pPr>
      <w:r>
        <w:rPr>
          <w:rStyle w:val="SectionNumber"/>
        </w:rPr>
        <w:t xml:space="preserve">3.2</w:t>
      </w:r>
      <w:r>
        <w:tab/>
      </w:r>
      <w:r>
        <w:t xml:space="preserve">Log return và volatility clustering</w:t>
      </w:r>
    </w:p>
    <w:p>
      <w:pPr>
        <w:pStyle w:val="CaptionedFigure"/>
      </w:pPr>
      <w:r>
        <w:drawing>
          <wp:inline>
            <wp:extent cx="5067300" cy="3040380"/>
            <wp:effectExtent b="0" l="0" r="0" t="0"/>
            <wp:docPr descr="Log return hằng ngày của FPT" title="" id="28" name="Picture"/>
            <a:graphic>
              <a:graphicData uri="http://schemas.openxmlformats.org/drawingml/2006/picture">
                <pic:pic>
                  <pic:nvPicPr>
                    <pic:cNvPr descr="report_files/6ecb168f34931d1903f7dea0f5dd7571269a9e58.png" id="29" name="Picture"/>
                    <pic:cNvPicPr>
                      <a:picLocks noChangeArrowheads="1" noChangeAspect="1"/>
                    </pic:cNvPicPr>
                  </pic:nvPicPr>
                  <pic:blipFill>
                    <a:blip r:embed="rId27"/>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Log return hằng ngày của FPT</w:t>
      </w:r>
    </w:p>
    <w:p>
      <w:pPr>
        <w:pStyle w:val="BodyText"/>
      </w:pPr>
      <w:r>
        <w:t xml:space="preserve">Return dao động quanh 0 nhưng biên độ không ổn định: giai đoạn biến động lớn thường xuất hiện gần nhau. Đây là dấu hiệu thăm dò của volatility clustering; ARCH-LM ở phần GARCH kiểm định chính thức cấu trúc phương sai.</w:t>
      </w:r>
    </w:p>
    <w:p>
      <w:pPr>
        <w:pStyle w:val="CaptionedFigure"/>
      </w:pPr>
      <w:r>
        <w:drawing>
          <wp:inline>
            <wp:extent cx="5067300" cy="3040380"/>
            <wp:effectExtent b="0" l="0" r="0" t="0"/>
            <wp:docPr descr="Bình phương log return và các cụm biến động" title="" id="31" name="Picture"/>
            <a:graphic>
              <a:graphicData uri="http://schemas.openxmlformats.org/drawingml/2006/picture">
                <pic:pic>
                  <pic:nvPicPr>
                    <pic:cNvPr descr="report_files/39a90fe9a43ce440494bcd58f27c5335a7926137.png" id="32" name="Picture"/>
                    <pic:cNvPicPr>
                      <a:picLocks noChangeArrowheads="1" noChangeAspect="1"/>
                    </pic:cNvPicPr>
                  </pic:nvPicPr>
                  <pic:blipFill>
                    <a:blip r:embed="rId30"/>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Bình phương log return và các cụm biến động</w:t>
      </w:r>
    </w:p>
    <w:p>
      <w:pPr>
        <w:pStyle w:val="BodyText"/>
      </w:pPr>
      <w:r>
        <w:t xml:space="preserve">Squared return loại dấu và giữ độ lớn shock. Các spike theo cụm củng cố động cơ dùng conditional variance model thay vì một variance cố định cho toàn sample.</w:t>
      </w:r>
    </w:p>
    <w:bookmarkEnd w:id="33"/>
    <w:bookmarkStart w:id="40" w:name="hình-dạng-phân-phối"/>
    <w:p>
      <w:pPr>
        <w:pStyle w:val="Heading2"/>
      </w:pPr>
      <w:r>
        <w:rPr>
          <w:rStyle w:val="SectionNumber"/>
        </w:rPr>
        <w:t xml:space="preserve">3.3</w:t>
      </w:r>
      <w:r>
        <w:tab/>
      </w:r>
      <w:r>
        <w:t xml:space="preserve">Hình dạng phân phối</w:t>
      </w:r>
    </w:p>
    <w:p>
      <w:pPr>
        <w:pStyle w:val="CaptionedFigure"/>
      </w:pPr>
      <w:r>
        <w:drawing>
          <wp:inline>
            <wp:extent cx="5067300" cy="3040380"/>
            <wp:effectExtent b="0" l="0" r="0" t="0"/>
            <wp:docPr descr="Phân phối thực nghiệm của log return so với Normal" title="" id="35" name="Picture"/>
            <a:graphic>
              <a:graphicData uri="http://schemas.openxmlformats.org/drawingml/2006/picture">
                <pic:pic>
                  <pic:nvPicPr>
                    <pic:cNvPr descr="report_files/d6dfc333042c8e35372628be3028ff60c275e4f6.png" id="36" name="Picture"/>
                    <pic:cNvPicPr>
                      <a:picLocks noChangeArrowheads="1" noChangeAspect="1"/>
                    </pic:cNvPicPr>
                  </pic:nvPicPr>
                  <pic:blipFill>
                    <a:blip r:embed="rId34"/>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Phân phối thực nghiệm của log return so với Normal</w:t>
      </w:r>
    </w:p>
    <w:p>
      <w:pPr>
        <w:pStyle w:val="BodyText"/>
      </w:pPr>
      <w:r>
        <w:t xml:space="preserve">Mật độ thực nghiệm lệch khỏi Normal cùng mean/SD, đặc biệt ở phần đuôi. Vì vậy dự án so sánh Normal với standardized Student-t trong GARCH.</w:t>
      </w:r>
    </w:p>
    <w:p>
      <w:pPr>
        <w:pStyle w:val="CaptionedFigure"/>
      </w:pPr>
      <w:r>
        <w:drawing>
          <wp:inline>
            <wp:extent cx="5067300" cy="3040380"/>
            <wp:effectExtent b="0" l="0" r="0" t="0"/>
            <wp:docPr descr="Q-Q plot của log return so với Normal" title="" id="38" name="Picture"/>
            <a:graphic>
              <a:graphicData uri="http://schemas.openxmlformats.org/drawingml/2006/picture">
                <pic:pic>
                  <pic:nvPicPr>
                    <pic:cNvPr descr="report_files/acb86307c8be53460776b14870722bbafc1d7226.png" id="39" name="Picture"/>
                    <pic:cNvPicPr>
                      <a:picLocks noChangeArrowheads="1" noChangeAspect="1"/>
                    </pic:cNvPicPr>
                  </pic:nvPicPr>
                  <pic:blipFill>
                    <a:blip r:embed="rId37"/>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Q-Q plot của log return so với Normal</w:t>
      </w:r>
    </w:p>
    <w:p>
      <w:pPr>
        <w:pStyle w:val="BodyText"/>
      </w:pPr>
      <w:r>
        <w:t xml:space="preserve">Các điểm lệch đường tham chiếu ở hai đuôi gợi ý heavy tails. Q-Q plot chỉ là chẩn đoán trực quan; adjusted Pearson GOF sau GARCH mới kiểm tra distribution fit định lượng.</w:t>
      </w:r>
    </w:p>
    <w:bookmarkEnd w:id="40"/>
    <w:bookmarkStart w:id="50" w:name="tự-tương-quan-và-yếu-tố-lịch"/>
    <w:p>
      <w:pPr>
        <w:pStyle w:val="Heading2"/>
      </w:pPr>
      <w:r>
        <w:rPr>
          <w:rStyle w:val="SectionNumber"/>
        </w:rPr>
        <w:t xml:space="preserve">3.4</w:t>
      </w:r>
      <w:r>
        <w:tab/>
      </w:r>
      <w:r>
        <w:t xml:space="preserve">Tự tương quan và yếu tố lịch</w:t>
      </w:r>
    </w:p>
    <w:p>
      <w:pPr>
        <w:pStyle w:val="FirstParagraph"/>
      </w:pPr>
      <w:r>
        <w:drawing>
          <wp:inline>
            <wp:extent cx="2560320" cy="1564640"/>
            <wp:effectExtent b="0" l="0" r="0" t="0"/>
            <wp:docPr descr="ACF (trái) và PACF (phải) của log return" title="" id="42" name="Picture"/>
            <a:graphic>
              <a:graphicData uri="http://schemas.openxmlformats.org/drawingml/2006/picture">
                <pic:pic>
                  <pic:nvPicPr>
                    <pic:cNvPr descr="report_files/6b0879d2f6aa1e79f18eba538efc512bb1ceaf35.png" id="43" name="Picture"/>
                    <pic:cNvPicPr>
                      <a:picLocks noChangeArrowheads="1" noChangeAspect="1"/>
                    </pic:cNvPicPr>
                  </pic:nvPicPr>
                  <pic:blipFill>
                    <a:blip r:embed="rId41"/>
                    <a:stretch>
                      <a:fillRect/>
                    </a:stretch>
                  </pic:blipFill>
                  <pic:spPr bwMode="auto">
                    <a:xfrm>
                      <a:off x="0" y="0"/>
                      <a:ext cx="2560320" cy="1564640"/>
                    </a:xfrm>
                    <a:prstGeom prst="rect">
                      <a:avLst/>
                    </a:prstGeom>
                    <a:noFill/>
                    <a:ln w="9525">
                      <a:noFill/>
                      <a:headEnd/>
                      <a:tailEnd/>
                    </a:ln>
                  </pic:spPr>
                </pic:pic>
              </a:graphicData>
            </a:graphic>
          </wp:inline>
        </w:drawing>
      </w:r>
      <w:r>
        <w:drawing>
          <wp:inline>
            <wp:extent cx="2560320" cy="1564640"/>
            <wp:effectExtent b="0" l="0" r="0" t="0"/>
            <wp:docPr descr="ACF (trái) và PACF (phải) của log return" title="" id="45" name="Picture"/>
            <a:graphic>
              <a:graphicData uri="http://schemas.openxmlformats.org/drawingml/2006/picture">
                <pic:pic>
                  <pic:nvPicPr>
                    <pic:cNvPr descr="report_files/d83800d4a6828ee829854be418984babb8014edc.png" id="46" name="Picture"/>
                    <pic:cNvPicPr>
                      <a:picLocks noChangeArrowheads="1" noChangeAspect="1"/>
                    </pic:cNvPicPr>
                  </pic:nvPicPr>
                  <pic:blipFill>
                    <a:blip r:embed="rId44"/>
                    <a:stretch>
                      <a:fillRect/>
                    </a:stretch>
                  </pic:blipFill>
                  <pic:spPr bwMode="auto">
                    <a:xfrm>
                      <a:off x="0" y="0"/>
                      <a:ext cx="2560320" cy="1564640"/>
                    </a:xfrm>
                    <a:prstGeom prst="rect">
                      <a:avLst/>
                    </a:prstGeom>
                    <a:noFill/>
                    <a:ln w="9525">
                      <a:noFill/>
                      <a:headEnd/>
                      <a:tailEnd/>
                    </a:ln>
                  </pic:spPr>
                </pic:pic>
              </a:graphicData>
            </a:graphic>
          </wp:inline>
        </w:drawing>
      </w:r>
    </w:p>
    <w:p>
      <w:pPr>
        <w:pStyle w:val="BodyText"/>
      </w:pPr>
      <w:r>
        <w:t xml:space="preserve">ACF/PACF return quan sát dependence tuyến tính theo lag, không chứng minh quan hệ nhân quả. ACF return nhỏ không loại trừ dependence trong squared return hoặc conditional variance.</w:t>
      </w:r>
    </w:p>
    <w:p>
      <w:pPr>
        <w:pStyle w:val="CaptionedFigure"/>
      </w:pPr>
      <w:r>
        <w:drawing>
          <wp:inline>
            <wp:extent cx="5067300" cy="3040380"/>
            <wp:effectExtent b="0" l="0" r="0" t="0"/>
            <wp:docPr descr="Phân phối log return theo ngày trong tuần" title="" id="48" name="Picture"/>
            <a:graphic>
              <a:graphicData uri="http://schemas.openxmlformats.org/drawingml/2006/picture">
                <pic:pic>
                  <pic:nvPicPr>
                    <pic:cNvPr descr="report_files/28479bd788406ed4faef3f9fa77569baac177fce.png" id="49" name="Picture"/>
                    <pic:cNvPicPr>
                      <a:picLocks noChangeArrowheads="1" noChangeAspect="1"/>
                    </pic:cNvPicPr>
                  </pic:nvPicPr>
                  <pic:blipFill>
                    <a:blip r:embed="rId47"/>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Phân phối log return theo ngày trong tuần</w:t>
      </w:r>
    </w:p>
    <w:p>
      <w:pPr>
        <w:pStyle w:val="BodyText"/>
      </w:pPr>
      <w:r>
        <w:t xml:space="preserve">Boxplot weekday chỉ là bằng chứng thăm dò. Dự án không tuyên bố weekday effect vì chưa có kiểm định chuyên biệt và điều chỉnh multiple testing. SARIMA chu kỳ 5 được xem là một specification thử nghiệm, không phải bằng chứng mùa vụ đã được xác nhận.</w:t>
      </w:r>
    </w:p>
    <w:bookmarkEnd w:id="50"/>
    <w:bookmarkEnd w:id="51"/>
    <w:bookmarkStart w:id="63" w:name="tính-dừng-và-dự-báo-giá"/>
    <w:p>
      <w:pPr>
        <w:pStyle w:val="Heading1"/>
      </w:pPr>
      <w:r>
        <w:rPr>
          <w:rStyle w:val="SectionNumber"/>
        </w:rPr>
        <w:t xml:space="preserve">4</w:t>
      </w:r>
      <w:r>
        <w:tab/>
      </w:r>
      <w:r>
        <w:t xml:space="preserve">Tính dừng và dự báo giá</w:t>
      </w:r>
    </w:p>
    <w:bookmarkStart w:id="52" w:name="kiểm-định-adf"/>
    <w:p>
      <w:pPr>
        <w:pStyle w:val="Heading2"/>
      </w:pPr>
      <w:r>
        <w:rPr>
          <w:rStyle w:val="SectionNumber"/>
        </w:rPr>
        <w:t xml:space="preserve">4.1</w:t>
      </w:r>
      <w:r>
        <w:tab/>
      </w:r>
      <w:r>
        <w:t xml:space="preserve">Kiểm định ADF</w:t>
      </w:r>
    </w:p>
    <w:p>
      <w:pPr>
        <w:pStyle w:val="FirstParagraph"/>
      </w:pPr>
      <w:r>
        <w:t xml:space="preserve">Augmented Dickey-Fuller kiểm định:</w:t>
      </w:r>
    </w:p>
    <w:p>
      <w:pPr>
        <w:pStyle w:val="Compact"/>
        <w:numPr>
          <w:ilvl w:val="0"/>
          <w:numId w:val="1003"/>
        </w:numPr>
      </w:pPr>
      <w:r>
        <w:t xml:space="preserve">H0: chuỗi có unit root, không dừng.</w:t>
      </w:r>
    </w:p>
    <w:p>
      <w:pPr>
        <w:pStyle w:val="Compact"/>
        <w:numPr>
          <w:ilvl w:val="0"/>
          <w:numId w:val="1003"/>
        </w:numPr>
      </w:pPr>
      <w:r>
        <w:t xml:space="preserve">H1: chuỗi dừng theo specification của kiểm định.</w:t>
      </w:r>
    </w:p>
    <w:p>
      <w:pPr>
        <w:pStyle w:val="FirstParagraph"/>
      </w:pPr>
      <w:r>
        <w:t xml:space="preserve">P-value lớn được diễn giải là “chưa đủ bằng chứng bác bỏ H0”, không phải “chấp nhận H0”.</w:t>
      </w:r>
    </w:p>
    <w:p>
      <w:pPr>
        <w:pStyle w:val="TableCaption"/>
      </w:pPr>
      <w:r>
        <w:t xml:space="preserve">Kết quả kiểm định ADF trên dữ liệu sạch</w:t>
      </w:r>
    </w:p>
    <w:tbl>
      <w:tblPr>
        <w:tblStyle w:val="Table"/>
        <w:tblW w:type="pct" w:w="5000"/>
        <w:tblLayout w:type="fixed"/>
        <w:tblLook w:firstRow="1" w:lastRow="0" w:firstColumn="0" w:lastColumn="0" w:noHBand="0" w:noVBand="0" w:val="0020"/>
        <w:tblCaption w:val="Kết quả kiểm định ADF trên dữ liệu sạch"/>
      </w:tblPr>
      <w:tblGrid>
        <w:gridCol w:w="3103"/>
        <w:gridCol w:w="1498"/>
        <w:gridCol w:w="856"/>
        <w:gridCol w:w="2461"/>
      </w:tblGrid>
      <w:tr>
        <w:trPr>
          <w:tblHeader w:val="on"/>
        </w:trPr>
        <w:tc>
          <w:tcPr/>
          <w:p>
            <w:pPr>
              <w:pStyle w:val="Compact"/>
              <w:jc w:val="left"/>
            </w:pPr>
            <w:r>
              <w:t xml:space="preserve">Series</w:t>
            </w:r>
          </w:p>
        </w:tc>
        <w:tc>
          <w:tcPr/>
          <w:p>
            <w:pPr>
              <w:pStyle w:val="Compact"/>
              <w:jc w:val="right"/>
            </w:pPr>
            <w:r>
              <w:t xml:space="preserve">ADF_Statistic</w:t>
            </w:r>
          </w:p>
        </w:tc>
        <w:tc>
          <w:tcPr/>
          <w:p>
            <w:pPr>
              <w:pStyle w:val="Compact"/>
              <w:jc w:val="right"/>
            </w:pPr>
            <w:r>
              <w:t xml:space="preserve">P_Value</w:t>
            </w:r>
          </w:p>
        </w:tc>
        <w:tc>
          <w:tcPr/>
          <w:p>
            <w:pPr>
              <w:pStyle w:val="Compact"/>
              <w:jc w:val="left"/>
            </w:pPr>
            <w:r>
              <w:t xml:space="preserve">Stationary</w:t>
            </w:r>
          </w:p>
        </w:tc>
      </w:tr>
      <w:tr>
        <w:tc>
          <w:tcPr/>
          <w:p>
            <w:pPr>
              <w:pStyle w:val="Compact"/>
              <w:jc w:val="left"/>
            </w:pPr>
            <w:r>
              <w:t xml:space="preserve">Giá đóng cửa (Close)</w:t>
            </w:r>
          </w:p>
        </w:tc>
        <w:tc>
          <w:tcPr/>
          <w:p>
            <w:pPr>
              <w:pStyle w:val="Compact"/>
              <w:jc w:val="right"/>
            </w:pPr>
            <w:r>
              <w:t xml:space="preserve">-1.7892</w:t>
            </w:r>
          </w:p>
        </w:tc>
        <w:tc>
          <w:tcPr/>
          <w:p>
            <w:pPr>
              <w:pStyle w:val="Compact"/>
              <w:jc w:val="right"/>
            </w:pPr>
            <w:r>
              <w:t xml:space="preserve">0.6676</w:t>
            </w:r>
          </w:p>
        </w:tc>
        <w:tc>
          <w:tcPr/>
          <w:p>
            <w:pPr>
              <w:pStyle w:val="Compact"/>
              <w:jc w:val="left"/>
            </w:pPr>
            <w:r>
              <w:t xml:space="preserve">Không (Non-stationary)</w:t>
            </w:r>
          </w:p>
        </w:tc>
      </w:tr>
      <w:tr>
        <w:tc>
          <w:tcPr/>
          <w:p>
            <w:pPr>
              <w:pStyle w:val="Compact"/>
              <w:jc w:val="left"/>
            </w:pPr>
            <w:r>
              <w:t xml:space="preserve">Log giá đóng cửa (Log Close)</w:t>
            </w:r>
          </w:p>
        </w:tc>
        <w:tc>
          <w:tcPr/>
          <w:p>
            <w:pPr>
              <w:pStyle w:val="Compact"/>
              <w:jc w:val="right"/>
            </w:pPr>
            <w:r>
              <w:t xml:space="preserve">-1.3194</w:t>
            </w:r>
          </w:p>
        </w:tc>
        <w:tc>
          <w:tcPr/>
          <w:p>
            <w:pPr>
              <w:pStyle w:val="Compact"/>
              <w:jc w:val="right"/>
            </w:pPr>
            <w:r>
              <w:t xml:space="preserve">0.8665</w:t>
            </w:r>
          </w:p>
        </w:tc>
        <w:tc>
          <w:tcPr/>
          <w:p>
            <w:pPr>
              <w:pStyle w:val="Compact"/>
              <w:jc w:val="left"/>
            </w:pPr>
            <w:r>
              <w:t xml:space="preserve">Không (Non-stationary)</w:t>
            </w:r>
          </w:p>
        </w:tc>
      </w:tr>
      <w:tr>
        <w:tc>
          <w:tcPr/>
          <w:p>
            <w:pPr>
              <w:pStyle w:val="Compact"/>
              <w:jc w:val="left"/>
            </w:pPr>
            <w:r>
              <w:t xml:space="preserve">Lợi suất Log (Return)</w:t>
            </w:r>
          </w:p>
        </w:tc>
        <w:tc>
          <w:tcPr/>
          <w:p>
            <w:pPr>
              <w:pStyle w:val="Compact"/>
              <w:jc w:val="right"/>
            </w:pPr>
            <w:r>
              <w:t xml:space="preserve">-13.7914</w:t>
            </w:r>
          </w:p>
        </w:tc>
        <w:tc>
          <w:tcPr/>
          <w:p>
            <w:pPr>
              <w:pStyle w:val="Compact"/>
              <w:jc w:val="right"/>
            </w:pPr>
            <w:r>
              <w:t xml:space="preserve">0.0100</w:t>
            </w:r>
          </w:p>
        </w:tc>
        <w:tc>
          <w:tcPr/>
          <w:p>
            <w:pPr>
              <w:pStyle w:val="Compact"/>
              <w:jc w:val="left"/>
            </w:pPr>
            <w:r>
              <w:t xml:space="preserve">Có (Stationary)</w:t>
            </w:r>
          </w:p>
        </w:tc>
      </w:tr>
    </w:tbl>
    <w:p>
      <w:pPr>
        <w:pStyle w:val="BodyText"/>
      </w:pPr>
      <w:r>
        <w:rPr>
          <w:rStyle w:val="VerbatimChar"/>
        </w:rPr>
        <w:t xml:space="preserve">close</w:t>
      </w:r>
      <w:r>
        <w:t xml:space="preserve"> </w:t>
      </w:r>
      <w:r>
        <w:t xml:space="preserve">và</w:t>
      </w:r>
      <w:r>
        <w:t xml:space="preserve"> </w:t>
      </w:r>
      <w:r>
        <w:rPr>
          <w:rStyle w:val="VerbatimChar"/>
        </w:rPr>
        <w:t xml:space="preserve">log_close</w:t>
      </w:r>
      <w:r>
        <w:t xml:space="preserve"> </w:t>
      </w:r>
      <w:r>
        <w:t xml:space="preserve">có p-value lần lượt 0.6676 và 0.8665, nên chưa bác bỏ unit root ở mức 5%.</w:t>
      </w:r>
      <w:r>
        <w:t xml:space="preserve"> </w:t>
      </w:r>
      <w:r>
        <w:rPr>
          <w:rStyle w:val="VerbatimChar"/>
        </w:rPr>
        <w:t xml:space="preserve">return</w:t>
      </w:r>
      <w:r>
        <w:t xml:space="preserve"> </w:t>
      </w:r>
      <w:r>
        <w:t xml:space="preserve">có p-value được</w:t>
      </w:r>
      <w:r>
        <w:t xml:space="preserve"> </w:t>
      </w:r>
      <w:r>
        <w:rPr>
          <w:rStyle w:val="VerbatimChar"/>
        </w:rPr>
        <w:t xml:space="preserve">adf.test()</w:t>
      </w:r>
      <w:r>
        <w:t xml:space="preserve"> </w:t>
      </w:r>
      <w:r>
        <w:t xml:space="preserve">báo ở cận dưới 0,01, nên bác bỏ unit root. Log transform thay đổi scale nhưng không tự loại stochastic trend; sai phân log tạo return phù hợp hơn cho GARCH.</w:t>
      </w:r>
    </w:p>
    <w:bookmarkEnd w:id="52"/>
    <w:bookmarkStart w:id="53" w:name="thiết-kế-forecast"/>
    <w:p>
      <w:pPr>
        <w:pStyle w:val="Heading2"/>
      </w:pPr>
      <w:r>
        <w:rPr>
          <w:rStyle w:val="SectionNumber"/>
        </w:rPr>
        <w:t xml:space="preserve">4.2</w:t>
      </w:r>
      <w:r>
        <w:tab/>
      </w:r>
      <w:r>
        <w:t xml:space="preserve">Thiết kế forecast</w:t>
      </w:r>
    </w:p>
    <w:p>
      <w:pPr>
        <w:pStyle w:val="FirstParagraph"/>
      </w:pPr>
      <w:r>
        <w:t xml:space="preserve">Dữ liệu được chia theo thời gian, không shuffle. Ba mươi phiên cuối tạo holdout chung cho bảy phương pháp. Rolling-origin CV bắt đầu từ 80% model sample, dùng horizon 20 và step 20, tạo 27 folds cho Naive, Drift, ARIMA, ETS và ETS Damped. SARIMA và ARIMAX chưa có cùng CV coverage, nên chỉ được đánh giá trên final holdout.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Mô hình</w:t>
            </w:r>
          </w:p>
        </w:tc>
        <w:tc>
          <w:tcPr/>
          <w:p>
            <w:pPr>
              <w:pStyle w:val="Compact"/>
            </w:pPr>
            <w:r>
              <w:t xml:space="preserve">Ý tưởng</w:t>
            </w:r>
          </w:p>
        </w:tc>
      </w:tr>
      <w:tr>
        <w:tc>
          <w:tcPr/>
          <w:p>
            <w:pPr>
              <w:pStyle w:val="Compact"/>
            </w:pPr>
            <w:r>
              <w:t xml:space="preserve">Naive</w:t>
            </w:r>
          </w:p>
        </w:tc>
        <w:tc>
          <w:tcPr/>
          <w:p>
            <w:pPr>
              <w:pStyle w:val="Compact"/>
            </w:pPr>
            <w:r>
              <w:t xml:space="preserve">Mọi dự báo bằng giá cuối tập train</w:t>
            </w:r>
          </w:p>
        </w:tc>
      </w:tr>
      <w:tr>
        <w:tc>
          <w:tcPr/>
          <w:p>
            <w:pPr>
              <w:pStyle w:val="Compact"/>
            </w:pPr>
            <w:r>
              <w:t xml:space="preserve">Drift</w:t>
            </w:r>
          </w:p>
        </w:tc>
        <w:tc>
          <w:tcPr/>
          <w:p>
            <w:pPr>
              <w:pStyle w:val="Compact"/>
            </w:pPr>
            <w:r>
              <w:t xml:space="preserve">Random walk cộng độ trôi trung bình lịch sử</w:t>
            </w:r>
          </w:p>
        </w:tc>
      </w:tr>
      <w:tr>
        <w:tc>
          <w:tcPr/>
          <w:p>
            <w:pPr>
              <w:pStyle w:val="Compact"/>
            </w:pPr>
            <w:r>
              <w:t xml:space="preserve">ARIMA</w:t>
            </w:r>
          </w:p>
        </w:tc>
        <w:tc>
          <w:tcPr/>
          <w:p>
            <w:pPr>
              <w:pStyle w:val="Compact"/>
            </w:pPr>
            <w:r>
              <w:t xml:space="preserve">AR, sai phân và MA; order được</w:t>
            </w:r>
            <w:r>
              <w:t xml:space="preserve"> </w:t>
            </w:r>
            <w:r>
              <w:rPr>
                <w:rStyle w:val="VerbatimChar"/>
              </w:rPr>
              <w:t xml:space="preserve">auto.arima()</w:t>
            </w:r>
            <w:r>
              <w:t xml:space="preserve"> </w:t>
            </w:r>
            <w:r>
              <w:t xml:space="preserve">lựa chọn</w:t>
            </w:r>
          </w:p>
        </w:tc>
      </w:tr>
      <w:tr>
        <w:tc>
          <w:tcPr/>
          <w:p>
            <w:pPr>
              <w:pStyle w:val="Compact"/>
            </w:pPr>
            <w:r>
              <w:t xml:space="preserve">SARIMA</w:t>
            </w:r>
          </w:p>
        </w:tc>
        <w:tc>
          <w:tcPr/>
          <w:p>
            <w:pPr>
              <w:pStyle w:val="Compact"/>
            </w:pPr>
            <w:r>
              <w:t xml:space="preserve">Thử thêm cấu trúc chu kỳ 5 phiên</w:t>
            </w:r>
          </w:p>
        </w:tc>
      </w:tr>
      <w:tr>
        <w:tc>
          <w:tcPr/>
          <w:p>
            <w:pPr>
              <w:pStyle w:val="Compact"/>
            </w:pPr>
            <w:r>
              <w:t xml:space="preserve">ETS</w:t>
            </w:r>
          </w:p>
        </w:tc>
        <w:tc>
          <w:tcPr/>
          <w:p>
            <w:pPr>
              <w:pStyle w:val="Compact"/>
            </w:pPr>
            <w:r>
              <w:t xml:space="preserve">State-space error, trend và seasonality</w:t>
            </w:r>
          </w:p>
        </w:tc>
      </w:tr>
      <w:tr>
        <w:tc>
          <w:tcPr/>
          <w:p>
            <w:pPr>
              <w:pStyle w:val="Compact"/>
            </w:pPr>
            <w:r>
              <w:t xml:space="preserve">ETS Damped</w:t>
            </w:r>
          </w:p>
        </w:tc>
        <w:tc>
          <w:tcPr/>
          <w:p>
            <w:pPr>
              <w:pStyle w:val="Compact"/>
            </w:pPr>
            <w:r>
              <w:t xml:space="preserve">ETS với trend tắt dần</w:t>
            </w:r>
          </w:p>
        </w:tc>
      </w:tr>
      <w:tr>
        <w:tc>
          <w:tcPr/>
          <w:p>
            <w:pPr>
              <w:pStyle w:val="Compact"/>
            </w:pPr>
            <w:r>
              <w:t xml:space="preserve">ARIMAX Lagged</w:t>
            </w:r>
          </w:p>
        </w:tc>
        <w:tc>
          <w:tcPr/>
          <w:p>
            <w:pPr>
              <w:pStyle w:val="Compact"/>
            </w:pPr>
            <w:r>
              <w:t xml:space="preserve">ARIMA cộng</w:t>
            </w:r>
            <w:r>
              <w:t xml:space="preserve"> </w:t>
            </w:r>
            <w:r>
              <w:rPr>
                <w:rStyle w:val="VerbatimChar"/>
              </w:rPr>
              <w:t xml:space="preserve">lag_volume</w:t>
            </w:r>
            <w:r>
              <w:t xml:space="preserve">,</w:t>
            </w:r>
            <w:r>
              <w:t xml:space="preserve"> </w:t>
            </w:r>
            <w:r>
              <w:rPr>
                <w:rStyle w:val="VerbatimChar"/>
              </w:rPr>
              <w:t xml:space="preserve">lag_daily_range</w:t>
            </w:r>
            <w:r>
              <w:t xml:space="preserve">,</w:t>
            </w:r>
            <w:r>
              <w:t xml:space="preserve"> </w:t>
            </w:r>
            <w:r>
              <w:rPr>
                <w:rStyle w:val="VerbatimChar"/>
              </w:rPr>
              <w:t xml:space="preserve">lag_return</w:t>
            </w:r>
          </w:p>
        </w:tc>
      </w:tr>
    </w:tbl>
    <w:p>
      <w:pPr>
        <w:pStyle w:val="BodyText"/>
      </w:pPr>
      <w:r>
        <w:t xml:space="preserve">ARIMAX chỉ dùng biến trễ một phiên để tránh dùng trực tiếp thông tin cùng ngày. Tuy nhiên, triển khai thực tế vẫn phải bảo đảm xreg có sẵn đúng thời điểm forecast.</w:t>
      </w:r>
    </w:p>
    <w:bookmarkEnd w:id="53"/>
    <w:bookmarkStart w:id="54" w:name="metric-và-diagnostics"/>
    <w:p>
      <w:pPr>
        <w:pStyle w:val="Heading2"/>
      </w:pPr>
      <w:r>
        <w:rPr>
          <w:rStyle w:val="SectionNumber"/>
        </w:rPr>
        <w:t xml:space="preserve">4.3</w:t>
      </w:r>
      <w:r>
        <w:tab/>
      </w:r>
      <w:r>
        <w:t xml:space="preserve">Metric và diagnostics</w:t>
      </w:r>
    </w:p>
    <w:p>
      <w:pPr>
        <w:pStyle w:val="FirstParagraph"/>
      </w:pPr>
      <m:oMathPara>
        <m:oMathParaPr>
          <m:jc m:val="center"/>
        </m:oMathParaPr>
        <m:oMath>
          <m:r>
            <m:t>R</m:t>
          </m:r>
          <m:r>
            <m:t>M</m:t>
          </m:r>
          <m:r>
            <m:t>S</m:t>
          </m:r>
          <m:r>
            <m:t>E</m:t>
          </m:r>
          <m:r>
            <m:rPr>
              <m:sty m:val="p"/>
            </m:rPr>
            <m:t>=</m:t>
          </m:r>
          <m:rad>
            <m:radPr>
              <m:degHide m:val="on"/>
            </m:radPr>
            <m:deg/>
            <m:e>
              <m:f>
                <m:fPr>
                  <m:type m:val="bar"/>
                </m:fPr>
                <m:num>
                  <m:r>
                    <m:t>1</m:t>
                  </m:r>
                </m:num>
                <m:den>
                  <m:r>
                    <m:t>n</m:t>
                  </m:r>
                </m:den>
              </m:f>
              <m:r>
                <m:rPr>
                  <m:sty m:val="p"/>
                </m:rPr>
                <m:t>∑</m:t>
              </m:r>
              <m:sSubSup>
                <m:e>
                  <m:r>
                    <m:t>e</m:t>
                  </m:r>
                </m:e>
                <m:sub>
                  <m:r>
                    <m:t>t</m:t>
                  </m:r>
                </m:sub>
                <m:sup>
                  <m:r>
                    <m:t>2</m:t>
                  </m:r>
                </m:sup>
              </m:sSubSup>
            </m:e>
          </m:rad>
          <m:r>
            <m:rPr>
              <m:sty m:val="p"/>
            </m:rPr>
            <m:t>,</m:t>
          </m:r>
          <m:r>
            <m:t>  </m:t>
          </m:r>
          <m:r>
            <m:t>M</m:t>
          </m:r>
          <m:r>
            <m:t>A</m:t>
          </m:r>
          <m:r>
            <m:t>E</m:t>
          </m:r>
          <m:r>
            <m:rPr>
              <m:sty m:val="p"/>
            </m:rPr>
            <m:t>=</m:t>
          </m:r>
          <m:f>
            <m:fPr>
              <m:type m:val="bar"/>
            </m:fPr>
            <m:num>
              <m:r>
                <m:t>1</m:t>
              </m:r>
            </m:num>
            <m:den>
              <m:r>
                <m:t>n</m:t>
              </m:r>
            </m:den>
          </m:f>
          <m:r>
            <m:rPr>
              <m:sty m:val="p"/>
            </m:rPr>
            <m:t>∑</m:t>
          </m:r>
          <m:r>
            <m:rPr>
              <m:sty m:val="p"/>
            </m:rPr>
            <m:t>|</m:t>
          </m:r>
          <m:sSub>
            <m:e>
              <m:r>
                <m:t>e</m:t>
              </m:r>
            </m:e>
            <m:sub>
              <m:r>
                <m:t>t</m:t>
              </m:r>
            </m:sub>
          </m:sSub>
          <m:r>
            <m:rPr>
              <m:sty m:val="p"/>
            </m:rPr>
            <m:t>|</m:t>
          </m:r>
          <m:r>
            <m:rPr>
              <m:sty m:val="p"/>
            </m:rPr>
            <m:t>,</m:t>
          </m:r>
          <m:r>
            <m:t>  </m:t>
          </m:r>
          <m:r>
            <m:t>M</m:t>
          </m:r>
          <m:r>
            <m:t>A</m:t>
          </m:r>
          <m:r>
            <m:t>P</m:t>
          </m:r>
          <m:r>
            <m:t>E</m:t>
          </m:r>
          <m:r>
            <m:rPr>
              <m:sty m:val="p"/>
            </m:rPr>
            <m:t>=</m:t>
          </m:r>
          <m:f>
            <m:fPr>
              <m:type m:val="bar"/>
            </m:fPr>
            <m:num>
              <m:r>
                <m:t>100</m:t>
              </m:r>
            </m:num>
            <m:den>
              <m:r>
                <m:t>n</m:t>
              </m:r>
            </m:den>
          </m:f>
          <m:r>
            <m:rPr>
              <m:sty m:val="p"/>
            </m:rPr>
            <m:t>∑</m:t>
          </m:r>
          <m:d>
            <m:dPr>
              <m:begChr m:val="|"/>
              <m:sepChr m:val=""/>
              <m:endChr m:val="|"/>
              <m:grow/>
            </m:dPr>
            <m:e>
              <m:f>
                <m:fPr>
                  <m:type m:val="bar"/>
                </m:fPr>
                <m:num>
                  <m:sSub>
                    <m:e>
                      <m:r>
                        <m:t>e</m:t>
                      </m:r>
                    </m:e>
                    <m:sub>
                      <m:r>
                        <m:t>t</m:t>
                      </m:r>
                    </m:sub>
                  </m:sSub>
                </m:num>
                <m:den>
                  <m:sSub>
                    <m:e>
                      <m:r>
                        <m:t>y</m:t>
                      </m:r>
                    </m:e>
                    <m:sub>
                      <m:r>
                        <m:t>t</m:t>
                      </m:r>
                    </m:sub>
                  </m:sSub>
                </m:den>
              </m:f>
            </m:e>
          </m:d>
          <m:r>
            <m:rPr>
              <m:sty m:val="p"/>
            </m:rPr>
            <m:t>.</m:t>
          </m:r>
        </m:oMath>
      </m:oMathPara>
    </w:p>
    <w:p>
      <w:pPr>
        <w:pStyle w:val="FirstParagraph"/>
      </w:pPr>
      <w:r>
        <w:t xml:space="preserve">Ba metric đều có hướng nhỏ hơn tốt hơn. RMSE phạt lỗi lớn mạnh hơn MAE; MAPE cho tỷ lệ tương đối nhưng không phù hợp khi actual gần 0. Ljung-Box residual có H0 là không có autocorrelation đến lag kiểm tra. P-value nhỏ cho thấy model còn bỏ sót mean dynamics.</w:t>
      </w:r>
    </w:p>
    <w:bookmarkEnd w:id="54"/>
    <w:bookmarkStart w:id="61" w:name="kết-quả-holdout-cv-và-residual"/>
    <w:p>
      <w:pPr>
        <w:pStyle w:val="Heading2"/>
      </w:pPr>
      <w:r>
        <w:rPr>
          <w:rStyle w:val="SectionNumber"/>
        </w:rPr>
        <w:t xml:space="preserve">4.4</w:t>
      </w:r>
      <w:r>
        <w:tab/>
      </w:r>
      <w:r>
        <w:t xml:space="preserve">Kết quả holdout, CV và residual</w:t>
      </w:r>
    </w:p>
    <w:p>
      <w:pPr>
        <w:pStyle w:val="TableCaption"/>
      </w:pPr>
      <w:r>
        <w:t xml:space="preserve">So sánh forecast bằng holdout, rolling CV và Ljung-Box</w:t>
      </w:r>
    </w:p>
    <w:tbl>
      <w:tblPr>
        <w:tblStyle w:val="Table"/>
        <w:tblW w:type="pct" w:w="5000"/>
        <w:tblLayout w:type="fixed"/>
        <w:tblLook w:firstRow="1" w:lastRow="0" w:firstColumn="0" w:lastColumn="0" w:noHBand="0" w:noVBand="0" w:val="0020"/>
        <w:tblCaption w:val="So sánh forecast bằng holdout, rolling CV và Ljung-Box"/>
      </w:tblPr>
      <w:tblGrid>
        <w:gridCol w:w="606"/>
        <w:gridCol w:w="341"/>
        <w:gridCol w:w="341"/>
        <w:gridCol w:w="265"/>
        <w:gridCol w:w="606"/>
        <w:gridCol w:w="492"/>
        <w:gridCol w:w="492"/>
        <w:gridCol w:w="492"/>
        <w:gridCol w:w="795"/>
        <w:gridCol w:w="947"/>
        <w:gridCol w:w="2538"/>
      </w:tblGrid>
      <w:tr>
        <w:trPr>
          <w:tblHeader w:val="on"/>
        </w:trPr>
        <w:tc>
          <w:tcPr/>
          <w:p>
            <w:pPr>
              <w:pStyle w:val="Compact"/>
              <w:jc w:val="left"/>
            </w:pPr>
            <w:r>
              <w:t xml:space="preserve">model</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t xml:space="preserve">final_rmse_rank</w:t>
            </w:r>
          </w:p>
        </w:tc>
        <w:tc>
          <w:tcPr/>
          <w:p>
            <w:pPr>
              <w:pStyle w:val="Compact"/>
              <w:jc w:val="right"/>
            </w:pPr>
            <w:r>
              <w:t xml:space="preserve">cv_mean_rmse</w:t>
            </w:r>
          </w:p>
        </w:tc>
        <w:tc>
          <w:tcPr/>
          <w:p>
            <w:pPr>
              <w:pStyle w:val="Compact"/>
              <w:jc w:val="right"/>
            </w:pPr>
            <w:r>
              <w:t xml:space="preserve">cv_mean_mape</w:t>
            </w:r>
          </w:p>
        </w:tc>
        <w:tc>
          <w:tcPr/>
          <w:p>
            <w:pPr>
              <w:pStyle w:val="Compact"/>
              <w:jc w:val="right"/>
            </w:pPr>
            <w:r>
              <w:t xml:space="preserve">cv_rmse_rank</w:t>
            </w:r>
          </w:p>
        </w:tc>
        <w:tc>
          <w:tcPr/>
          <w:p>
            <w:pPr>
              <w:pStyle w:val="Compact"/>
              <w:jc w:val="right"/>
            </w:pPr>
            <w:r>
              <w:t xml:space="preserve">residual_ljung_box_p</w:t>
            </w:r>
          </w:p>
        </w:tc>
        <w:tc>
          <w:tcPr/>
          <w:p>
            <w:pPr>
              <w:pStyle w:val="Compact"/>
              <w:jc w:val="left"/>
            </w:pPr>
            <w:r>
              <w:t xml:space="preserve">residual_diagnostic_pass</w:t>
            </w:r>
          </w:p>
        </w:tc>
        <w:tc>
          <w:tcPr/>
          <w:p>
            <w:pPr>
              <w:pStyle w:val="Compact"/>
              <w:jc w:val="left"/>
            </w:pPr>
            <w:r>
              <w:t xml:space="preserve">evidence_assessment</w:t>
            </w:r>
          </w:p>
        </w:tc>
      </w:tr>
      <w:tr>
        <w:tc>
          <w:tcPr/>
          <w:p>
            <w:pPr>
              <w:pStyle w:val="Compact"/>
              <w:jc w:val="left"/>
            </w:pPr>
            <w:r>
              <w:t xml:space="preserve">ETS Damped</w:t>
            </w:r>
          </w:p>
        </w:tc>
        <w:tc>
          <w:tcPr/>
          <w:p>
            <w:pPr>
              <w:pStyle w:val="Compact"/>
              <w:jc w:val="right"/>
            </w:pPr>
            <w:r>
              <w:t xml:space="preserve">1939.127</w:t>
            </w:r>
          </w:p>
        </w:tc>
        <w:tc>
          <w:tcPr/>
          <w:p>
            <w:pPr>
              <w:pStyle w:val="Compact"/>
              <w:jc w:val="right"/>
            </w:pPr>
            <w:r>
              <w:t xml:space="preserve">1524.155</w:t>
            </w:r>
          </w:p>
        </w:tc>
        <w:tc>
          <w:tcPr/>
          <w:p>
            <w:pPr>
              <w:pStyle w:val="Compact"/>
              <w:jc w:val="right"/>
            </w:pPr>
            <w:r>
              <w:t xml:space="preserve">2.1039</w:t>
            </w:r>
          </w:p>
        </w:tc>
        <w:tc>
          <w:tcPr/>
          <w:p>
            <w:pPr>
              <w:pStyle w:val="Compact"/>
              <w:jc w:val="right"/>
            </w:pPr>
            <w:r>
              <w:t xml:space="preserve">1</w:t>
            </w:r>
          </w:p>
        </w:tc>
        <w:tc>
          <w:tcPr/>
          <w:p>
            <w:pPr>
              <w:pStyle w:val="Compact"/>
              <w:jc w:val="right"/>
            </w:pPr>
            <w:r>
              <w:t xml:space="preserve">5404.762</w:t>
            </w:r>
          </w:p>
        </w:tc>
        <w:tc>
          <w:tcPr/>
          <w:p>
            <w:pPr>
              <w:pStyle w:val="Compact"/>
              <w:jc w:val="right"/>
            </w:pPr>
            <w:r>
              <w:t xml:space="preserve">4.7413</w:t>
            </w:r>
          </w:p>
        </w:tc>
        <w:tc>
          <w:tcPr/>
          <w:p>
            <w:pPr>
              <w:pStyle w:val="Compact"/>
              <w:jc w:val="right"/>
            </w:pPr>
            <w:r>
              <w:t xml:space="preserve">3</w:t>
            </w:r>
          </w:p>
        </w:tc>
        <w:tc>
          <w:tcPr/>
          <w:p>
            <w:pPr>
              <w:pStyle w:val="Compact"/>
              <w:jc w:val="right"/>
            </w:pPr>
            <w:r>
              <w:t xml:space="preserve">0.0015</w:t>
            </w:r>
          </w:p>
        </w:tc>
        <w:tc>
          <w:tcPr/>
          <w:p>
            <w:pPr>
              <w:pStyle w:val="Compact"/>
              <w:jc w:val="left"/>
            </w:pPr>
            <w:r>
              <w:t xml:space="preserve">FALSE</w:t>
            </w:r>
          </w:p>
        </w:tc>
        <w:tc>
          <w:tcPr/>
          <w:p>
            <w:pPr>
              <w:pStyle w:val="Compact"/>
              <w:jc w:val="left"/>
            </w:pPr>
            <w:r>
              <w:t xml:space="preserve">Mixed evidence across holdout, rolling CV, or residual diagnostics</w:t>
            </w:r>
          </w:p>
        </w:tc>
      </w:tr>
      <w:tr>
        <w:tc>
          <w:tcPr/>
          <w:p>
            <w:pPr>
              <w:pStyle w:val="Compact"/>
              <w:jc w:val="left"/>
            </w:pPr>
            <w:r>
              <w:t xml:space="preserve">Naive</w:t>
            </w:r>
          </w:p>
        </w:tc>
        <w:tc>
          <w:tcPr/>
          <w:p>
            <w:pPr>
              <w:pStyle w:val="Compact"/>
              <w:jc w:val="right"/>
            </w:pPr>
            <w:r>
              <w:t xml:space="preserve">1939.849</w:t>
            </w:r>
          </w:p>
        </w:tc>
        <w:tc>
          <w:tcPr/>
          <w:p>
            <w:pPr>
              <w:pStyle w:val="Compact"/>
              <w:jc w:val="right"/>
            </w:pPr>
            <w:r>
              <w:t xml:space="preserve">1525.325</w:t>
            </w:r>
          </w:p>
        </w:tc>
        <w:tc>
          <w:tcPr/>
          <w:p>
            <w:pPr>
              <w:pStyle w:val="Compact"/>
              <w:jc w:val="right"/>
            </w:pPr>
            <w:r>
              <w:t xml:space="preserve">2.1056</w:t>
            </w:r>
          </w:p>
        </w:tc>
        <w:tc>
          <w:tcPr/>
          <w:p>
            <w:pPr>
              <w:pStyle w:val="Compact"/>
              <w:jc w:val="right"/>
            </w:pPr>
            <w:r>
              <w:t xml:space="preserve">2</w:t>
            </w:r>
          </w:p>
        </w:tc>
        <w:tc>
          <w:tcPr/>
          <w:p>
            <w:pPr>
              <w:pStyle w:val="Compact"/>
              <w:jc w:val="right"/>
            </w:pPr>
            <w:r>
              <w:t xml:space="preserve">5353.942</w:t>
            </w:r>
          </w:p>
        </w:tc>
        <w:tc>
          <w:tcPr/>
          <w:p>
            <w:pPr>
              <w:pStyle w:val="Compact"/>
              <w:jc w:val="right"/>
            </w:pPr>
            <w:r>
              <w:t xml:space="preserve">4.7008</w:t>
            </w:r>
          </w:p>
        </w:tc>
        <w:tc>
          <w:tcPr/>
          <w:p>
            <w:pPr>
              <w:pStyle w:val="Compact"/>
              <w:jc w:val="right"/>
            </w:pPr>
            <w:r>
              <w:t xml:space="preserve">1</w:t>
            </w:r>
          </w:p>
        </w:tc>
        <w:tc>
          <w:tcPr/>
          <w:p>
            <w:pPr>
              <w:pStyle w:val="Compact"/>
              <w:jc w:val="right"/>
            </w:pPr>
            <w:r>
              <w:t xml:space="preserve">NA</w:t>
            </w:r>
          </w:p>
        </w:tc>
        <w:tc>
          <w:tcPr/>
          <w:p>
            <w:pPr>
              <w:pStyle w:val="Compact"/>
              <w:jc w:val="left"/>
            </w:pPr>
            <w:r>
              <w:t xml:space="preserve">NA</w:t>
            </w:r>
          </w:p>
        </w:tc>
        <w:tc>
          <w:tcPr/>
          <w:p>
            <w:pPr>
              <w:pStyle w:val="Compact"/>
              <w:jc w:val="left"/>
            </w:pPr>
            <w:r>
              <w:t xml:space="preserve">Benchmark</w:t>
            </w:r>
          </w:p>
        </w:tc>
      </w:tr>
      <w:tr>
        <w:tc>
          <w:tcPr/>
          <w:p>
            <w:pPr>
              <w:pStyle w:val="Compact"/>
              <w:jc w:val="left"/>
            </w:pPr>
            <w:r>
              <w:t xml:space="preserve">SARIMA</w:t>
            </w:r>
          </w:p>
        </w:tc>
        <w:tc>
          <w:tcPr/>
          <w:p>
            <w:pPr>
              <w:pStyle w:val="Compact"/>
              <w:jc w:val="right"/>
            </w:pPr>
            <w:r>
              <w:t xml:space="preserve">1983.499</w:t>
            </w:r>
          </w:p>
        </w:tc>
        <w:tc>
          <w:tcPr/>
          <w:p>
            <w:pPr>
              <w:pStyle w:val="Compact"/>
              <w:jc w:val="right"/>
            </w:pPr>
            <w:r>
              <w:t xml:space="preserve">1581.495</w:t>
            </w:r>
          </w:p>
        </w:tc>
        <w:tc>
          <w:tcPr/>
          <w:p>
            <w:pPr>
              <w:pStyle w:val="Compact"/>
              <w:jc w:val="right"/>
            </w:pPr>
            <w:r>
              <w:t xml:space="preserve">2.1859</w:t>
            </w:r>
          </w:p>
        </w:tc>
        <w:tc>
          <w:tcPr/>
          <w:p>
            <w:pPr>
              <w:pStyle w:val="Compact"/>
              <w:jc w:val="right"/>
            </w:pPr>
            <w:r>
              <w:t xml:space="preserve">3</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0.0015</w:t>
            </w:r>
          </w:p>
        </w:tc>
        <w:tc>
          <w:tcPr/>
          <w:p>
            <w:pPr>
              <w:pStyle w:val="Compact"/>
              <w:jc w:val="left"/>
            </w:pPr>
            <w:r>
              <w:t xml:space="preserve">FALSE</w:t>
            </w:r>
          </w:p>
        </w:tc>
        <w:tc>
          <w:tcPr/>
          <w:p>
            <w:pPr>
              <w:pStyle w:val="Compact"/>
              <w:jc w:val="left"/>
            </w:pPr>
            <w:r>
              <w:t xml:space="preserve">Holdout result available; rolling CV not available</w:t>
            </w:r>
          </w:p>
        </w:tc>
      </w:tr>
      <w:tr>
        <w:tc>
          <w:tcPr/>
          <w:p>
            <w:pPr>
              <w:pStyle w:val="Compact"/>
              <w:jc w:val="left"/>
            </w:pPr>
            <w:r>
              <w:t xml:space="preserve">ETS</w:t>
            </w:r>
          </w:p>
        </w:tc>
        <w:tc>
          <w:tcPr/>
          <w:p>
            <w:pPr>
              <w:pStyle w:val="Compact"/>
              <w:jc w:val="right"/>
            </w:pPr>
            <w:r>
              <w:t xml:space="preserve">1986.718</w:t>
            </w:r>
          </w:p>
        </w:tc>
        <w:tc>
          <w:tcPr/>
          <w:p>
            <w:pPr>
              <w:pStyle w:val="Compact"/>
              <w:jc w:val="right"/>
            </w:pPr>
            <w:r>
              <w:t xml:space="preserve">1519.232</w:t>
            </w:r>
          </w:p>
        </w:tc>
        <w:tc>
          <w:tcPr/>
          <w:p>
            <w:pPr>
              <w:pStyle w:val="Compact"/>
              <w:jc w:val="right"/>
            </w:pPr>
            <w:r>
              <w:t xml:space="preserve">2.0821</w:t>
            </w:r>
          </w:p>
        </w:tc>
        <w:tc>
          <w:tcPr/>
          <w:p>
            <w:pPr>
              <w:pStyle w:val="Compact"/>
              <w:jc w:val="right"/>
            </w:pPr>
            <w:r>
              <w:t xml:space="preserve">4</w:t>
            </w:r>
          </w:p>
        </w:tc>
        <w:tc>
          <w:tcPr/>
          <w:p>
            <w:pPr>
              <w:pStyle w:val="Compact"/>
              <w:jc w:val="right"/>
            </w:pPr>
            <w:r>
              <w:t xml:space="preserve">5476.865</w:t>
            </w:r>
          </w:p>
        </w:tc>
        <w:tc>
          <w:tcPr/>
          <w:p>
            <w:pPr>
              <w:pStyle w:val="Compact"/>
              <w:jc w:val="right"/>
            </w:pPr>
            <w:r>
              <w:t xml:space="preserve">4.8084</w:t>
            </w:r>
          </w:p>
        </w:tc>
        <w:tc>
          <w:tcPr/>
          <w:p>
            <w:pPr>
              <w:pStyle w:val="Compact"/>
              <w:jc w:val="right"/>
            </w:pPr>
            <w:r>
              <w:t xml:space="preserve">4</w:t>
            </w:r>
          </w:p>
        </w:tc>
        <w:tc>
          <w:tcPr/>
          <w:p>
            <w:pPr>
              <w:pStyle w:val="Compact"/>
              <w:jc w:val="right"/>
            </w:pPr>
            <w:r>
              <w:t xml:space="preserve">0.0029</w:t>
            </w:r>
          </w:p>
        </w:tc>
        <w:tc>
          <w:tcPr/>
          <w:p>
            <w:pPr>
              <w:pStyle w:val="Compact"/>
              <w:jc w:val="left"/>
            </w:pPr>
            <w:r>
              <w:t xml:space="preserve">FALSE</w:t>
            </w:r>
          </w:p>
        </w:tc>
        <w:tc>
          <w:tcPr/>
          <w:p>
            <w:pPr>
              <w:pStyle w:val="Compact"/>
              <w:jc w:val="left"/>
            </w:pPr>
            <w:r>
              <w:t xml:space="preserve">Mixed evidence across holdout, rolling CV, or residual diagnostics</w:t>
            </w:r>
          </w:p>
        </w:tc>
      </w:tr>
      <w:tr>
        <w:tc>
          <w:tcPr/>
          <w:p>
            <w:pPr>
              <w:pStyle w:val="Compact"/>
              <w:jc w:val="left"/>
            </w:pPr>
            <w:r>
              <w:t xml:space="preserve">Drift</w:t>
            </w:r>
          </w:p>
        </w:tc>
        <w:tc>
          <w:tcPr/>
          <w:p>
            <w:pPr>
              <w:pStyle w:val="Compact"/>
              <w:jc w:val="right"/>
            </w:pPr>
            <w:r>
              <w:t xml:space="preserve">2020.673</w:t>
            </w:r>
          </w:p>
        </w:tc>
        <w:tc>
          <w:tcPr/>
          <w:p>
            <w:pPr>
              <w:pStyle w:val="Compact"/>
              <w:jc w:val="right"/>
            </w:pPr>
            <w:r>
              <w:t xml:space="preserve">1609.285</w:t>
            </w:r>
          </w:p>
        </w:tc>
        <w:tc>
          <w:tcPr/>
          <w:p>
            <w:pPr>
              <w:pStyle w:val="Compact"/>
              <w:jc w:val="right"/>
            </w:pPr>
            <w:r>
              <w:t xml:space="preserve">2.2307</w:t>
            </w:r>
          </w:p>
        </w:tc>
        <w:tc>
          <w:tcPr/>
          <w:p>
            <w:pPr>
              <w:pStyle w:val="Compact"/>
              <w:jc w:val="right"/>
            </w:pPr>
            <w:r>
              <w:t xml:space="preserve">5</w:t>
            </w:r>
          </w:p>
        </w:tc>
        <w:tc>
          <w:tcPr/>
          <w:p>
            <w:pPr>
              <w:pStyle w:val="Compact"/>
              <w:jc w:val="right"/>
            </w:pPr>
            <w:r>
              <w:t xml:space="preserve">5397.318</w:t>
            </w:r>
          </w:p>
        </w:tc>
        <w:tc>
          <w:tcPr/>
          <w:p>
            <w:pPr>
              <w:pStyle w:val="Compact"/>
              <w:jc w:val="right"/>
            </w:pPr>
            <w:r>
              <w:t xml:space="preserve">4.7551</w:t>
            </w:r>
          </w:p>
        </w:tc>
        <w:tc>
          <w:tcPr/>
          <w:p>
            <w:pPr>
              <w:pStyle w:val="Compact"/>
              <w:jc w:val="right"/>
            </w:pPr>
            <w:r>
              <w:t xml:space="preserve">2</w:t>
            </w:r>
          </w:p>
        </w:tc>
        <w:tc>
          <w:tcPr/>
          <w:p>
            <w:pPr>
              <w:pStyle w:val="Compact"/>
              <w:jc w:val="right"/>
            </w:pPr>
            <w:r>
              <w:t xml:space="preserve">NA</w:t>
            </w:r>
          </w:p>
        </w:tc>
        <w:tc>
          <w:tcPr/>
          <w:p>
            <w:pPr>
              <w:pStyle w:val="Compact"/>
              <w:jc w:val="left"/>
            </w:pPr>
            <w:r>
              <w:t xml:space="preserve">NA</w:t>
            </w:r>
          </w:p>
        </w:tc>
        <w:tc>
          <w:tcPr/>
          <w:p>
            <w:pPr>
              <w:pStyle w:val="Compact"/>
              <w:jc w:val="left"/>
            </w:pPr>
            <w:r>
              <w:t xml:space="preserve">Benchmark</w:t>
            </w:r>
          </w:p>
        </w:tc>
      </w:tr>
      <w:tr>
        <w:tc>
          <w:tcPr/>
          <w:p>
            <w:pPr>
              <w:pStyle w:val="Compact"/>
              <w:jc w:val="left"/>
            </w:pPr>
            <w:r>
              <w:t xml:space="preserve">ARIMAX (Lagged)</w:t>
            </w:r>
          </w:p>
        </w:tc>
        <w:tc>
          <w:tcPr/>
          <w:p>
            <w:pPr>
              <w:pStyle w:val="Compact"/>
              <w:jc w:val="right"/>
            </w:pPr>
            <w:r>
              <w:t xml:space="preserve">2025.855</w:t>
            </w:r>
          </w:p>
        </w:tc>
        <w:tc>
          <w:tcPr/>
          <w:p>
            <w:pPr>
              <w:pStyle w:val="Compact"/>
              <w:jc w:val="right"/>
            </w:pPr>
            <w:r>
              <w:t xml:space="preserve">1614.203</w:t>
            </w:r>
          </w:p>
        </w:tc>
        <w:tc>
          <w:tcPr/>
          <w:p>
            <w:pPr>
              <w:pStyle w:val="Compact"/>
              <w:jc w:val="right"/>
            </w:pPr>
            <w:r>
              <w:t xml:space="preserve">2.2386</w:t>
            </w:r>
          </w:p>
        </w:tc>
        <w:tc>
          <w:tcPr/>
          <w:p>
            <w:pPr>
              <w:pStyle w:val="Compact"/>
              <w:jc w:val="right"/>
            </w:pPr>
            <w:r>
              <w:t xml:space="preserve">6</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NA</w:t>
            </w:r>
          </w:p>
        </w:tc>
        <w:tc>
          <w:tcPr/>
          <w:p>
            <w:pPr>
              <w:pStyle w:val="Compact"/>
              <w:jc w:val="right"/>
            </w:pPr>
            <w:r>
              <w:t xml:space="preserve">0.0003</w:t>
            </w:r>
          </w:p>
        </w:tc>
        <w:tc>
          <w:tcPr/>
          <w:p>
            <w:pPr>
              <w:pStyle w:val="Compact"/>
              <w:jc w:val="left"/>
            </w:pPr>
            <w:r>
              <w:t xml:space="preserve">FALSE</w:t>
            </w:r>
          </w:p>
        </w:tc>
        <w:tc>
          <w:tcPr/>
          <w:p>
            <w:pPr>
              <w:pStyle w:val="Compact"/>
              <w:jc w:val="left"/>
            </w:pPr>
            <w:r>
              <w:t xml:space="preserve">Holdout result available; rolling CV not available</w:t>
            </w:r>
          </w:p>
        </w:tc>
      </w:tr>
      <w:tr>
        <w:tc>
          <w:tcPr/>
          <w:p>
            <w:pPr>
              <w:pStyle w:val="Compact"/>
              <w:jc w:val="left"/>
            </w:pPr>
            <w:r>
              <w:t xml:space="preserve">ARIMA</w:t>
            </w:r>
          </w:p>
        </w:tc>
        <w:tc>
          <w:tcPr/>
          <w:p>
            <w:pPr>
              <w:pStyle w:val="Compact"/>
              <w:jc w:val="right"/>
            </w:pPr>
            <w:r>
              <w:t xml:space="preserve">2119.632</w:t>
            </w:r>
          </w:p>
        </w:tc>
        <w:tc>
          <w:tcPr/>
          <w:p>
            <w:pPr>
              <w:pStyle w:val="Compact"/>
              <w:jc w:val="right"/>
            </w:pPr>
            <w:r>
              <w:t xml:space="preserve">1711.404</w:t>
            </w:r>
          </w:p>
        </w:tc>
        <w:tc>
          <w:tcPr/>
          <w:p>
            <w:pPr>
              <w:pStyle w:val="Compact"/>
              <w:jc w:val="right"/>
            </w:pPr>
            <w:r>
              <w:t xml:space="preserve">2.3751</w:t>
            </w:r>
          </w:p>
        </w:tc>
        <w:tc>
          <w:tcPr/>
          <w:p>
            <w:pPr>
              <w:pStyle w:val="Compact"/>
              <w:jc w:val="right"/>
            </w:pPr>
            <w:r>
              <w:t xml:space="preserve">7</w:t>
            </w:r>
          </w:p>
        </w:tc>
        <w:tc>
          <w:tcPr/>
          <w:p>
            <w:pPr>
              <w:pStyle w:val="Compact"/>
              <w:jc w:val="right"/>
            </w:pPr>
            <w:r>
              <w:t xml:space="preserve">6501.435</w:t>
            </w:r>
          </w:p>
        </w:tc>
        <w:tc>
          <w:tcPr/>
          <w:p>
            <w:pPr>
              <w:pStyle w:val="Compact"/>
              <w:jc w:val="right"/>
            </w:pPr>
            <w:r>
              <w:t xml:space="preserve">5.5745</w:t>
            </w:r>
          </w:p>
        </w:tc>
        <w:tc>
          <w:tcPr/>
          <w:p>
            <w:pPr>
              <w:pStyle w:val="Compact"/>
              <w:jc w:val="right"/>
            </w:pPr>
            <w:r>
              <w:t xml:space="preserve">5</w:t>
            </w:r>
          </w:p>
        </w:tc>
        <w:tc>
          <w:tcPr/>
          <w:p>
            <w:pPr>
              <w:pStyle w:val="Compact"/>
              <w:jc w:val="right"/>
            </w:pPr>
            <w:r>
              <w:t xml:space="preserve">0.0003</w:t>
            </w:r>
          </w:p>
        </w:tc>
        <w:tc>
          <w:tcPr/>
          <w:p>
            <w:pPr>
              <w:pStyle w:val="Compact"/>
              <w:jc w:val="left"/>
            </w:pPr>
            <w:r>
              <w:t xml:space="preserve">FALSE</w:t>
            </w:r>
          </w:p>
        </w:tc>
        <w:tc>
          <w:tcPr/>
          <w:p>
            <w:pPr>
              <w:pStyle w:val="Compact"/>
              <w:jc w:val="left"/>
            </w:pPr>
            <w:r>
              <w:t xml:space="preserve">Mixed evidence across holdout, rolling CV, or residual diagnostics</w:t>
            </w:r>
          </w:p>
        </w:tc>
      </w:tr>
    </w:tbl>
    <w:p>
      <w:pPr>
        <w:pStyle w:val="BodyText"/>
      </w:pPr>
      <w:r>
        <w:t xml:space="preserve">ETS Damped có holdout RMSE thấp nhất (1,939.13), nhưng chỉ hơn Naive 0.72 đơn vị RMSE. MAPE thấp nhất thuộc về ETS (2.08%), cho thấy thứ hạng phụ thuộc metric. Trong rolling CV, Naive dẫn đầu với mean RMSE 5,353.94.</w:t>
      </w:r>
    </w:p>
    <w:p>
      <w:pPr>
        <w:pStyle w:val="TableCaption"/>
      </w:pPr>
      <w:r>
        <w:t xml:space="preserve">Ljung-Box trên residual của fitted forecast models</w:t>
      </w:r>
    </w:p>
    <w:tbl>
      <w:tblPr>
        <w:tblStyle w:val="Table"/>
        <w:tblW w:type="auto" w:w="0"/>
        <w:tblLook w:firstRow="1" w:lastRow="0" w:firstColumn="0" w:lastColumn="0" w:noHBand="0" w:noVBand="0" w:val="0020"/>
        <w:tblCaption w:val="Ljung-Box trên residual của fitted forecast mode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right"/>
            </w:pPr>
            <w:r>
              <w:t xml:space="preserve">lb_statistic</w:t>
            </w:r>
          </w:p>
        </w:tc>
        <w:tc>
          <w:tcPr/>
          <w:p>
            <w:pPr>
              <w:pStyle w:val="Compact"/>
              <w:jc w:val="right"/>
            </w:pPr>
            <w:r>
              <w:t xml:space="preserve">lb_p_value</w:t>
            </w:r>
          </w:p>
        </w:tc>
        <w:tc>
          <w:tcPr/>
          <w:p>
            <w:pPr>
              <w:pStyle w:val="Compact"/>
              <w:jc w:val="right"/>
            </w:pPr>
            <w:r>
              <w:t xml:space="preserve">test_lag</w:t>
            </w:r>
          </w:p>
        </w:tc>
        <w:tc>
          <w:tcPr/>
          <w:p>
            <w:pPr>
              <w:pStyle w:val="Compact"/>
              <w:jc w:val="right"/>
            </w:pPr>
            <w:r>
              <w:t xml:space="preserve">fitdf</w:t>
            </w:r>
          </w:p>
        </w:tc>
        <w:tc>
          <w:tcPr/>
          <w:p>
            <w:pPr>
              <w:pStyle w:val="Compact"/>
              <w:jc w:val="left"/>
            </w:pPr>
            <w:r>
              <w:t xml:space="preserve">white_noise</w:t>
            </w:r>
          </w:p>
        </w:tc>
      </w:tr>
      <w:tr>
        <w:tc>
          <w:tcPr/>
          <w:p>
            <w:pPr>
              <w:pStyle w:val="Compact"/>
              <w:jc w:val="left"/>
            </w:pPr>
            <w:r>
              <w:t xml:space="preserve">ARIMA</w:t>
            </w:r>
          </w:p>
        </w:tc>
        <w:tc>
          <w:tcPr/>
          <w:p>
            <w:pPr>
              <w:pStyle w:val="Compact"/>
              <w:jc w:val="right"/>
            </w:pPr>
            <w:r>
              <w:t xml:space="preserve">23.63248</w:t>
            </w:r>
          </w:p>
        </w:tc>
        <w:tc>
          <w:tcPr/>
          <w:p>
            <w:pPr>
              <w:pStyle w:val="Compact"/>
              <w:jc w:val="right"/>
            </w:pPr>
            <w:r>
              <w:t xml:space="preserve">0.00026</w:t>
            </w:r>
          </w:p>
        </w:tc>
        <w:tc>
          <w:tcPr/>
          <w:p>
            <w:pPr>
              <w:pStyle w:val="Compact"/>
              <w:jc w:val="right"/>
            </w:pPr>
            <w:r>
              <w:t xml:space="preserve">10</w:t>
            </w:r>
          </w:p>
        </w:tc>
        <w:tc>
          <w:tcPr/>
          <w:p>
            <w:pPr>
              <w:pStyle w:val="Compact"/>
              <w:jc w:val="right"/>
            </w:pPr>
            <w:r>
              <w:t xml:space="preserve">5</w:t>
            </w:r>
          </w:p>
        </w:tc>
        <w:tc>
          <w:tcPr/>
          <w:p>
            <w:pPr>
              <w:pStyle w:val="Compact"/>
              <w:jc w:val="left"/>
            </w:pPr>
            <w:r>
              <w:t xml:space="preserve">No (Reject H0)</w:t>
            </w:r>
          </w:p>
        </w:tc>
      </w:tr>
      <w:tr>
        <w:tc>
          <w:tcPr/>
          <w:p>
            <w:pPr>
              <w:pStyle w:val="Compact"/>
              <w:jc w:val="left"/>
            </w:pPr>
            <w:r>
              <w:t xml:space="preserve">SARIMA</w:t>
            </w:r>
          </w:p>
        </w:tc>
        <w:tc>
          <w:tcPr/>
          <w:p>
            <w:pPr>
              <w:pStyle w:val="Compact"/>
              <w:jc w:val="right"/>
            </w:pPr>
            <w:r>
              <w:t xml:space="preserve">25.07300</w:t>
            </w:r>
          </w:p>
        </w:tc>
        <w:tc>
          <w:tcPr/>
          <w:p>
            <w:pPr>
              <w:pStyle w:val="Compact"/>
              <w:jc w:val="right"/>
            </w:pPr>
            <w:r>
              <w:t xml:space="preserve">0.00151</w:t>
            </w:r>
          </w:p>
        </w:tc>
        <w:tc>
          <w:tcPr/>
          <w:p>
            <w:pPr>
              <w:pStyle w:val="Compact"/>
              <w:jc w:val="right"/>
            </w:pPr>
            <w:r>
              <w:t xml:space="preserve">10</w:t>
            </w:r>
          </w:p>
        </w:tc>
        <w:tc>
          <w:tcPr/>
          <w:p>
            <w:pPr>
              <w:pStyle w:val="Compact"/>
              <w:jc w:val="right"/>
            </w:pPr>
            <w:r>
              <w:t xml:space="preserve">2</w:t>
            </w:r>
          </w:p>
        </w:tc>
        <w:tc>
          <w:tcPr/>
          <w:p>
            <w:pPr>
              <w:pStyle w:val="Compact"/>
              <w:jc w:val="left"/>
            </w:pPr>
            <w:r>
              <w:t xml:space="preserve">No (Reject H0)</w:t>
            </w:r>
          </w:p>
        </w:tc>
      </w:tr>
      <w:tr>
        <w:tc>
          <w:tcPr/>
          <w:p>
            <w:pPr>
              <w:pStyle w:val="Compact"/>
              <w:jc w:val="left"/>
            </w:pPr>
            <w:r>
              <w:t xml:space="preserve">ETS</w:t>
            </w:r>
          </w:p>
        </w:tc>
        <w:tc>
          <w:tcPr/>
          <w:p>
            <w:pPr>
              <w:pStyle w:val="Compact"/>
              <w:jc w:val="right"/>
            </w:pPr>
            <w:r>
              <w:t xml:space="preserve">19.87305</w:t>
            </w:r>
          </w:p>
        </w:tc>
        <w:tc>
          <w:tcPr/>
          <w:p>
            <w:pPr>
              <w:pStyle w:val="Compact"/>
              <w:jc w:val="right"/>
            </w:pPr>
            <w:r>
              <w:t xml:space="preserve">0.00292</w:t>
            </w:r>
          </w:p>
        </w:tc>
        <w:tc>
          <w:tcPr/>
          <w:p>
            <w:pPr>
              <w:pStyle w:val="Compact"/>
              <w:jc w:val="right"/>
            </w:pPr>
            <w:r>
              <w:t xml:space="preserve">10</w:t>
            </w:r>
          </w:p>
        </w:tc>
        <w:tc>
          <w:tcPr/>
          <w:p>
            <w:pPr>
              <w:pStyle w:val="Compact"/>
              <w:jc w:val="right"/>
            </w:pPr>
            <w:r>
              <w:t xml:space="preserve">4</w:t>
            </w:r>
          </w:p>
        </w:tc>
        <w:tc>
          <w:tcPr/>
          <w:p>
            <w:pPr>
              <w:pStyle w:val="Compact"/>
              <w:jc w:val="left"/>
            </w:pPr>
            <w:r>
              <w:t xml:space="preserve">No (Reject H0)</w:t>
            </w:r>
          </w:p>
        </w:tc>
      </w:tr>
      <w:tr>
        <w:tc>
          <w:tcPr/>
          <w:p>
            <w:pPr>
              <w:pStyle w:val="Compact"/>
              <w:jc w:val="left"/>
            </w:pPr>
            <w:r>
              <w:t xml:space="preserve">ETS Damped</w:t>
            </w:r>
          </w:p>
        </w:tc>
        <w:tc>
          <w:tcPr/>
          <w:p>
            <w:pPr>
              <w:pStyle w:val="Compact"/>
              <w:jc w:val="right"/>
            </w:pPr>
            <w:r>
              <w:t xml:space="preserve">19.59529</w:t>
            </w:r>
          </w:p>
        </w:tc>
        <w:tc>
          <w:tcPr/>
          <w:p>
            <w:pPr>
              <w:pStyle w:val="Compact"/>
              <w:jc w:val="right"/>
            </w:pPr>
            <w:r>
              <w:t xml:space="preserve">0.00149</w:t>
            </w:r>
          </w:p>
        </w:tc>
        <w:tc>
          <w:tcPr/>
          <w:p>
            <w:pPr>
              <w:pStyle w:val="Compact"/>
              <w:jc w:val="right"/>
            </w:pPr>
            <w:r>
              <w:t xml:space="preserve">10</w:t>
            </w:r>
          </w:p>
        </w:tc>
        <w:tc>
          <w:tcPr/>
          <w:p>
            <w:pPr>
              <w:pStyle w:val="Compact"/>
              <w:jc w:val="right"/>
            </w:pPr>
            <w:r>
              <w:t xml:space="preserve">5</w:t>
            </w:r>
          </w:p>
        </w:tc>
        <w:tc>
          <w:tcPr/>
          <w:p>
            <w:pPr>
              <w:pStyle w:val="Compact"/>
              <w:jc w:val="left"/>
            </w:pPr>
            <w:r>
              <w:t xml:space="preserve">No (Reject H0)</w:t>
            </w:r>
          </w:p>
        </w:tc>
      </w:tr>
      <w:tr>
        <w:tc>
          <w:tcPr/>
          <w:p>
            <w:pPr>
              <w:pStyle w:val="Compact"/>
              <w:jc w:val="left"/>
            </w:pPr>
            <w:r>
              <w:t xml:space="preserve">ARIMAX</w:t>
            </w:r>
          </w:p>
        </w:tc>
        <w:tc>
          <w:tcPr/>
          <w:p>
            <w:pPr>
              <w:pStyle w:val="Compact"/>
              <w:jc w:val="right"/>
            </w:pPr>
            <w:r>
              <w:t xml:space="preserve">33.10920</w:t>
            </w:r>
          </w:p>
        </w:tc>
        <w:tc>
          <w:tcPr/>
          <w:p>
            <w:pPr>
              <w:pStyle w:val="Compact"/>
              <w:jc w:val="right"/>
            </w:pPr>
            <w:r>
              <w:t xml:space="preserve">0.00026</w:t>
            </w:r>
          </w:p>
        </w:tc>
        <w:tc>
          <w:tcPr/>
          <w:p>
            <w:pPr>
              <w:pStyle w:val="Compact"/>
              <w:jc w:val="right"/>
            </w:pPr>
            <w:r>
              <w:t xml:space="preserve">10</w:t>
            </w:r>
          </w:p>
        </w:tc>
        <w:tc>
          <w:tcPr/>
          <w:p>
            <w:pPr>
              <w:pStyle w:val="Compact"/>
              <w:jc w:val="right"/>
            </w:pPr>
            <w:r>
              <w:t xml:space="preserve">0</w:t>
            </w:r>
          </w:p>
        </w:tc>
        <w:tc>
          <w:tcPr/>
          <w:p>
            <w:pPr>
              <w:pStyle w:val="Compact"/>
              <w:jc w:val="left"/>
            </w:pPr>
            <w:r>
              <w:t xml:space="preserve">No (Reject H0)</w:t>
            </w:r>
          </w:p>
        </w:tc>
      </w:tr>
    </w:tbl>
    <w:p>
      <w:pPr>
        <w:pStyle w:val="BodyText"/>
      </w:pPr>
      <w:r>
        <w:t xml:space="preserve">Có 0 trong 5 fitted models vượt Ljung-Box ở mức 5%; hiện tất cả residual đều chưa đạt white noise. Kết hợp ba nguồn bằng chứng, dự án chưa chứng minh model phức tạp cải thiện Naive một cách ổn định.</w:t>
      </w:r>
    </w:p>
    <w:p>
      <w:pPr>
        <w:pStyle w:val="CaptionedFigure"/>
      </w:pPr>
      <w:r>
        <w:drawing>
          <wp:inline>
            <wp:extent cx="5067300" cy="3040380"/>
            <wp:effectExtent b="0" l="0" r="0" t="0"/>
            <wp:docPr descr="ETS Damped trên holdout 30 phiên" title="" id="56" name="Picture"/>
            <a:graphic>
              <a:graphicData uri="http://schemas.openxmlformats.org/drawingml/2006/picture">
                <pic:pic>
                  <pic:nvPicPr>
                    <pic:cNvPr descr="report_files/8d83366d08b2f34e5b6383b76400133e06fcc9d2.png" id="57" name="Picture"/>
                    <pic:cNvPicPr>
                      <a:picLocks noChangeArrowheads="1" noChangeAspect="1"/>
                    </pic:cNvPicPr>
                  </pic:nvPicPr>
                  <pic:blipFill>
                    <a:blip r:embed="rId55"/>
                    <a:stretch>
                      <a:fillRect/>
                    </a:stretch>
                  </pic:blipFill>
                  <pic:spPr bwMode="auto">
                    <a:xfrm>
                      <a:off x="0" y="0"/>
                      <a:ext cx="5067300" cy="3040380"/>
                    </a:xfrm>
                    <a:prstGeom prst="rect">
                      <a:avLst/>
                    </a:prstGeom>
                    <a:noFill/>
                    <a:ln w="9525">
                      <a:noFill/>
                      <a:headEnd/>
                      <a:tailEnd/>
                    </a:ln>
                  </pic:spPr>
                </pic:pic>
              </a:graphicData>
            </a:graphic>
          </wp:inline>
        </w:drawing>
      </w:r>
    </w:p>
    <w:p>
      <w:pPr>
        <w:pStyle w:val="ImageCaption"/>
      </w:pPr>
      <w:r>
        <w:t xml:space="preserve">ETS Damped trên holdout 30 phiên</w:t>
      </w:r>
    </w:p>
    <w:p>
      <w:pPr>
        <w:pStyle w:val="BodyText"/>
      </w:pPr>
      <w:r>
        <w:t xml:space="preserve">Biểu đồ cần được đọc ở phần cuối chuỗi: forecast và interval chỉ mô tả bất định theo model, không phải cam kết giá tương lai nằm trong khoảng.</w:t>
      </w:r>
    </w:p>
    <w:p>
      <w:pPr>
        <w:pStyle w:val="CaptionedFigure"/>
      </w:pPr>
      <w:r>
        <w:drawing>
          <wp:inline>
            <wp:extent cx="5067300" cy="3167062"/>
            <wp:effectExtent b="0" l="0" r="0" t="0"/>
            <wp:docPr descr="Residual diagnostics của ETS Damped" title="" id="59" name="Picture"/>
            <a:graphic>
              <a:graphicData uri="http://schemas.openxmlformats.org/drawingml/2006/picture">
                <pic:pic>
                  <pic:nvPicPr>
                    <pic:cNvPr descr="report_files/84c5bd146dcebd1b4976bdd2bd2d2bddddc7dce4.png" id="60" name="Picture"/>
                    <pic:cNvPicPr>
                      <a:picLocks noChangeArrowheads="1" noChangeAspect="1"/>
                    </pic:cNvPicPr>
                  </pic:nvPicPr>
                  <pic:blipFill>
                    <a:blip r:embed="rId58"/>
                    <a:stretch>
                      <a:fillRect/>
                    </a:stretch>
                  </pic:blipFill>
                  <pic:spPr bwMode="auto">
                    <a:xfrm>
                      <a:off x="0" y="0"/>
                      <a:ext cx="5067300" cy="3167062"/>
                    </a:xfrm>
                    <a:prstGeom prst="rect">
                      <a:avLst/>
                    </a:prstGeom>
                    <a:noFill/>
                    <a:ln w="9525">
                      <a:noFill/>
                      <a:headEnd/>
                      <a:tailEnd/>
                    </a:ln>
                  </pic:spPr>
                </pic:pic>
              </a:graphicData>
            </a:graphic>
          </wp:inline>
        </w:drawing>
      </w:r>
    </w:p>
    <w:p>
      <w:pPr>
        <w:pStyle w:val="ImageCaption"/>
      </w:pPr>
      <w:r>
        <w:t xml:space="preserve">Residual diagnostics của ETS Damped</w:t>
      </w:r>
    </w:p>
    <w:bookmarkEnd w:id="61"/>
    <w:bookmarkStart w:id="62" w:name="kết-luận-phần-forecast"/>
    <w:p>
      <w:pPr>
        <w:pStyle w:val="Heading2"/>
      </w:pPr>
      <w:r>
        <w:rPr>
          <w:rStyle w:val="SectionNumber"/>
        </w:rPr>
        <w:t xml:space="preserve">4.5</w:t>
      </w:r>
      <w:r>
        <w:tab/>
      </w:r>
      <w:r>
        <w:t xml:space="preserve">Kết luận phần forecast</w:t>
      </w:r>
    </w:p>
    <w:p>
      <w:pPr>
        <w:pStyle w:val="FirstParagraph"/>
      </w:pPr>
      <w:r>
        <w:t xml:space="preserve">ETS Damped là holdout leader theo RMSE nhưng mức cải thiện so với Naive rất nhỏ; Naive dẫn rolling CV; mọi fitted model còn residual autocorrelation. Vì vậy báo cáo không chỉ định một model thắng chung cuộc và không dùng forecast này làm tín hiệu mua/bán. Kết quả phù hợp với nhận định thận trọng rằng mức giá khó dự báo ổn định trong protocol hiện tại, nhưng không chứng minh mọi giá tài chính luôn tuân theo random walk.</w:t>
      </w:r>
    </w:p>
    <w:bookmarkEnd w:id="62"/>
    <w:bookmarkEnd w:id="63"/>
    <w:bookmarkStart w:id="79" w:name="mô-hình-hóa-conditional-volatility"/>
    <w:p>
      <w:pPr>
        <w:pStyle w:val="Heading1"/>
      </w:pPr>
      <w:r>
        <w:rPr>
          <w:rStyle w:val="SectionNumber"/>
        </w:rPr>
        <w:t xml:space="preserve">5</w:t>
      </w:r>
      <w:r>
        <w:tab/>
      </w:r>
      <w:r>
        <w:t xml:space="preserve">Mô hình hóa conditional volatility</w:t>
      </w:r>
    </w:p>
    <w:bookmarkStart w:id="64" w:name="động-cơ-và-phương-trình"/>
    <w:p>
      <w:pPr>
        <w:pStyle w:val="Heading2"/>
      </w:pPr>
      <w:r>
        <w:rPr>
          <w:rStyle w:val="SectionNumber"/>
        </w:rPr>
        <w:t xml:space="preserve">5.1</w:t>
      </w:r>
      <w:r>
        <w:tab/>
      </w:r>
      <w:r>
        <w:t xml:space="preserve">Động cơ và phương trình</w:t>
      </w:r>
    </w:p>
    <w:p>
      <w:pPr>
        <w:pStyle w:val="FirstParagraph"/>
      </w:pPr>
      <w:r>
        <w:t xml:space="preserve">ARCH-LM trên raw return có p-value 1.09e-38. Với H0 “không có ARCH effect đến lag kiểm tra”, kết quả bác bỏ H0 và hỗ trợ dùng conditional variance model.</w:t>
      </w:r>
    </w:p>
    <w:p>
      <w:pPr>
        <w:pStyle w:val="BodyText"/>
      </w:pPr>
      <w:r>
        <w:t xml:space="preserve">Mean và innovation equations là:</w:t>
      </w:r>
    </w:p>
    <w:p>
      <w:pPr>
        <w:pStyle w:val="BodyText"/>
      </w:pPr>
      <m:oMathPara>
        <m:oMathParaPr>
          <m:jc m:val="center"/>
        </m:oMathParaPr>
        <m:oMath>
          <m:sSub>
            <m:e>
              <m:r>
                <m:t>r</m:t>
              </m:r>
            </m:e>
            <m:sub>
              <m:r>
                <m:t>t</m:t>
              </m:r>
            </m:sub>
          </m:sSub>
          <m:r>
            <m:rPr>
              <m:sty m:val="p"/>
            </m:rPr>
            <m:t>=</m:t>
          </m:r>
          <m:r>
            <m:t>μ</m:t>
          </m:r>
          <m:r>
            <m:rPr>
              <m:sty m:val="p"/>
            </m:rPr>
            <m:t>+</m:t>
          </m:r>
          <m:sSub>
            <m:e>
              <m:r>
                <m:t>ϵ</m:t>
              </m:r>
            </m:e>
            <m:sub>
              <m:r>
                <m:t>t</m:t>
              </m:r>
            </m:sub>
          </m:sSub>
          <m:r>
            <m:rPr>
              <m:sty m:val="p"/>
            </m:rPr>
            <m:t>,</m:t>
          </m:r>
          <m:r>
            <m:t>  </m:t>
          </m:r>
          <m:sSub>
            <m:e>
              <m:r>
                <m:t>ϵ</m:t>
              </m:r>
            </m:e>
            <m:sub>
              <m:r>
                <m:t>t</m:t>
              </m:r>
            </m:sub>
          </m:sSub>
          <m:r>
            <m:rPr>
              <m:sty m:val="p"/>
            </m:rPr>
            <m:t>=</m:t>
          </m:r>
          <m:sSub>
            <m:e>
              <m:r>
                <m:t>σ</m:t>
              </m:r>
            </m:e>
            <m:sub>
              <m:r>
                <m:t>t</m:t>
              </m:r>
            </m:sub>
          </m:sSub>
          <m:sSub>
            <m:e>
              <m:r>
                <m:t>z</m:t>
              </m:r>
            </m:e>
            <m:sub>
              <m:r>
                <m:t>t</m:t>
              </m:r>
            </m:sub>
          </m:sSub>
          <m:r>
            <m:rPr>
              <m:sty m:val="p"/>
            </m:rPr>
            <m:t>.</m:t>
          </m:r>
        </m:oMath>
      </m:oMathPara>
    </w:p>
    <w:p>
      <w:pPr>
        <w:pStyle w:val="FirstParagraph"/>
      </w:pPr>
      <w:r>
        <w:t xml:space="preserve">Trong đó</w:t>
      </w:r>
      <w:r>
        <w:t xml:space="preserve"> </w:t>
      </w:r>
      <w:r>
        <w:rPr>
          <w:rStyle w:val="VerbatimChar"/>
        </w:rPr>
        <w:t xml:space="preserve">epsilon_t</w:t>
      </w:r>
      <w:r>
        <w:t xml:space="preserve"> </w:t>
      </w:r>
      <w:r>
        <w:t xml:space="preserve">là shock return ngoài conditional mean, không phải residual giá. Baseline sGARCH(1,1) dùng:</w:t>
      </w:r>
    </w:p>
    <w:p>
      <w:pPr>
        <w:pStyle w:val="BodyText"/>
      </w:pPr>
      <m:oMathPara>
        <m:oMathParaPr>
          <m:jc m:val="center"/>
        </m:oMathParaPr>
        <m:oMath>
          <m:sSubSup>
            <m:e>
              <m:r>
                <m:t>σ</m:t>
              </m:r>
            </m:e>
            <m:sub>
              <m:r>
                <m:t>t</m:t>
              </m:r>
            </m:sub>
            <m:sup>
              <m:r>
                <m:t>2</m:t>
              </m:r>
            </m:sup>
          </m:sSubSup>
          <m:r>
            <m:rPr>
              <m:sty m:val="p"/>
            </m:rPr>
            <m:t>=</m:t>
          </m:r>
          <m:r>
            <m:t>ω</m:t>
          </m:r>
          <m:r>
            <m:rPr>
              <m:sty m:val="p"/>
            </m:rPr>
            <m:t>+</m:t>
          </m:r>
          <m:sSub>
            <m:e>
              <m:r>
                <m:t>α</m:t>
              </m:r>
            </m:e>
            <m:sub>
              <m:r>
                <m:t>1</m:t>
              </m:r>
            </m:sub>
          </m:sSub>
          <m:sSubSup>
            <m:e>
              <m:r>
                <m:t>ϵ</m:t>
              </m:r>
            </m:e>
            <m:sub>
              <m:r>
                <m:t>t</m:t>
              </m:r>
              <m:r>
                <m:rPr>
                  <m:sty m:val="p"/>
                </m:rPr>
                <m:t>−</m:t>
              </m:r>
              <m:r>
                <m:t>1</m:t>
              </m:r>
            </m:sub>
            <m:sup>
              <m:r>
                <m:t>2</m:t>
              </m:r>
            </m:sup>
          </m:sSubSup>
          <m:r>
            <m:rPr>
              <m:sty m:val="p"/>
            </m:rPr>
            <m:t>+</m:t>
          </m:r>
          <m:sSub>
            <m:e>
              <m:r>
                <m:t>β</m:t>
              </m:r>
            </m:e>
            <m:sub>
              <m:r>
                <m:t>1</m:t>
              </m:r>
            </m:sub>
          </m:sSub>
          <m:sSubSup>
            <m:e>
              <m:r>
                <m:t>σ</m:t>
              </m:r>
            </m:e>
            <m:sub>
              <m:r>
                <m:t>t</m:t>
              </m:r>
              <m:r>
                <m:rPr>
                  <m:sty m:val="p"/>
                </m:rPr>
                <m:t>−</m:t>
              </m:r>
              <m:r>
                <m:t>1</m:t>
              </m:r>
            </m:sub>
            <m:sup>
              <m:r>
                <m:t>2</m:t>
              </m:r>
            </m:sup>
          </m:sSubSup>
          <m:r>
            <m:rPr>
              <m:sty m:val="p"/>
            </m:rPr>
            <m:t>.</m:t>
          </m:r>
        </m:oMath>
      </m:oMathPara>
    </w:p>
    <w:p>
      <w:pPr>
        <w:pStyle w:val="FirstParagraph"/>
      </w:pPr>
      <w:r>
        <w:rPr>
          <w:rStyle w:val="VerbatimChar"/>
        </w:rPr>
        <w:t xml:space="preserve">alpha</w:t>
      </w:r>
      <w:r>
        <w:t xml:space="preserve"> </w:t>
      </w:r>
      <w:r>
        <w:t xml:space="preserve">đo phản ứng với shock mới;</w:t>
      </w:r>
      <w:r>
        <w:t xml:space="preserve"> </w:t>
      </w:r>
      <w:r>
        <w:rPr>
          <w:rStyle w:val="VerbatimChar"/>
        </w:rPr>
        <w:t xml:space="preserve">beta</w:t>
      </w:r>
      <w:r>
        <w:t xml:space="preserve"> </w:t>
      </w:r>
      <w:r>
        <w:t xml:space="preserve">đo memory của variance quá khứ;</w:t>
      </w:r>
      <w:r>
        <w:t xml:space="preserve"> </w:t>
      </w:r>
      <w:r>
        <w:rPr>
          <w:rStyle w:val="VerbatimChar"/>
        </w:rPr>
        <w:t xml:space="preserve">alpha + beta</w:t>
      </w:r>
      <w:r>
        <w:t xml:space="preserve"> </w:t>
      </w:r>
      <w:r>
        <w:t xml:space="preserve">là persistence của sGARCH. Không áp dụng máy móc công thức này cho eGARCH hoặc GJR-GARCH.</w:t>
      </w:r>
    </w:p>
    <w:bookmarkEnd w:id="64"/>
    <w:bookmarkStart w:id="65" w:name="specification-được-so-sánh"/>
    <w:p>
      <w:pPr>
        <w:pStyle w:val="Heading2"/>
      </w:pPr>
      <w:r>
        <w:rPr>
          <w:rStyle w:val="SectionNumber"/>
        </w:rPr>
        <w:t xml:space="preserve">5.2</w:t>
      </w:r>
      <w:r>
        <w:tab/>
      </w:r>
      <w:r>
        <w:t xml:space="preserve">Specification được so sánh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Distribution</w:t>
            </w:r>
          </w:p>
        </w:tc>
        <w:tc>
          <w:tcPr/>
          <w:p>
            <w:pPr>
              <w:pStyle w:val="Compact"/>
            </w:pPr>
            <w:r>
              <w:t xml:space="preserve">Vai trò</w:t>
            </w:r>
          </w:p>
        </w:tc>
      </w:tr>
      <w:tr>
        <w:tc>
          <w:tcPr/>
          <w:p>
            <w:pPr>
              <w:pStyle w:val="Compact"/>
            </w:pPr>
            <w:r>
              <w:t xml:space="preserve">sGARCH(1,1)</w:t>
            </w:r>
          </w:p>
        </w:tc>
        <w:tc>
          <w:tcPr/>
          <w:p>
            <w:pPr>
              <w:pStyle w:val="Compact"/>
            </w:pPr>
            <w:r>
              <w:t xml:space="preserve">Normal</w:t>
            </w:r>
          </w:p>
        </w:tc>
        <w:tc>
          <w:tcPr/>
          <w:p>
            <w:pPr>
              <w:pStyle w:val="Compact"/>
            </w:pPr>
            <w:r>
              <w:t xml:space="preserve">Baseline đối xứng</w:t>
            </w:r>
          </w:p>
        </w:tc>
      </w:tr>
      <w:tr>
        <w:tc>
          <w:tcPr/>
          <w:p>
            <w:pPr>
              <w:pStyle w:val="Compact"/>
            </w:pPr>
            <w:r>
              <w:t xml:space="preserve">sGARCH(1,1)</w:t>
            </w:r>
          </w:p>
        </w:tc>
        <w:tc>
          <w:tcPr/>
          <w:p>
            <w:pPr>
              <w:pStyle w:val="Compact"/>
            </w:pPr>
            <w:r>
              <w:t xml:space="preserve">Student-t</w:t>
            </w:r>
          </w:p>
        </w:tc>
        <w:tc>
          <w:tcPr/>
          <w:p>
            <w:pPr>
              <w:pStyle w:val="Compact"/>
            </w:pPr>
            <w:r>
              <w:t xml:space="preserve">Kiểm tra heavy tails</w:t>
            </w:r>
          </w:p>
        </w:tc>
      </w:tr>
      <w:tr>
        <w:tc>
          <w:tcPr/>
          <w:p>
            <w:pPr>
              <w:pStyle w:val="Compact"/>
            </w:pPr>
            <w:r>
              <w:t xml:space="preserve">eGARCH(1,1)</w:t>
            </w:r>
          </w:p>
        </w:tc>
        <w:tc>
          <w:tcPr/>
          <w:p>
            <w:pPr>
              <w:pStyle w:val="Compact"/>
            </w:pPr>
            <w:r>
              <w:t xml:space="preserve">Student-t</w:t>
            </w:r>
          </w:p>
        </w:tc>
        <w:tc>
          <w:tcPr/>
          <w:p>
            <w:pPr>
              <w:pStyle w:val="Compact"/>
            </w:pPr>
            <w:r>
              <w:t xml:space="preserve">Log variance và asymmetry</w:t>
            </w:r>
          </w:p>
        </w:tc>
      </w:tr>
      <w:tr>
        <w:tc>
          <w:tcPr/>
          <w:p>
            <w:pPr>
              <w:pStyle w:val="Compact"/>
            </w:pPr>
            <w:r>
              <w:t xml:space="preserve">GJR-GARCH(1,1)</w:t>
            </w:r>
          </w:p>
        </w:tc>
        <w:tc>
          <w:tcPr/>
          <w:p>
            <w:pPr>
              <w:pStyle w:val="Compact"/>
            </w:pPr>
            <w:r>
              <w:t xml:space="preserve">Student-t</w:t>
            </w:r>
          </w:p>
        </w:tc>
        <w:tc>
          <w:tcPr/>
          <w:p>
            <w:pPr>
              <w:pStyle w:val="Compact"/>
            </w:pPr>
            <w:r>
              <w:t xml:space="preserve">Indicator cho shock âm</w:t>
            </w:r>
          </w:p>
        </w:tc>
      </w:tr>
    </w:tbl>
    <w:p>
      <w:pPr>
        <w:pStyle w:val="BodyText"/>
      </w:pPr>
      <w:r>
        <w:t xml:space="preserve">Cả bốn model dùng cùng 2,786 returns và mean equation ARMA(0,0), nên AIC/BIC có thể so sánh tương đối trên cùng response/sample. Cả bốn optimizer báo convergence bằng 0.</w:t>
      </w:r>
    </w:p>
    <w:bookmarkEnd w:id="65"/>
    <w:bookmarkStart w:id="66" w:name="so-sánh-fit-và-diagnostics"/>
    <w:p>
      <w:pPr>
        <w:pStyle w:val="Heading2"/>
      </w:pPr>
      <w:r>
        <w:rPr>
          <w:rStyle w:val="SectionNumber"/>
        </w:rPr>
        <w:t xml:space="preserve">5.3</w:t>
      </w:r>
      <w:r>
        <w:tab/>
      </w:r>
      <w:r>
        <w:t xml:space="preserve">So sánh fit và diagnostics</w:t>
      </w:r>
    </w:p>
    <w:p>
      <w:pPr>
        <w:pStyle w:val="TableCaption"/>
      </w:pPr>
      <w:r>
        <w:t xml:space="preserve">So sánh GARCH bằng fit, residual checks, stability và GOF</w:t>
      </w:r>
    </w:p>
    <w:tbl>
      <w:tblPr>
        <w:tblStyle w:val="Table"/>
        <w:tblW w:type="pct" w:w="5000"/>
        <w:tblLayout w:type="fixed"/>
        <w:tblLook w:firstRow="1" w:lastRow="0" w:firstColumn="0" w:lastColumn="0" w:noHBand="0" w:noVBand="0" w:val="0020"/>
        <w:tblCaption w:val="So sánh GARCH bằng fit, residual checks, stability và GOF"/>
      </w:tblPr>
      <w:tblGrid>
        <w:gridCol w:w="611"/>
        <w:gridCol w:w="289"/>
        <w:gridCol w:w="289"/>
        <w:gridCol w:w="321"/>
        <w:gridCol w:w="386"/>
        <w:gridCol w:w="708"/>
        <w:gridCol w:w="482"/>
        <w:gridCol w:w="804"/>
        <w:gridCol w:w="708"/>
        <w:gridCol w:w="708"/>
        <w:gridCol w:w="2607"/>
      </w:tblGrid>
      <w:tr>
        <w:trPr>
          <w:tblHeader w:val="on"/>
        </w:trPr>
        <w:tc>
          <w:tcPr/>
          <w:p>
            <w:pPr>
              <w:pStyle w:val="Compact"/>
              <w:jc w:val="left"/>
            </w:pPr>
            <w:r>
              <w:t xml:space="preserve">model</w:t>
            </w:r>
          </w:p>
        </w:tc>
        <w:tc>
          <w:tcPr/>
          <w:p>
            <w:pPr>
              <w:pStyle w:val="Compact"/>
              <w:jc w:val="right"/>
            </w:pPr>
            <w:r>
              <w:t xml:space="preserve">aic</w:t>
            </w:r>
          </w:p>
        </w:tc>
        <w:tc>
          <w:tcPr/>
          <w:p>
            <w:pPr>
              <w:pStyle w:val="Compact"/>
              <w:jc w:val="right"/>
            </w:pPr>
            <w:r>
              <w:t xml:space="preserve">bic</w:t>
            </w:r>
          </w:p>
        </w:tc>
        <w:tc>
          <w:tcPr/>
          <w:p>
            <w:pPr>
              <w:pStyle w:val="Compact"/>
              <w:jc w:val="right"/>
            </w:pPr>
            <w:r>
              <w:t xml:space="preserve">delta_aic</w:t>
            </w:r>
          </w:p>
        </w:tc>
        <w:tc>
          <w:tcPr/>
          <w:p>
            <w:pPr>
              <w:pStyle w:val="Compact"/>
              <w:jc w:val="right"/>
            </w:pPr>
            <w:r>
              <w:t xml:space="preserve">persistence</w:t>
            </w:r>
          </w:p>
        </w:tc>
        <w:tc>
          <w:tcPr/>
          <w:p>
            <w:pPr>
              <w:pStyle w:val="Compact"/>
              <w:jc w:val="left"/>
            </w:pPr>
            <w:r>
              <w:t xml:space="preserve">core_diagnostics_pass</w:t>
            </w:r>
          </w:p>
        </w:tc>
        <w:tc>
          <w:tcPr/>
          <w:p>
            <w:pPr>
              <w:pStyle w:val="Compact"/>
              <w:jc w:val="left"/>
            </w:pPr>
            <w:r>
              <w:t xml:space="preserve">sign_bias_pass</w:t>
            </w:r>
          </w:p>
        </w:tc>
        <w:tc>
          <w:tcPr/>
          <w:p>
            <w:pPr>
              <w:pStyle w:val="Compact"/>
              <w:jc w:val="left"/>
            </w:pPr>
            <w:r>
              <w:t xml:space="preserve">parameter_stability_pass</w:t>
            </w:r>
          </w:p>
        </w:tc>
        <w:tc>
          <w:tcPr/>
          <w:p>
            <w:pPr>
              <w:pStyle w:val="Compact"/>
              <w:jc w:val="left"/>
            </w:pPr>
            <w:r>
              <w:t xml:space="preserve">distribution_fit_pass</w:t>
            </w:r>
          </w:p>
        </w:tc>
        <w:tc>
          <w:tcPr/>
          <w:p>
            <w:pPr>
              <w:pStyle w:val="Compact"/>
              <w:jc w:val="left"/>
            </w:pPr>
            <w:r>
              <w:t xml:space="preserve">provisional_candidate</w:t>
            </w:r>
          </w:p>
        </w:tc>
        <w:tc>
          <w:tcPr/>
          <w:p>
            <w:pPr>
              <w:pStyle w:val="Compact"/>
              <w:jc w:val="left"/>
            </w:pPr>
            <w:r>
              <w:t xml:space="preserve">evidence_assessment</w:t>
            </w:r>
          </w:p>
        </w:tc>
      </w:tr>
      <w:tr>
        <w:tc>
          <w:tcPr/>
          <w:p>
            <w:pPr>
              <w:pStyle w:val="Compact"/>
              <w:jc w:val="left"/>
            </w:pPr>
            <w:r>
              <w:t xml:space="preserve">gjrGARCH-Student-t</w:t>
            </w:r>
          </w:p>
        </w:tc>
        <w:tc>
          <w:tcPr/>
          <w:p>
            <w:pPr>
              <w:pStyle w:val="Compact"/>
              <w:jc w:val="right"/>
            </w:pPr>
            <w:r>
              <w:t xml:space="preserve">-5.63443</w:t>
            </w:r>
          </w:p>
        </w:tc>
        <w:tc>
          <w:tcPr/>
          <w:p>
            <w:pPr>
              <w:pStyle w:val="Compact"/>
              <w:jc w:val="right"/>
            </w:pPr>
            <w:r>
              <w:t xml:space="preserve">-5.62165</w:t>
            </w:r>
          </w:p>
        </w:tc>
        <w:tc>
          <w:tcPr/>
          <w:p>
            <w:pPr>
              <w:pStyle w:val="Compact"/>
              <w:jc w:val="right"/>
            </w:pPr>
            <w:r>
              <w:t xml:space="preserve">0.00000</w:t>
            </w:r>
          </w:p>
        </w:tc>
        <w:tc>
          <w:tcPr/>
          <w:p>
            <w:pPr>
              <w:pStyle w:val="Compact"/>
              <w:jc w:val="right"/>
            </w:pPr>
            <w:r>
              <w:t xml:space="preserve">0.98574</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r>
        <w:tc>
          <w:tcPr/>
          <w:p>
            <w:pPr>
              <w:pStyle w:val="Compact"/>
              <w:jc w:val="left"/>
            </w:pPr>
            <w:r>
              <w:t xml:space="preserve">eGARCH-Student-t</w:t>
            </w:r>
          </w:p>
        </w:tc>
        <w:tc>
          <w:tcPr/>
          <w:p>
            <w:pPr>
              <w:pStyle w:val="Compact"/>
              <w:jc w:val="right"/>
            </w:pPr>
            <w:r>
              <w:t xml:space="preserve">-5.63306</w:t>
            </w:r>
          </w:p>
        </w:tc>
        <w:tc>
          <w:tcPr/>
          <w:p>
            <w:pPr>
              <w:pStyle w:val="Compact"/>
              <w:jc w:val="right"/>
            </w:pPr>
            <w:r>
              <w:t xml:space="preserve">-5.62028</w:t>
            </w:r>
          </w:p>
        </w:tc>
        <w:tc>
          <w:tcPr/>
          <w:p>
            <w:pPr>
              <w:pStyle w:val="Compact"/>
              <w:jc w:val="right"/>
            </w:pPr>
            <w:r>
              <w:t xml:space="preserve">0.00137</w:t>
            </w:r>
          </w:p>
        </w:tc>
        <w:tc>
          <w:tcPr/>
          <w:p>
            <w:pPr>
              <w:pStyle w:val="Compact"/>
              <w:jc w:val="right"/>
            </w:pPr>
            <w:r>
              <w:t xml:space="preserve">0.96267</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TRUE</w:t>
            </w:r>
          </w:p>
        </w:tc>
        <w:tc>
          <w:tcPr/>
          <w:p>
            <w:pPr>
              <w:pStyle w:val="Compact"/>
              <w:jc w:val="left"/>
            </w:pPr>
            <w:r>
              <w:t xml:space="preserve">Core diagnostics and joint stability pass; distribution GOF remains a limitation</w:t>
            </w:r>
          </w:p>
        </w:tc>
      </w:tr>
      <w:tr>
        <w:tc>
          <w:tcPr/>
          <w:p>
            <w:pPr>
              <w:pStyle w:val="Compact"/>
              <w:jc w:val="left"/>
            </w:pPr>
            <w:r>
              <w:t xml:space="preserve">sGARCH-Student-t</w:t>
            </w:r>
          </w:p>
        </w:tc>
        <w:tc>
          <w:tcPr/>
          <w:p>
            <w:pPr>
              <w:pStyle w:val="Compact"/>
              <w:jc w:val="right"/>
            </w:pPr>
            <w:r>
              <w:t xml:space="preserve">-5.63173</w:t>
            </w:r>
          </w:p>
        </w:tc>
        <w:tc>
          <w:tcPr/>
          <w:p>
            <w:pPr>
              <w:pStyle w:val="Compact"/>
              <w:jc w:val="right"/>
            </w:pPr>
            <w:r>
              <w:t xml:space="preserve">-5.62109</w:t>
            </w:r>
          </w:p>
        </w:tc>
        <w:tc>
          <w:tcPr/>
          <w:p>
            <w:pPr>
              <w:pStyle w:val="Compact"/>
              <w:jc w:val="right"/>
            </w:pPr>
            <w:r>
              <w:t xml:space="preserve">0.00269</w:t>
            </w:r>
          </w:p>
        </w:tc>
        <w:tc>
          <w:tcPr/>
          <w:p>
            <w:pPr>
              <w:pStyle w:val="Compact"/>
              <w:jc w:val="right"/>
            </w:pPr>
            <w:r>
              <w:t xml:space="preserve">0.98914</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r>
        <w:tc>
          <w:tcPr/>
          <w:p>
            <w:pPr>
              <w:pStyle w:val="Compact"/>
              <w:jc w:val="left"/>
            </w:pPr>
            <w:r>
              <w:t xml:space="preserve">sGARCH-Normal</w:t>
            </w:r>
          </w:p>
        </w:tc>
        <w:tc>
          <w:tcPr/>
          <w:p>
            <w:pPr>
              <w:pStyle w:val="Compact"/>
              <w:jc w:val="right"/>
            </w:pPr>
            <w:r>
              <w:t xml:space="preserve">-5.50730</w:t>
            </w:r>
          </w:p>
        </w:tc>
        <w:tc>
          <w:tcPr/>
          <w:p>
            <w:pPr>
              <w:pStyle w:val="Compact"/>
              <w:jc w:val="right"/>
            </w:pPr>
            <w:r>
              <w:t xml:space="preserve">-5.49878</w:t>
            </w:r>
          </w:p>
        </w:tc>
        <w:tc>
          <w:tcPr/>
          <w:p>
            <w:pPr>
              <w:pStyle w:val="Compact"/>
              <w:jc w:val="right"/>
            </w:pPr>
            <w:r>
              <w:t xml:space="preserve">0.12713</w:t>
            </w:r>
          </w:p>
        </w:tc>
        <w:tc>
          <w:tcPr/>
          <w:p>
            <w:pPr>
              <w:pStyle w:val="Compact"/>
              <w:jc w:val="right"/>
            </w:pPr>
            <w:r>
              <w:t xml:space="preserve">0.96451</w:t>
            </w:r>
          </w:p>
        </w:tc>
        <w:tc>
          <w:tcPr/>
          <w:p>
            <w:pPr>
              <w:pStyle w:val="Compact"/>
              <w:jc w:val="left"/>
            </w:pPr>
            <w:r>
              <w:t xml:space="preserve">TRUE</w:t>
            </w:r>
          </w:p>
        </w:tc>
        <w:tc>
          <w:tcPr/>
          <w:p>
            <w:pPr>
              <w:pStyle w:val="Compact"/>
              <w:jc w:val="left"/>
            </w:pPr>
            <w:r>
              <w:t xml:space="preserve">TRUE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FALSE</w:t>
            </w:r>
          </w:p>
        </w:tc>
        <w:tc>
          <w:tcPr/>
          <w:p>
            <w:pPr>
              <w:pStyle w:val="Compact"/>
              <w:jc w:val="left"/>
            </w:pPr>
            <w:r>
              <w:t xml:space="preserve">Core diagnostics pass, but parameter stability is rejected</w:t>
            </w:r>
          </w:p>
        </w:tc>
      </w:tr>
    </w:tbl>
    <w:p>
      <w:pPr>
        <w:pStyle w:val="BodyText"/>
      </w:pPr>
      <w:r>
        <w:t xml:space="preserve">Student-t cải thiện AIC rõ so với sGARCH-Normal, phù hợp với heavy tails quan sát trong EDA. GJR-GARCH-Student-t có AIC thấp nhất, nhưng Nyblom bác bỏ parameter stability. eGARCH-Student-t chỉ kém GJR 0.00137 AIC, đồng thời core residual diagnostics và joint stability đạt; vì vậy đây là ứng viên cân bằng theo quy tắc định trước, không phải model “hoàn hảo”.</w:t>
      </w:r>
    </w:p>
    <w:p>
      <w:pPr>
        <w:pStyle w:val="TableCaption"/>
      </w:pPr>
      <w:r>
        <w:t xml:space="preserve">P-value và statistics chẩn đoán GARCH</w:t>
      </w:r>
    </w:p>
    <w:tbl>
      <w:tblPr>
        <w:tblStyle w:val="Table"/>
        <w:tblW w:type="pct" w:w="5000"/>
        <w:tblLayout w:type="fixed"/>
        <w:tblLook w:firstRow="1" w:lastRow="0" w:firstColumn="0" w:lastColumn="0" w:noHBand="0" w:noVBand="0" w:val="0020"/>
        <w:tblCaption w:val="P-value và statistics chẩn đoán GARCH"/>
      </w:tblPr>
      <w:tblGrid>
        <w:gridCol w:w="1074"/>
        <w:gridCol w:w="1188"/>
        <w:gridCol w:w="1131"/>
        <w:gridCol w:w="565"/>
        <w:gridCol w:w="1018"/>
        <w:gridCol w:w="735"/>
        <w:gridCol w:w="1188"/>
        <w:gridCol w:w="1018"/>
      </w:tblGrid>
      <w:tr>
        <w:trPr>
          <w:tblHeader w:val="on"/>
        </w:trPr>
        <w:tc>
          <w:tcPr/>
          <w:p>
            <w:pPr>
              <w:pStyle w:val="Compact"/>
              <w:jc w:val="left"/>
            </w:pPr>
            <w:r>
              <w:t xml:space="preserve">model</w:t>
            </w:r>
          </w:p>
        </w:tc>
        <w:tc>
          <w:tcPr/>
          <w:p>
            <w:pPr>
              <w:pStyle w:val="Compact"/>
              <w:jc w:val="right"/>
            </w:pPr>
            <w:r>
              <w:t xml:space="preserve">ljung_box_residual_p</w:t>
            </w:r>
          </w:p>
        </w:tc>
        <w:tc>
          <w:tcPr/>
          <w:p>
            <w:pPr>
              <w:pStyle w:val="Compact"/>
              <w:jc w:val="right"/>
            </w:pPr>
            <w:r>
              <w:t xml:space="preserve">ljung_box_squared_p</w:t>
            </w:r>
          </w:p>
        </w:tc>
        <w:tc>
          <w:tcPr/>
          <w:p>
            <w:pPr>
              <w:pStyle w:val="Compact"/>
              <w:jc w:val="right"/>
            </w:pPr>
            <w:r>
              <w:t xml:space="preserve">arch_lm_p</w:t>
            </w:r>
          </w:p>
        </w:tc>
        <w:tc>
          <w:tcPr/>
          <w:p>
            <w:pPr>
              <w:pStyle w:val="Compact"/>
              <w:jc w:val="right"/>
            </w:pPr>
            <w:r>
              <w:t xml:space="preserve">sign_bias_joint_p</w:t>
            </w:r>
          </w:p>
        </w:tc>
        <w:tc>
          <w:tcPr/>
          <w:p>
            <w:pPr>
              <w:pStyle w:val="Compact"/>
              <w:jc w:val="right"/>
            </w:pPr>
            <w:r>
              <w:t xml:space="preserve">nyblom_joint</w:t>
            </w:r>
          </w:p>
        </w:tc>
        <w:tc>
          <w:tcPr/>
          <w:p>
            <w:pPr>
              <w:pStyle w:val="Compact"/>
              <w:jc w:val="right"/>
            </w:pPr>
            <w:r>
              <w:t xml:space="preserve">nyblom_5pct_critical</w:t>
            </w:r>
          </w:p>
        </w:tc>
        <w:tc>
          <w:tcPr/>
          <w:p>
            <w:pPr>
              <w:pStyle w:val="Compact"/>
              <w:jc w:val="right"/>
            </w:pPr>
            <w:r>
              <w:t xml:space="preserve">pearson_group20_p</w:t>
            </w:r>
          </w:p>
        </w:tc>
      </w:tr>
      <w:tr>
        <w:tc>
          <w:tcPr/>
          <w:p>
            <w:pPr>
              <w:pStyle w:val="Compact"/>
              <w:jc w:val="left"/>
            </w:pPr>
            <w:r>
              <w:t xml:space="preserve">gjrGARCH-Student-t</w:t>
            </w:r>
          </w:p>
        </w:tc>
        <w:tc>
          <w:tcPr/>
          <w:p>
            <w:pPr>
              <w:pStyle w:val="Compact"/>
              <w:jc w:val="right"/>
            </w:pPr>
            <w:r>
              <w:t xml:space="preserve">0.86798</w:t>
            </w:r>
          </w:p>
        </w:tc>
        <w:tc>
          <w:tcPr/>
          <w:p>
            <w:pPr>
              <w:pStyle w:val="Compact"/>
              <w:jc w:val="right"/>
            </w:pPr>
            <w:r>
              <w:t xml:space="preserve">0.63184</w:t>
            </w:r>
          </w:p>
        </w:tc>
        <w:tc>
          <w:tcPr/>
          <w:p>
            <w:pPr>
              <w:pStyle w:val="Compact"/>
              <w:jc w:val="right"/>
            </w:pPr>
            <w:r>
              <w:t xml:space="preserve">0.36593</w:t>
            </w:r>
          </w:p>
        </w:tc>
        <w:tc>
          <w:tcPr/>
          <w:p>
            <w:pPr>
              <w:pStyle w:val="Compact"/>
              <w:jc w:val="right"/>
            </w:pPr>
            <w:r>
              <w:t xml:space="preserve">0.08642</w:t>
            </w:r>
          </w:p>
        </w:tc>
        <w:tc>
          <w:tcPr/>
          <w:p>
            <w:pPr>
              <w:pStyle w:val="Compact"/>
              <w:jc w:val="right"/>
            </w:pPr>
            <w:r>
              <w:t xml:space="preserve">27.34785</w:t>
            </w:r>
          </w:p>
        </w:tc>
        <w:tc>
          <w:tcPr/>
          <w:p>
            <w:pPr>
              <w:pStyle w:val="Compact"/>
              <w:jc w:val="right"/>
            </w:pPr>
            <w:r>
              <w:t xml:space="preserve">1.68</w:t>
            </w:r>
          </w:p>
        </w:tc>
        <w:tc>
          <w:tcPr/>
          <w:p>
            <w:pPr>
              <w:pStyle w:val="Compact"/>
              <w:jc w:val="right"/>
            </w:pPr>
            <w:r>
              <w:t xml:space="preserve">0</w:t>
            </w:r>
          </w:p>
        </w:tc>
      </w:tr>
      <w:tr>
        <w:tc>
          <w:tcPr/>
          <w:p>
            <w:pPr>
              <w:pStyle w:val="Compact"/>
              <w:jc w:val="left"/>
            </w:pPr>
            <w:r>
              <w:t xml:space="preserve">eGARCH-Student-t</w:t>
            </w:r>
          </w:p>
        </w:tc>
        <w:tc>
          <w:tcPr/>
          <w:p>
            <w:pPr>
              <w:pStyle w:val="Compact"/>
              <w:jc w:val="right"/>
            </w:pPr>
            <w:r>
              <w:t xml:space="preserve">0.87726</w:t>
            </w:r>
          </w:p>
        </w:tc>
        <w:tc>
          <w:tcPr/>
          <w:p>
            <w:pPr>
              <w:pStyle w:val="Compact"/>
              <w:jc w:val="right"/>
            </w:pPr>
            <w:r>
              <w:t xml:space="preserve">0.84232</w:t>
            </w:r>
          </w:p>
        </w:tc>
        <w:tc>
          <w:tcPr/>
          <w:p>
            <w:pPr>
              <w:pStyle w:val="Compact"/>
              <w:jc w:val="right"/>
            </w:pPr>
            <w:r>
              <w:t xml:space="preserve">0.64581</w:t>
            </w:r>
          </w:p>
        </w:tc>
        <w:tc>
          <w:tcPr/>
          <w:p>
            <w:pPr>
              <w:pStyle w:val="Compact"/>
              <w:jc w:val="right"/>
            </w:pPr>
            <w:r>
              <w:t xml:space="preserve">0.10172</w:t>
            </w:r>
          </w:p>
        </w:tc>
        <w:tc>
          <w:tcPr/>
          <w:p>
            <w:pPr>
              <w:pStyle w:val="Compact"/>
              <w:jc w:val="right"/>
            </w:pPr>
            <w:r>
              <w:t xml:space="preserve">1.50476</w:t>
            </w:r>
          </w:p>
        </w:tc>
        <w:tc>
          <w:tcPr/>
          <w:p>
            <w:pPr>
              <w:pStyle w:val="Compact"/>
              <w:jc w:val="right"/>
            </w:pPr>
            <w:r>
              <w:t xml:space="preserve">1.68</w:t>
            </w:r>
          </w:p>
        </w:tc>
        <w:tc>
          <w:tcPr/>
          <w:p>
            <w:pPr>
              <w:pStyle w:val="Compact"/>
              <w:jc w:val="right"/>
            </w:pPr>
            <w:r>
              <w:t xml:space="preserve">0</w:t>
            </w:r>
          </w:p>
        </w:tc>
      </w:tr>
      <w:tr>
        <w:tc>
          <w:tcPr/>
          <w:p>
            <w:pPr>
              <w:pStyle w:val="Compact"/>
              <w:jc w:val="left"/>
            </w:pPr>
            <w:r>
              <w:t xml:space="preserve">sGARCH-Student-t</w:t>
            </w:r>
          </w:p>
        </w:tc>
        <w:tc>
          <w:tcPr/>
          <w:p>
            <w:pPr>
              <w:pStyle w:val="Compact"/>
              <w:jc w:val="right"/>
            </w:pPr>
            <w:r>
              <w:t xml:space="preserve">0.85852</w:t>
            </w:r>
          </w:p>
        </w:tc>
        <w:tc>
          <w:tcPr/>
          <w:p>
            <w:pPr>
              <w:pStyle w:val="Compact"/>
              <w:jc w:val="right"/>
            </w:pPr>
            <w:r>
              <w:t xml:space="preserve">0.78320</w:t>
            </w:r>
          </w:p>
        </w:tc>
        <w:tc>
          <w:tcPr/>
          <w:p>
            <w:pPr>
              <w:pStyle w:val="Compact"/>
              <w:jc w:val="right"/>
            </w:pPr>
            <w:r>
              <w:t xml:space="preserve">0.49370</w:t>
            </w:r>
          </w:p>
        </w:tc>
        <w:tc>
          <w:tcPr/>
          <w:p>
            <w:pPr>
              <w:pStyle w:val="Compact"/>
              <w:jc w:val="right"/>
            </w:pPr>
            <w:r>
              <w:t xml:space="preserve">0.06011</w:t>
            </w:r>
          </w:p>
        </w:tc>
        <w:tc>
          <w:tcPr/>
          <w:p>
            <w:pPr>
              <w:pStyle w:val="Compact"/>
              <w:jc w:val="right"/>
            </w:pPr>
            <w:r>
              <w:t xml:space="preserve">11.88983</w:t>
            </w:r>
          </w:p>
        </w:tc>
        <w:tc>
          <w:tcPr/>
          <w:p>
            <w:pPr>
              <w:pStyle w:val="Compact"/>
              <w:jc w:val="right"/>
            </w:pPr>
            <w:r>
              <w:t xml:space="preserve">1.47</w:t>
            </w:r>
          </w:p>
        </w:tc>
        <w:tc>
          <w:tcPr/>
          <w:p>
            <w:pPr>
              <w:pStyle w:val="Compact"/>
              <w:jc w:val="right"/>
            </w:pPr>
            <w:r>
              <w:t xml:space="preserve">0</w:t>
            </w:r>
          </w:p>
        </w:tc>
      </w:tr>
      <w:tr>
        <w:tc>
          <w:tcPr/>
          <w:p>
            <w:pPr>
              <w:pStyle w:val="Compact"/>
              <w:jc w:val="left"/>
            </w:pPr>
            <w:r>
              <w:t xml:space="preserve">sGARCH-Normal</w:t>
            </w:r>
          </w:p>
        </w:tc>
        <w:tc>
          <w:tcPr/>
          <w:p>
            <w:pPr>
              <w:pStyle w:val="Compact"/>
              <w:jc w:val="right"/>
            </w:pPr>
            <w:r>
              <w:t xml:space="preserve">0.81728</w:t>
            </w:r>
          </w:p>
        </w:tc>
        <w:tc>
          <w:tcPr/>
          <w:p>
            <w:pPr>
              <w:pStyle w:val="Compact"/>
              <w:jc w:val="right"/>
            </w:pPr>
            <w:r>
              <w:t xml:space="preserve">0.88108</w:t>
            </w:r>
          </w:p>
        </w:tc>
        <w:tc>
          <w:tcPr/>
          <w:p>
            <w:pPr>
              <w:pStyle w:val="Compact"/>
              <w:jc w:val="right"/>
            </w:pPr>
            <w:r>
              <w:t xml:space="preserve">0.80962</w:t>
            </w:r>
          </w:p>
        </w:tc>
        <w:tc>
          <w:tcPr/>
          <w:p>
            <w:pPr>
              <w:pStyle w:val="Compact"/>
              <w:jc w:val="right"/>
            </w:pPr>
            <w:r>
              <w:t xml:space="preserve">0.10291</w:t>
            </w:r>
          </w:p>
        </w:tc>
        <w:tc>
          <w:tcPr/>
          <w:p>
            <w:pPr>
              <w:pStyle w:val="Compact"/>
              <w:jc w:val="right"/>
            </w:pPr>
            <w:r>
              <w:t xml:space="preserve">12.89914</w:t>
            </w:r>
          </w:p>
        </w:tc>
        <w:tc>
          <w:tcPr/>
          <w:p>
            <w:pPr>
              <w:pStyle w:val="Compact"/>
              <w:jc w:val="right"/>
            </w:pPr>
            <w:r>
              <w:t xml:space="preserve">1.24</w:t>
            </w:r>
          </w:p>
        </w:tc>
        <w:tc>
          <w:tcPr/>
          <w:p>
            <w:pPr>
              <w:pStyle w:val="Compact"/>
              <w:jc w:val="right"/>
            </w:pPr>
            <w:r>
              <w:t xml:space="preserve">0</w:t>
            </w:r>
          </w:p>
        </w:tc>
      </w:tr>
    </w:tbl>
    <w:p>
      <w:pPr>
        <w:pStyle w:val="BodyText"/>
      </w:pPr>
      <w:r>
        <w:t xml:space="preserve">Ljung-Box standardized residual, Ljung-Box squared residual và ARCH-LM sau fit đều chưa bác bỏ H0 ở mức 5% cho cả bốn model. Sign-bias joint test cũng chưa bác bỏ H0. Tuy nhiên, Nyblom chỉ chấp nhận joint stability cho eGARCH; adjusted Pearson GOF bác bỏ distribution fit ở cả bốn specification.</w:t>
      </w:r>
    </w:p>
    <w:bookmarkEnd w:id="66"/>
    <w:bookmarkStart w:id="67" w:name="tham-số-candidate"/>
    <w:p>
      <w:pPr>
        <w:pStyle w:val="Heading2"/>
      </w:pPr>
      <w:r>
        <w:rPr>
          <w:rStyle w:val="SectionNumber"/>
        </w:rPr>
        <w:t xml:space="preserve">5.4</w:t>
      </w:r>
      <w:r>
        <w:tab/>
      </w:r>
      <w:r>
        <w:t xml:space="preserve">Tham số candidate</w:t>
      </w:r>
    </w:p>
    <w:p>
      <w:pPr>
        <w:pStyle w:val="TableCaption"/>
      </w:pPr>
      <w:r>
        <w:t xml:space="preserve">Tham số eGARCH-Student-t: conventional và robust inference</w:t>
      </w:r>
    </w:p>
    <w:tbl>
      <w:tblPr>
        <w:tblStyle w:val="Table"/>
        <w:tblW w:type="pct" w:w="5000"/>
        <w:tblLayout w:type="fixed"/>
        <w:tblLook w:firstRow="1" w:lastRow="0" w:firstColumn="0" w:lastColumn="0" w:noHBand="0" w:noVBand="0" w:val="0020"/>
        <w:tblCaption w:val="Tham số eGARCH-Student-t: conventional và robust inference"/>
      </w:tblPr>
      <w:tblGrid>
        <w:gridCol w:w="1115"/>
        <w:gridCol w:w="1115"/>
        <w:gridCol w:w="1115"/>
        <w:gridCol w:w="1003"/>
        <w:gridCol w:w="1896"/>
        <w:gridCol w:w="1673"/>
      </w:tblGrid>
      <w:tr>
        <w:trPr>
          <w:tblHeader w:val="on"/>
        </w:trPr>
        <w:tc>
          <w:tcPr/>
          <w:p>
            <w:pPr>
              <w:pStyle w:val="Compact"/>
              <w:jc w:val="left"/>
            </w:pPr>
            <w:r>
              <w:t xml:space="preserve">parameter</w:t>
            </w:r>
          </w:p>
        </w:tc>
        <w:tc>
          <w:tcPr/>
          <w:p>
            <w:pPr>
              <w:pStyle w:val="Compact"/>
              <w:jc w:val="right"/>
            </w:pPr>
            <w:r>
              <w:t xml:space="preserve">estimate</w:t>
            </w:r>
          </w:p>
        </w:tc>
        <w:tc>
          <w:tcPr/>
          <w:p>
            <w:pPr>
              <w:pStyle w:val="Compact"/>
              <w:jc w:val="right"/>
            </w:pPr>
            <w:r>
              <w:t xml:space="preserve">std_error</w:t>
            </w:r>
          </w:p>
        </w:tc>
        <w:tc>
          <w:tcPr/>
          <w:p>
            <w:pPr>
              <w:pStyle w:val="Compact"/>
              <w:jc w:val="right"/>
            </w:pPr>
            <w:r>
              <w:t xml:space="preserve">p_value</w:t>
            </w:r>
          </w:p>
        </w:tc>
        <w:tc>
          <w:tcPr/>
          <w:p>
            <w:pPr>
              <w:pStyle w:val="Compact"/>
              <w:jc w:val="right"/>
            </w:pPr>
            <w:r>
              <w:t xml:space="preserve">robust_std_error</w:t>
            </w:r>
          </w:p>
        </w:tc>
        <w:tc>
          <w:tcPr/>
          <w:p>
            <w:pPr>
              <w:pStyle w:val="Compact"/>
              <w:jc w:val="right"/>
            </w:pPr>
            <w:r>
              <w:t xml:space="preserve">robust_p_value</w:t>
            </w:r>
          </w:p>
        </w:tc>
      </w:tr>
      <w:tr>
        <w:tc>
          <w:tcPr/>
          <w:p>
            <w:pPr>
              <w:pStyle w:val="Compact"/>
              <w:jc w:val="left"/>
            </w:pPr>
            <w:r>
              <w:t xml:space="preserve">mu</w:t>
            </w:r>
          </w:p>
        </w:tc>
        <w:tc>
          <w:tcPr/>
          <w:p>
            <w:pPr>
              <w:pStyle w:val="Compact"/>
              <w:jc w:val="right"/>
            </w:pPr>
            <w:r>
              <w:t xml:space="preserve">0.000477</w:t>
            </w:r>
          </w:p>
        </w:tc>
        <w:tc>
          <w:tcPr/>
          <w:p>
            <w:pPr>
              <w:pStyle w:val="Compact"/>
              <w:jc w:val="right"/>
            </w:pPr>
            <w:r>
              <w:t xml:space="preserve">0.000227</w:t>
            </w:r>
          </w:p>
        </w:tc>
        <w:tc>
          <w:tcPr/>
          <w:p>
            <w:pPr>
              <w:pStyle w:val="Compact"/>
              <w:jc w:val="right"/>
            </w:pPr>
            <w:r>
              <w:t xml:space="preserve">0.035675</w:t>
            </w:r>
          </w:p>
        </w:tc>
        <w:tc>
          <w:tcPr/>
          <w:p>
            <w:pPr>
              <w:pStyle w:val="Compact"/>
              <w:jc w:val="right"/>
            </w:pPr>
            <w:r>
              <w:t xml:space="preserve">0.000233</w:t>
            </w:r>
          </w:p>
        </w:tc>
        <w:tc>
          <w:tcPr/>
          <w:p>
            <w:pPr>
              <w:pStyle w:val="Compact"/>
              <w:jc w:val="right"/>
            </w:pPr>
            <w:r>
              <w:t xml:space="preserve">0.040683</w:t>
            </w:r>
          </w:p>
        </w:tc>
      </w:tr>
      <w:tr>
        <w:tc>
          <w:tcPr/>
          <w:p>
            <w:pPr>
              <w:pStyle w:val="Compact"/>
              <w:jc w:val="left"/>
            </w:pPr>
            <w:r>
              <w:t xml:space="preserve">omega</w:t>
            </w:r>
          </w:p>
        </w:tc>
        <w:tc>
          <w:tcPr/>
          <w:p>
            <w:pPr>
              <w:pStyle w:val="Compact"/>
              <w:jc w:val="right"/>
            </w:pPr>
            <w:r>
              <w:t xml:space="preserve">-0.303887</w:t>
            </w:r>
          </w:p>
        </w:tc>
        <w:tc>
          <w:tcPr/>
          <w:p>
            <w:pPr>
              <w:pStyle w:val="Compact"/>
              <w:jc w:val="right"/>
            </w:pPr>
            <w:r>
              <w:t xml:space="preserve">0.042127</w:t>
            </w:r>
          </w:p>
        </w:tc>
        <w:tc>
          <w:tcPr/>
          <w:p>
            <w:pPr>
              <w:pStyle w:val="Compact"/>
              <w:jc w:val="right"/>
            </w:pPr>
            <w:r>
              <w:t xml:space="preserve">0.000000</w:t>
            </w:r>
          </w:p>
        </w:tc>
        <w:tc>
          <w:tcPr/>
          <w:p>
            <w:pPr>
              <w:pStyle w:val="Compact"/>
              <w:jc w:val="right"/>
            </w:pPr>
            <w:r>
              <w:t xml:space="preserve">0.049889</w:t>
            </w:r>
          </w:p>
        </w:tc>
        <w:tc>
          <w:tcPr/>
          <w:p>
            <w:pPr>
              <w:pStyle w:val="Compact"/>
              <w:jc w:val="right"/>
            </w:pPr>
            <w:r>
              <w:t xml:space="preserve">0.000000</w:t>
            </w:r>
          </w:p>
        </w:tc>
      </w:tr>
      <w:tr>
        <w:tc>
          <w:tcPr/>
          <w:p>
            <w:pPr>
              <w:pStyle w:val="Compact"/>
              <w:jc w:val="left"/>
            </w:pPr>
            <w:r>
              <w:t xml:space="preserve">alpha1</w:t>
            </w:r>
          </w:p>
        </w:tc>
        <w:tc>
          <w:tcPr/>
          <w:p>
            <w:pPr>
              <w:pStyle w:val="Compact"/>
              <w:jc w:val="right"/>
            </w:pPr>
            <w:r>
              <w:t xml:space="preserve">-0.047986</w:t>
            </w:r>
          </w:p>
        </w:tc>
        <w:tc>
          <w:tcPr/>
          <w:p>
            <w:pPr>
              <w:pStyle w:val="Compact"/>
              <w:jc w:val="right"/>
            </w:pPr>
            <w:r>
              <w:t xml:space="preserve">0.022958</w:t>
            </w:r>
          </w:p>
        </w:tc>
        <w:tc>
          <w:tcPr/>
          <w:p>
            <w:pPr>
              <w:pStyle w:val="Compact"/>
              <w:jc w:val="right"/>
            </w:pPr>
            <w:r>
              <w:t xml:space="preserve">0.036606</w:t>
            </w:r>
          </w:p>
        </w:tc>
        <w:tc>
          <w:tcPr/>
          <w:p>
            <w:pPr>
              <w:pStyle w:val="Compact"/>
              <w:jc w:val="right"/>
            </w:pPr>
            <w:r>
              <w:t xml:space="preserve">0.034960</w:t>
            </w:r>
          </w:p>
        </w:tc>
        <w:tc>
          <w:tcPr/>
          <w:p>
            <w:pPr>
              <w:pStyle w:val="Compact"/>
              <w:jc w:val="right"/>
            </w:pPr>
            <w:r>
              <w:t xml:space="preserve">0.169877</w:t>
            </w:r>
          </w:p>
        </w:tc>
      </w:tr>
      <w:tr>
        <w:tc>
          <w:tcPr/>
          <w:p>
            <w:pPr>
              <w:pStyle w:val="Compact"/>
              <w:jc w:val="left"/>
            </w:pPr>
            <w:r>
              <w:t xml:space="preserve">beta1</w:t>
            </w:r>
          </w:p>
        </w:tc>
        <w:tc>
          <w:tcPr/>
          <w:p>
            <w:pPr>
              <w:pStyle w:val="Compact"/>
              <w:jc w:val="right"/>
            </w:pPr>
            <w:r>
              <w:t xml:space="preserve">0.962670</w:t>
            </w:r>
          </w:p>
        </w:tc>
        <w:tc>
          <w:tcPr/>
          <w:p>
            <w:pPr>
              <w:pStyle w:val="Compact"/>
              <w:jc w:val="right"/>
            </w:pPr>
            <w:r>
              <w:t xml:space="preserve">0.005071</w:t>
            </w:r>
          </w:p>
        </w:tc>
        <w:tc>
          <w:tcPr/>
          <w:p>
            <w:pPr>
              <w:pStyle w:val="Compact"/>
              <w:jc w:val="right"/>
            </w:pPr>
            <w:r>
              <w:t xml:space="preserve">0.000000</w:t>
            </w:r>
          </w:p>
        </w:tc>
        <w:tc>
          <w:tcPr/>
          <w:p>
            <w:pPr>
              <w:pStyle w:val="Compact"/>
              <w:jc w:val="right"/>
            </w:pPr>
            <w:r>
              <w:t xml:space="preserve">0.005892</w:t>
            </w:r>
          </w:p>
        </w:tc>
        <w:tc>
          <w:tcPr/>
          <w:p>
            <w:pPr>
              <w:pStyle w:val="Compact"/>
              <w:jc w:val="right"/>
            </w:pPr>
            <w:r>
              <w:t xml:space="preserve">0.000000</w:t>
            </w:r>
          </w:p>
        </w:tc>
      </w:tr>
      <w:tr>
        <w:tc>
          <w:tcPr/>
          <w:p>
            <w:pPr>
              <w:pStyle w:val="Compact"/>
              <w:jc w:val="left"/>
            </w:pPr>
            <w:r>
              <w:t xml:space="preserve">gamma1</w:t>
            </w:r>
          </w:p>
        </w:tc>
        <w:tc>
          <w:tcPr/>
          <w:p>
            <w:pPr>
              <w:pStyle w:val="Compact"/>
              <w:jc w:val="right"/>
            </w:pPr>
            <w:r>
              <w:t xml:space="preserve">0.240236</w:t>
            </w:r>
          </w:p>
        </w:tc>
        <w:tc>
          <w:tcPr/>
          <w:p>
            <w:pPr>
              <w:pStyle w:val="Compact"/>
              <w:jc w:val="right"/>
            </w:pPr>
            <w:r>
              <w:t xml:space="preserve">0.029413</w:t>
            </w:r>
          </w:p>
        </w:tc>
        <w:tc>
          <w:tcPr/>
          <w:p>
            <w:pPr>
              <w:pStyle w:val="Compact"/>
              <w:jc w:val="right"/>
            </w:pPr>
            <w:r>
              <w:t xml:space="preserve">0.000000</w:t>
            </w:r>
          </w:p>
        </w:tc>
        <w:tc>
          <w:tcPr/>
          <w:p>
            <w:pPr>
              <w:pStyle w:val="Compact"/>
              <w:jc w:val="right"/>
            </w:pPr>
            <w:r>
              <w:t xml:space="preserve">0.028302</w:t>
            </w:r>
          </w:p>
        </w:tc>
        <w:tc>
          <w:tcPr/>
          <w:p>
            <w:pPr>
              <w:pStyle w:val="Compact"/>
              <w:jc w:val="right"/>
            </w:pPr>
            <w:r>
              <w:t xml:space="preserve">0.000000</w:t>
            </w:r>
          </w:p>
        </w:tc>
      </w:tr>
      <w:tr>
        <w:tc>
          <w:tcPr/>
          <w:p>
            <w:pPr>
              <w:pStyle w:val="Compact"/>
              <w:jc w:val="left"/>
            </w:pPr>
            <w:r>
              <w:t xml:space="preserve">shape</w:t>
            </w:r>
          </w:p>
        </w:tc>
        <w:tc>
          <w:tcPr/>
          <w:p>
            <w:pPr>
              <w:pStyle w:val="Compact"/>
              <w:jc w:val="right"/>
            </w:pPr>
            <w:r>
              <w:t xml:space="preserve">3.596439</w:t>
            </w:r>
          </w:p>
        </w:tc>
        <w:tc>
          <w:tcPr/>
          <w:p>
            <w:pPr>
              <w:pStyle w:val="Compact"/>
              <w:jc w:val="right"/>
            </w:pPr>
            <w:r>
              <w:t xml:space="preserve">0.275833</w:t>
            </w:r>
          </w:p>
        </w:tc>
        <w:tc>
          <w:tcPr/>
          <w:p>
            <w:pPr>
              <w:pStyle w:val="Compact"/>
              <w:jc w:val="right"/>
            </w:pPr>
            <w:r>
              <w:t xml:space="preserve">0.000000</w:t>
            </w:r>
          </w:p>
        </w:tc>
        <w:tc>
          <w:tcPr/>
          <w:p>
            <w:pPr>
              <w:pStyle w:val="Compact"/>
              <w:jc w:val="right"/>
            </w:pPr>
            <w:r>
              <w:t xml:space="preserve">0.260436</w:t>
            </w:r>
          </w:p>
        </w:tc>
        <w:tc>
          <w:tcPr/>
          <w:p>
            <w:pPr>
              <w:pStyle w:val="Compact"/>
              <w:jc w:val="right"/>
            </w:pPr>
            <w:r>
              <w:t xml:space="preserve">0.000000</w:t>
            </w:r>
          </w:p>
        </w:tc>
      </w:tr>
    </w:tbl>
    <w:p>
      <w:pPr>
        <w:pStyle w:val="BodyText"/>
      </w:pPr>
      <w:r>
        <w:t xml:space="preserve">Robust inference quan trọng vì distribution GOF chưa đạt. Ví dụ, một tham số có conventional p-value nhỏ nhưng robust p-value lớn không nên được diễn giải mạnh.</w:t>
      </w:r>
      <w:r>
        <w:t xml:space="preserve"> </w:t>
      </w:r>
      <w:r>
        <w:rPr>
          <w:rStyle w:val="VerbatimChar"/>
        </w:rPr>
        <w:t xml:space="preserve">beta1</w:t>
      </w:r>
      <w:r>
        <w:t xml:space="preserve"> </w:t>
      </w:r>
      <w:r>
        <w:t xml:space="preserve">của eGARCH gần 1 cho thấy volatility có memory dài theo parameterization của model; không cộng</w:t>
      </w:r>
      <w:r>
        <w:t xml:space="preserve"> </w:t>
      </w:r>
      <w:r>
        <w:rPr>
          <w:rStyle w:val="VerbatimChar"/>
        </w:rPr>
        <w:t xml:space="preserve">alpha1 + beta1</w:t>
      </w:r>
      <w:r>
        <w:t xml:space="preserve"> </w:t>
      </w:r>
      <w:r>
        <w:t xml:space="preserve">như sGARCH.</w:t>
      </w:r>
    </w:p>
    <w:bookmarkEnd w:id="67"/>
    <w:bookmarkStart w:id="77" w:name="volatility-và-asymmetry-theo-thời-gian"/>
    <w:p>
      <w:pPr>
        <w:pStyle w:val="Heading2"/>
      </w:pPr>
      <w:r>
        <w:rPr>
          <w:rStyle w:val="SectionNumber"/>
        </w:rPr>
        <w:t xml:space="preserve">5.5</w:t>
      </w:r>
      <w:r>
        <w:tab/>
      </w:r>
      <w:r>
        <w:t xml:space="preserve">Volatility và asymmetry theo thời gian</w:t>
      </w:r>
    </w:p>
    <w:p>
      <w:pPr>
        <w:pStyle w:val="CaptionedFigure"/>
      </w:pPr>
      <w:r>
        <w:drawing>
          <wp:inline>
            <wp:extent cx="5067300" cy="2994313"/>
            <wp:effectExtent b="0" l="0" r="0" t="0"/>
            <wp:docPr descr="Conditional volatility của bốn GARCH specification" title="" id="69" name="Picture"/>
            <a:graphic>
              <a:graphicData uri="http://schemas.openxmlformats.org/drawingml/2006/picture">
                <pic:pic>
                  <pic:nvPicPr>
                    <pic:cNvPr descr="report_files/ef53e153bad1ed53bb918cdd5108976475da0254.png" id="70" name="Picture"/>
                    <pic:cNvPicPr>
                      <a:picLocks noChangeArrowheads="1" noChangeAspect="1"/>
                    </pic:cNvPicPr>
                  </pic:nvPicPr>
                  <pic:blipFill>
                    <a:blip r:embed="rId68"/>
                    <a:stretch>
                      <a:fillRect/>
                    </a:stretch>
                  </pic:blipFill>
                  <pic:spPr bwMode="auto">
                    <a:xfrm>
                      <a:off x="0" y="0"/>
                      <a:ext cx="5067300" cy="2994313"/>
                    </a:xfrm>
                    <a:prstGeom prst="rect">
                      <a:avLst/>
                    </a:prstGeom>
                    <a:noFill/>
                    <a:ln w="9525">
                      <a:noFill/>
                      <a:headEnd/>
                      <a:tailEnd/>
                    </a:ln>
                  </pic:spPr>
                </pic:pic>
              </a:graphicData>
            </a:graphic>
          </wp:inline>
        </w:drawing>
      </w:r>
    </w:p>
    <w:p>
      <w:pPr>
        <w:pStyle w:val="ImageCaption"/>
      </w:pPr>
      <w:r>
        <w:t xml:space="preserve">Conditional volatility của bốn GARCH specification</w:t>
      </w:r>
    </w:p>
    <w:p>
      <w:pPr>
        <w:pStyle w:val="BodyText"/>
      </w:pPr>
      <w:r>
        <w:t xml:space="preserve">Bốn đường broadly đồng biến và đều cho thấy volatility clustering. Các đỉnh chỉ mô tả giai đoạn model ước lượng conditional volatility cao; báo cáo không tự gán nguyên nhân sự kiện nếu chưa có nguồn bên ngoài.</w:t>
      </w:r>
    </w:p>
    <w:p>
      <w:pPr>
        <w:pStyle w:val="CaptionedFigure"/>
      </w:pPr>
      <w:r>
        <w:drawing>
          <wp:inline>
            <wp:extent cx="5067300" cy="2714625"/>
            <wp:effectExtent b="0" l="0" r="0" t="0"/>
            <wp:docPr descr="ACF standardized residual và squared standardized residual" title="" id="72" name="Picture"/>
            <a:graphic>
              <a:graphicData uri="http://schemas.openxmlformats.org/drawingml/2006/picture">
                <pic:pic>
                  <pic:nvPicPr>
                    <pic:cNvPr descr="report_files/cd953a7a2a5a9f7512c96fab26871cc62d0469f9.png" id="73" name="Picture"/>
                    <pic:cNvPicPr>
                      <a:picLocks noChangeArrowheads="1" noChangeAspect="1"/>
                    </pic:cNvPicPr>
                  </pic:nvPicPr>
                  <pic:blipFill>
                    <a:blip r:embed="rId71"/>
                    <a:stretch>
                      <a:fillRect/>
                    </a:stretch>
                  </pic:blipFill>
                  <pic:spPr bwMode="auto">
                    <a:xfrm>
                      <a:off x="0" y="0"/>
                      <a:ext cx="5067300" cy="2714625"/>
                    </a:xfrm>
                    <a:prstGeom prst="rect">
                      <a:avLst/>
                    </a:prstGeom>
                    <a:noFill/>
                    <a:ln w="9525">
                      <a:noFill/>
                      <a:headEnd/>
                      <a:tailEnd/>
                    </a:ln>
                  </pic:spPr>
                </pic:pic>
              </a:graphicData>
            </a:graphic>
          </wp:inline>
        </w:drawing>
      </w:r>
    </w:p>
    <w:p>
      <w:pPr>
        <w:pStyle w:val="ImageCaption"/>
      </w:pPr>
      <w:r>
        <w:t xml:space="preserve">ACF standardized residual và squared standardized residual</w:t>
      </w:r>
    </w:p>
    <w:p>
      <w:pPr>
        <w:pStyle w:val="CaptionedFigure"/>
      </w:pPr>
      <w:r>
        <w:drawing>
          <wp:inline>
            <wp:extent cx="5067300" cy="2533650"/>
            <wp:effectExtent b="0" l="0" r="0" t="0"/>
            <wp:docPr descr="News-impact curves của eGARCH và GJR-GARCH" title="" id="75" name="Picture"/>
            <a:graphic>
              <a:graphicData uri="http://schemas.openxmlformats.org/drawingml/2006/picture">
                <pic:pic>
                  <pic:nvPicPr>
                    <pic:cNvPr descr="report_files/3a07c567705fc3134a94f1decac1d74b3c9e7f08.png" id="76" name="Picture"/>
                    <pic:cNvPicPr>
                      <a:picLocks noChangeArrowheads="1" noChangeAspect="1"/>
                    </pic:cNvPicPr>
                  </pic:nvPicPr>
                  <pic:blipFill>
                    <a:blip r:embed="rId74"/>
                    <a:stretch>
                      <a:fillRect/>
                    </a:stretch>
                  </pic:blipFill>
                  <pic:spPr bwMode="auto">
                    <a:xfrm>
                      <a:off x="0" y="0"/>
                      <a:ext cx="5067300" cy="2533650"/>
                    </a:xfrm>
                    <a:prstGeom prst="rect">
                      <a:avLst/>
                    </a:prstGeom>
                    <a:noFill/>
                    <a:ln w="9525">
                      <a:noFill/>
                      <a:headEnd/>
                      <a:tailEnd/>
                    </a:ln>
                  </pic:spPr>
                </pic:pic>
              </a:graphicData>
            </a:graphic>
          </wp:inline>
        </w:drawing>
      </w:r>
    </w:p>
    <w:p>
      <w:pPr>
        <w:pStyle w:val="ImageCaption"/>
      </w:pPr>
      <w:r>
        <w:t xml:space="preserve">News-impact curves của eGARCH và GJR-GARCH</w:t>
      </w:r>
    </w:p>
    <w:p>
      <w:pPr>
        <w:pStyle w:val="BodyText"/>
      </w:pPr>
      <w:r>
        <w:t xml:space="preserve">News-impact curves mô tả phản ứng khác nhau với standardized shock âm và dương. Đây là minh họa cấu trúc bất đối xứng; diễn giải leverage phải dựa trên đúng dấu, parameterization và robust significance của package.</w:t>
      </w:r>
    </w:p>
    <w:bookmarkEnd w:id="77"/>
    <w:bookmarkStart w:id="78" w:name="kết-luận-phần-volatility"/>
    <w:p>
      <w:pPr>
        <w:pStyle w:val="Heading2"/>
      </w:pPr>
      <w:r>
        <w:rPr>
          <w:rStyle w:val="SectionNumber"/>
        </w:rPr>
        <w:t xml:space="preserve">5.6</w:t>
      </w:r>
      <w:r>
        <w:tab/>
      </w:r>
      <w:r>
        <w:t xml:space="preserve">Kết luận phần volatility</w:t>
      </w:r>
    </w:p>
    <w:p>
      <w:pPr>
        <w:pStyle w:val="FirstParagraph"/>
      </w:pPr>
      <w:r>
        <w:t xml:space="preserve">eGARCH-Student-t là ứng viên cân bằng nhất trong bốn specification đã thử vì fit gần GJR, core diagnostics đạt và Nyblom stability đạt. Pearson GOF vẫn bị bác bỏ và dự án chưa đánh giá volatility forecast ngoài mẫu bằng QLIKE/MSE hoặc VaR backtest. Do đó kết quả chỉ mô tả conditional volatility lịch sử, không phải hệ thống quản trị rủi ro sẵn sàng triển khai.</w:t>
      </w:r>
    </w:p>
    <w:bookmarkEnd w:id="78"/>
    <w:bookmarkEnd w:id="79"/>
    <w:bookmarkStart w:id="83" w:name="kết-luận-hạn-chế-và-hướng-phát-triển"/>
    <w:p>
      <w:pPr>
        <w:pStyle w:val="Heading1"/>
      </w:pPr>
      <w:r>
        <w:rPr>
          <w:rStyle w:val="SectionNumber"/>
        </w:rPr>
        <w:t xml:space="preserve">6</w:t>
      </w:r>
      <w:r>
        <w:tab/>
      </w:r>
      <w:r>
        <w:t xml:space="preserve">Kết luận, hạn chế và hướng phát triển</w:t>
      </w:r>
    </w:p>
    <w:bookmarkStart w:id="80" w:name="kết-luận"/>
    <w:p>
      <w:pPr>
        <w:pStyle w:val="Heading2"/>
      </w:pPr>
      <w:r>
        <w:rPr>
          <w:rStyle w:val="SectionNumber"/>
        </w:rPr>
        <w:t xml:space="preserve">6.1</w:t>
      </w:r>
      <w:r>
        <w:tab/>
      </w:r>
      <w:r>
        <w:t xml:space="preserve">Kết luận</w:t>
      </w:r>
    </w:p>
    <w:p>
      <w:pPr>
        <w:pStyle w:val="Compact"/>
        <w:numPr>
          <w:ilvl w:val="0"/>
          <w:numId w:val="1004"/>
        </w:numPr>
      </w:pPr>
      <w:r>
        <w:t xml:space="preserve">Raw data có 2,960 dòng; sau khi loại 173 hàng volume bằng 0 và chuẩn hóa 1 OHLC row, dữ liệu model còn 2,787 dòng và 2,786 log returns.</w:t>
      </w:r>
    </w:p>
    <w:p>
      <w:pPr>
        <w:pStyle w:val="Compact"/>
        <w:numPr>
          <w:ilvl w:val="0"/>
          <w:numId w:val="1004"/>
        </w:numPr>
      </w:pPr>
      <w:r>
        <w:t xml:space="preserve">ADF chưa bác bỏ unit root cho</w:t>
      </w:r>
      <w:r>
        <w:t xml:space="preserve"> </w:t>
      </w:r>
      <w:r>
        <w:rPr>
          <w:rStyle w:val="VerbatimChar"/>
        </w:rPr>
        <w:t xml:space="preserve">close</w:t>
      </w:r>
      <w:r>
        <w:t xml:space="preserve"> </w:t>
      </w:r>
      <w:r>
        <w:t xml:space="preserve">và</w:t>
      </w:r>
      <w:r>
        <w:t xml:space="preserve"> </w:t>
      </w:r>
      <w:r>
        <w:rPr>
          <w:rStyle w:val="VerbatimChar"/>
        </w:rPr>
        <w:t xml:space="preserve">log_close</w:t>
      </w:r>
      <w:r>
        <w:t xml:space="preserve">, nhưng bác bỏ unit root cho</w:t>
      </w:r>
      <w:r>
        <w:t xml:space="preserve"> </w:t>
      </w:r>
      <w:r>
        <w:rPr>
          <w:rStyle w:val="VerbatimChar"/>
        </w:rPr>
        <w:t xml:space="preserve">return</w:t>
      </w:r>
      <w:r>
        <w:t xml:space="preserve">.</w:t>
      </w:r>
    </w:p>
    <w:p>
      <w:pPr>
        <w:pStyle w:val="Compact"/>
        <w:numPr>
          <w:ilvl w:val="0"/>
          <w:numId w:val="1004"/>
        </w:numPr>
      </w:pPr>
      <w:r>
        <w:t xml:space="preserve">ETS Damped dẫn holdout theo RMSE nhưng chỉ hơn Naive 0.72; Naive dẫn rolling CV; mọi fitted forecast model còn residual autocorrelation.</w:t>
      </w:r>
    </w:p>
    <w:p>
      <w:pPr>
        <w:pStyle w:val="Compact"/>
        <w:numPr>
          <w:ilvl w:val="0"/>
          <w:numId w:val="1004"/>
        </w:numPr>
      </w:pPr>
      <w:r>
        <w:t xml:space="preserve">Pre-fit ARCH-LM phát hiện ARCH effect. Student-t cải thiện relative fit so với Normal trong GARCH.</w:t>
      </w:r>
    </w:p>
    <w:p>
      <w:pPr>
        <w:pStyle w:val="Compact"/>
        <w:numPr>
          <w:ilvl w:val="0"/>
          <w:numId w:val="1004"/>
        </w:numPr>
      </w:pPr>
      <w:r>
        <w:t xml:space="preserve">GJR có AIC thấp nhất nhưng parameter stability không đạt; eGARCH-Student-t là ứng viên cân bằng nhờ fit gần GJR, core diagnostics và Nyblom stability đạt.</w:t>
      </w:r>
    </w:p>
    <w:p>
      <w:pPr>
        <w:pStyle w:val="Compact"/>
        <w:numPr>
          <w:ilvl w:val="0"/>
          <w:numId w:val="1004"/>
        </w:numPr>
      </w:pPr>
      <w:r>
        <w:t xml:space="preserve">Distribution GOF còn bị bác bỏ cho cả bốn GARCH, nên không có model hoàn hảo.</w:t>
      </w:r>
    </w:p>
    <w:p>
      <w:pPr>
        <w:pStyle w:val="FirstParagraph"/>
      </w:pPr>
      <w:r>
        <w:t xml:space="preserve">Các kết luận trên chỉ áp dụng cho sample, specification và protocol hiện tại. Dự án không chứng minh quan hệ nhân quả, không định giá FPT và không đưa ra khuyến nghị đầu tư.</w:t>
      </w:r>
    </w:p>
    <w:bookmarkEnd w:id="80"/>
    <w:bookmarkStart w:id="81" w:name="hạn-chế"/>
    <w:p>
      <w:pPr>
        <w:pStyle w:val="Heading2"/>
      </w:pPr>
      <w:r>
        <w:rPr>
          <w:rStyle w:val="SectionNumber"/>
        </w:rPr>
        <w:t xml:space="preserve">6.2</w:t>
      </w:r>
      <w:r>
        <w:tab/>
      </w:r>
      <w:r>
        <w:t xml:space="preserve">Hạn chế</w:t>
      </w:r>
    </w:p>
    <w:p>
      <w:pPr>
        <w:pStyle w:val="Compact"/>
        <w:numPr>
          <w:ilvl w:val="0"/>
          <w:numId w:val="1005"/>
        </w:numPr>
      </w:pPr>
      <w:r>
        <w:t xml:space="preserve">Chỉ sử dụng lịch sử một cổ phiếu từ một nhà cung cấp.</w:t>
      </w:r>
    </w:p>
    <w:p>
      <w:pPr>
        <w:pStyle w:val="Compact"/>
        <w:numPr>
          <w:ilvl w:val="0"/>
          <w:numId w:val="1005"/>
        </w:numPr>
      </w:pPr>
      <w:r>
        <w:t xml:space="preserve">Holdout 30 phiên ngắn; kết quả nhạy với cửa sổ đánh giá.</w:t>
      </w:r>
    </w:p>
    <w:p>
      <w:pPr>
        <w:pStyle w:val="Compact"/>
        <w:numPr>
          <w:ilvl w:val="0"/>
          <w:numId w:val="1005"/>
        </w:numPr>
      </w:pPr>
      <w:r>
        <w:t xml:space="preserve">SARIMA và ARIMAX chưa có rolling CV cùng coverage.</w:t>
      </w:r>
    </w:p>
    <w:p>
      <w:pPr>
        <w:pStyle w:val="Compact"/>
        <w:numPr>
          <w:ilvl w:val="0"/>
          <w:numId w:val="1005"/>
        </w:numPr>
      </w:pPr>
      <w:r>
        <w:t xml:space="preserve">Tất cả fitted forecast models còn residual autocorrelation.</w:t>
      </w:r>
    </w:p>
    <w:p>
      <w:pPr>
        <w:pStyle w:val="Compact"/>
        <w:numPr>
          <w:ilvl w:val="0"/>
          <w:numId w:val="1005"/>
        </w:numPr>
      </w:pPr>
      <w:r>
        <w:t xml:space="preserve">Ba trong bốn GARCH không đạt Nyblom joint stability.</w:t>
      </w:r>
    </w:p>
    <w:p>
      <w:pPr>
        <w:pStyle w:val="Compact"/>
        <w:numPr>
          <w:ilvl w:val="0"/>
          <w:numId w:val="1005"/>
        </w:numPr>
      </w:pPr>
      <w:r>
        <w:t xml:space="preserve">Pearson GOF bác bỏ distribution fit ở cả bốn GARCH.</w:t>
      </w:r>
    </w:p>
    <w:p>
      <w:pPr>
        <w:pStyle w:val="Compact"/>
        <w:numPr>
          <w:ilvl w:val="0"/>
          <w:numId w:val="1005"/>
        </w:numPr>
      </w:pPr>
      <w:r>
        <w:t xml:space="preserve">Chưa có out-of-sample volatility loss hoặc VaR backtest.</w:t>
      </w:r>
    </w:p>
    <w:p>
      <w:pPr>
        <w:pStyle w:val="Compact"/>
        <w:numPr>
          <w:ilvl w:val="0"/>
          <w:numId w:val="1005"/>
        </w:numPr>
      </w:pPr>
      <w:r>
        <w:t xml:space="preserve">Chưa kiểm tra structural breaks một cách chuyên biệt.</w:t>
      </w:r>
    </w:p>
    <w:bookmarkEnd w:id="81"/>
    <w:bookmarkStart w:id="82" w:name="hướng-phát-triển"/>
    <w:p>
      <w:pPr>
        <w:pStyle w:val="Heading2"/>
      </w:pPr>
      <w:r>
        <w:rPr>
          <w:rStyle w:val="SectionNumber"/>
        </w:rPr>
        <w:t xml:space="preserve">6.3</w:t>
      </w:r>
      <w:r>
        <w:tab/>
      </w:r>
      <w:r>
        <w:t xml:space="preserve">Hướng phát triển</w:t>
      </w:r>
    </w:p>
    <w:p>
      <w:pPr>
        <w:pStyle w:val="Compact"/>
        <w:numPr>
          <w:ilvl w:val="0"/>
          <w:numId w:val="1006"/>
        </w:numPr>
      </w:pPr>
      <w:r>
        <w:t xml:space="preserve">Chạy cùng rolling-origin folds cho toàn bộ forecast models.</w:t>
      </w:r>
    </w:p>
    <w:p>
      <w:pPr>
        <w:pStyle w:val="Compact"/>
        <w:numPr>
          <w:ilvl w:val="0"/>
          <w:numId w:val="1006"/>
        </w:numPr>
      </w:pPr>
      <w:r>
        <w:t xml:space="preserve">Bổ sung MASE và prediction-interval coverage.</w:t>
      </w:r>
    </w:p>
    <w:p>
      <w:pPr>
        <w:pStyle w:val="Compact"/>
        <w:numPr>
          <w:ilvl w:val="0"/>
          <w:numId w:val="1006"/>
        </w:numPr>
      </w:pPr>
      <w:r>
        <w:t xml:space="preserve">Dùng rolling/expanding evaluation cho volatility với QLIKE hoặc MSE trên variance proxy.</w:t>
      </w:r>
    </w:p>
    <w:p>
      <w:pPr>
        <w:pStyle w:val="Compact"/>
        <w:numPr>
          <w:ilvl w:val="0"/>
          <w:numId w:val="1006"/>
        </w:numPr>
      </w:pPr>
      <w:r>
        <w:t xml:space="preserve">Thực hiện VaR backtest bằng Kupiec và Christoffersen.</w:t>
      </w:r>
    </w:p>
    <w:p>
      <w:pPr>
        <w:pStyle w:val="Compact"/>
        <w:numPr>
          <w:ilvl w:val="0"/>
          <w:numId w:val="1006"/>
        </w:numPr>
      </w:pPr>
      <w:r>
        <w:t xml:space="preserve">Thử skewed Student-t/GED và kiểm tra distribution fit.</w:t>
      </w:r>
    </w:p>
    <w:p>
      <w:pPr>
        <w:pStyle w:val="Compact"/>
        <w:numPr>
          <w:ilvl w:val="0"/>
          <w:numId w:val="1006"/>
        </w:numPr>
      </w:pPr>
      <w:r>
        <w:t xml:space="preserve">Kiểm tra structural breaks hoặc regime-switching.</w:t>
      </w:r>
    </w:p>
    <w:p>
      <w:pPr>
        <w:pStyle w:val="Compact"/>
        <w:numPr>
          <w:ilvl w:val="0"/>
          <w:numId w:val="1006"/>
        </w:numPr>
      </w:pPr>
      <w:r>
        <w:t xml:space="preserve">Thêm VN-Index, biến vĩ mô hoặc thông tin doanh nghiệp với thiết kế chống leakage.</w:t>
      </w:r>
    </w:p>
    <w:p>
      <w:pPr>
        <w:pStyle w:val="FirstParagraph"/>
      </w:pPr>
      <w:r>
        <w:t xml:space="preserve">Ưu tiên của nghiên cứu tiếp theo là đánh giá công bằng và ngoài mẫu, không phải chỉ tăng số lượng model.</w:t>
      </w:r>
    </w:p>
    <w:bookmarkEnd w:id="82"/>
    <w:bookmarkEnd w:id="83"/>
    <w:bookmarkStart w:id="86" w:name="phụ-lục"/>
    <w:p>
      <w:pPr>
        <w:pStyle w:val="Heading1"/>
      </w:pPr>
      <w:r>
        <w:rPr>
          <w:rStyle w:val="SectionNumber"/>
        </w:rPr>
        <w:t xml:space="preserve">7</w:t>
      </w:r>
      <w:r>
        <w:tab/>
      </w:r>
      <w:r>
        <w:t xml:space="preserve">Phụ lục</w:t>
      </w:r>
    </w:p>
    <w:bookmarkStart w:id="84" w:name="cách-tái-lập"/>
    <w:p>
      <w:pPr>
        <w:pStyle w:val="Heading2"/>
      </w:pPr>
      <w:r>
        <w:rPr>
          <w:rStyle w:val="SectionNumber"/>
        </w:rPr>
        <w:t xml:space="preserve">7.1</w:t>
      </w:r>
      <w:r>
        <w:tab/>
      </w:r>
      <w:r>
        <w:t xml:space="preserve">Cách tái lập</w:t>
      </w:r>
    </w:p>
    <w:p>
      <w:pPr>
        <w:pStyle w:val="FirstParagraph"/>
      </w:pPr>
      <w:r>
        <w:t xml:space="preserve">Từ project root, chạy một lệnh:</w:t>
      </w:r>
    </w:p>
    <w:p>
      <w:pPr>
        <w:pStyle w:val="SourceCode"/>
      </w:pPr>
      <w:r>
        <w:rPr>
          <w:rStyle w:val="FunctionTok"/>
        </w:rPr>
        <w:t xml:space="preserve">source</w:t>
      </w:r>
      <w:r>
        <w:rPr>
          <w:rStyle w:val="NormalTok"/>
        </w:rPr>
        <w:t xml:space="preserve">(</w:t>
      </w:r>
      <w:r>
        <w:rPr>
          <w:rStyle w:val="StringTok"/>
        </w:rPr>
        <w:t xml:space="preserve">"R/run_all.R"</w:t>
      </w:r>
      <w:r>
        <w:rPr>
          <w:rStyle w:val="NormalTok"/>
        </w:rPr>
        <w:t xml:space="preserve">)</w:t>
      </w:r>
    </w:p>
    <w:p>
      <w:pPr>
        <w:pStyle w:val="FirstParagraph"/>
      </w:pPr>
      <w:r>
        <w:t xml:space="preserve">Entry point kiểm tra package, chạy script 01-06, ghi</w:t>
      </w:r>
      <w:r>
        <w:t xml:space="preserve"> </w:t>
      </w:r>
      <w:r>
        <w:rPr>
          <w:rStyle w:val="VerbatimChar"/>
        </w:rPr>
        <w:t xml:space="preserve">output/pipeline_log.txt</w:t>
      </w:r>
      <w:r>
        <w:t xml:space="preserve">, rồi render báo cáo và khung slide Word. Các package chính gồm</w:t>
      </w:r>
      <w:r>
        <w:t xml:space="preserve"> </w:t>
      </w:r>
      <w:r>
        <w:rPr>
          <w:rStyle w:val="VerbatimChar"/>
        </w:rPr>
        <w:t xml:space="preserve">tidyverse</w:t>
      </w:r>
      <w:r>
        <w:t xml:space="preserve">,</w:t>
      </w:r>
      <w:r>
        <w:t xml:space="preserve"> </w:t>
      </w:r>
      <w:r>
        <w:rPr>
          <w:rStyle w:val="VerbatimChar"/>
        </w:rPr>
        <w:t xml:space="preserve">forecast</w:t>
      </w:r>
      <w:r>
        <w:t xml:space="preserve">,</w:t>
      </w:r>
      <w:r>
        <w:t xml:space="preserve"> </w:t>
      </w:r>
      <w:r>
        <w:rPr>
          <w:rStyle w:val="VerbatimChar"/>
        </w:rPr>
        <w:t xml:space="preserve">tseries</w:t>
      </w:r>
      <w:r>
        <w:t xml:space="preserve">,</w:t>
      </w:r>
      <w:r>
        <w:t xml:space="preserve"> </w:t>
      </w:r>
      <w:r>
        <w:rPr>
          <w:rStyle w:val="VerbatimChar"/>
        </w:rPr>
        <w:t xml:space="preserve">FinTS</w:t>
      </w:r>
      <w:r>
        <w:t xml:space="preserve">,</w:t>
      </w:r>
      <w:r>
        <w:t xml:space="preserve"> </w:t>
      </w:r>
      <w:r>
        <w:rPr>
          <w:rStyle w:val="VerbatimChar"/>
        </w:rPr>
        <w:t xml:space="preserve">rugarch</w:t>
      </w:r>
      <w:r>
        <w:t xml:space="preserve">,</w:t>
      </w:r>
      <w:r>
        <w:t xml:space="preserve"> </w:t>
      </w:r>
      <w:r>
        <w:rPr>
          <w:rStyle w:val="VerbatimChar"/>
        </w:rPr>
        <w:t xml:space="preserve">openxlsx</w:t>
      </w:r>
      <w:r>
        <w:t xml:space="preserve">,</w:t>
      </w:r>
      <w:r>
        <w:t xml:space="preserve"> </w:t>
      </w:r>
      <w:r>
        <w:rPr>
          <w:rStyle w:val="VerbatimChar"/>
        </w:rPr>
        <w:t xml:space="preserve">knitr</w:t>
      </w:r>
      <w:r>
        <w:t xml:space="preserve"> </w:t>
      </w:r>
      <w:r>
        <w:t xml:space="preserve">và</w:t>
      </w:r>
      <w:r>
        <w:t xml:space="preserve"> </w:t>
      </w:r>
      <w:r>
        <w:rPr>
          <w:rStyle w:val="VerbatimChar"/>
        </w:rPr>
        <w:t xml:space="preserve">rmarkdown</w:t>
      </w:r>
      <w:r>
        <w:t xml:space="preserve">.</w:t>
      </w:r>
    </w:p>
    <w:bookmarkEnd w:id="84"/>
    <w:bookmarkStart w:id="85" w:name="quy-tắc-diễn-giải-kiểm-định"/>
    <w:p>
      <w:pPr>
        <w:pStyle w:val="Heading2"/>
      </w:pPr>
      <w:r>
        <w:rPr>
          <w:rStyle w:val="SectionNumber"/>
        </w:rPr>
        <w:t xml:space="preserve">7.2</w:t>
      </w:r>
      <w:r>
        <w:tab/>
      </w:r>
      <w:r>
        <w:t xml:space="preserve">Quy tắc diễn giải kiểm định</w:t>
      </w:r>
    </w:p>
    <w:p>
      <w:pPr>
        <w:pStyle w:val="Compact"/>
        <w:numPr>
          <w:ilvl w:val="0"/>
          <w:numId w:val="1007"/>
        </w:numPr>
      </w:pPr>
      <w:r>
        <w:t xml:space="preserve">P-value nhỏ hơn 0,05: bác bỏ H0 ở mức 5%.</w:t>
      </w:r>
    </w:p>
    <w:p>
      <w:pPr>
        <w:pStyle w:val="Compact"/>
        <w:numPr>
          <w:ilvl w:val="0"/>
          <w:numId w:val="1007"/>
        </w:numPr>
      </w:pPr>
      <w:r>
        <w:t xml:space="preserve">P-value lớn hơn hoặc bằng 0,05: chưa đủ bằng chứng bác bỏ H0.</w:t>
      </w:r>
    </w:p>
    <w:p>
      <w:pPr>
        <w:pStyle w:val="Compact"/>
        <w:numPr>
          <w:ilvl w:val="0"/>
          <w:numId w:val="1007"/>
        </w:numPr>
      </w:pPr>
      <w:r>
        <w:t xml:space="preserve">P-value lớn không chứng minh H0 đúng hoặc model hoàn hảo.</w:t>
      </w:r>
    </w:p>
    <w:p>
      <w:pPr>
        <w:pStyle w:val="Compact"/>
        <w:numPr>
          <w:ilvl w:val="0"/>
          <w:numId w:val="1007"/>
        </w:numPr>
      </w:pPr>
      <w:r>
        <w:t xml:space="preserve">AIC/BIC chỉ so sánh các model dùng cùng response và sample.</w:t>
      </w:r>
    </w:p>
    <w:p>
      <w:pPr>
        <w:pStyle w:val="Compact"/>
        <w:numPr>
          <w:ilvl w:val="0"/>
          <w:numId w:val="1007"/>
        </w:numPr>
      </w:pPr>
      <w:r>
        <w:t xml:space="preserve">Metric holdout/CV đánh giá ngoài mẫu; AIC/BIC đánh giá relative in-sample fit.</w:t>
      </w:r>
    </w:p>
    <w:bookmarkEnd w:id="85"/>
    <w:bookmarkEnd w:id="86"/>
    <w:bookmarkStart w:id="87" w:name="đóng-góp-thành-viên"/>
    <w:p>
      <w:pPr>
        <w:pStyle w:val="Heading1"/>
      </w:pPr>
      <w:r>
        <w:rPr>
          <w:rStyle w:val="SectionNumber"/>
        </w:rPr>
        <w:t xml:space="preserve">8</w:t>
      </w:r>
      <w:r>
        <w:tab/>
      </w:r>
      <w:r>
        <w:t xml:space="preserve">Đóng góp thành viên</w:t>
      </w:r>
    </w:p>
    <w:tbl>
      <w:tblPr>
        <w:tblStyle w:val="Table"/>
        <w:tblW w:type="pct" w:w="5000"/>
        <w:tblLayout w:type="fixed"/>
        <w:tblLook w:firstRow="1" w:lastRow="0" w:firstColumn="0" w:lastColumn="0" w:noHBand="0" w:noVBand="0" w:val="0020"/>
      </w:tblPr>
      <w:tblGrid>
        <w:gridCol w:w="1827"/>
        <w:gridCol w:w="2436"/>
        <w:gridCol w:w="1827"/>
        <w:gridCol w:w="1827"/>
      </w:tblGrid>
      <w:tr>
        <w:trPr>
          <w:tblHeader w:val="on"/>
        </w:trPr>
        <w:tc>
          <w:tcPr/>
          <w:p>
            <w:pPr>
              <w:pStyle w:val="Compact"/>
            </w:pPr>
            <w:r>
              <w:t xml:space="preserve">Thành viên</w:t>
            </w:r>
          </w:p>
        </w:tc>
        <w:tc>
          <w:tcPr/>
          <w:p>
            <w:pPr>
              <w:pStyle w:val="Compact"/>
              <w:jc w:val="right"/>
            </w:pPr>
            <w:r>
              <w:t xml:space="preserve">Tỷ lệ</w:t>
            </w:r>
          </w:p>
        </w:tc>
        <w:tc>
          <w:tcPr/>
          <w:p>
            <w:pPr>
              <w:pStyle w:val="Compact"/>
            </w:pPr>
            <w:r>
              <w:t xml:space="preserve">Phạm vi đóng góp</w:t>
            </w:r>
          </w:p>
        </w:tc>
        <w:tc>
          <w:tcPr/>
          <w:p>
            <w:pPr>
              <w:pStyle w:val="Compact"/>
            </w:pPr>
            <w:r>
              <w:t xml:space="preserve">Artifact chính</w:t>
            </w:r>
          </w:p>
        </w:tc>
      </w:tr>
      <w:tr>
        <w:tc>
          <w:tcPr/>
          <w:p>
            <w:pPr>
              <w:pStyle w:val="Compact"/>
            </w:pPr>
            <w:r>
              <w:t xml:space="preserve">Trần Thiên Lực (24133037)</w:t>
            </w:r>
          </w:p>
        </w:tc>
        <w:tc>
          <w:tcPr/>
          <w:p>
            <w:pPr>
              <w:pStyle w:val="Compact"/>
              <w:jc w:val="right"/>
            </w:pPr>
            <w:r>
              <w:t xml:space="preserve">30%</w:t>
            </w:r>
          </w:p>
        </w:tc>
        <w:tc>
          <w:tcPr/>
          <w:p>
            <w:pPr>
              <w:pStyle w:val="Compact"/>
            </w:pPr>
            <w:r>
              <w:t xml:space="preserve">Nguồn dữ liệu, cleaning, quality checks và EDA</w:t>
            </w:r>
          </w:p>
        </w:tc>
        <w:tc>
          <w:tcPr/>
          <w:p>
            <w:pPr>
              <w:pStyle w:val="Compact"/>
            </w:pPr>
            <w:r>
              <w:t xml:space="preserve">Notebook,</w:t>
            </w:r>
            <w:r>
              <w:t xml:space="preserve"> </w:t>
            </w:r>
            <w:r>
              <w:rPr>
                <w:rStyle w:val="VerbatimChar"/>
              </w:rPr>
              <w:t xml:space="preserve">R/01</w:t>
            </w:r>
            <w:r>
              <w:t xml:space="preserve">,</w:t>
            </w:r>
            <w:r>
              <w:t xml:space="preserve"> </w:t>
            </w:r>
            <w:r>
              <w:rPr>
                <w:rStyle w:val="VerbatimChar"/>
              </w:rPr>
              <w:t xml:space="preserve">R/02</w:t>
            </w:r>
            <w:r>
              <w:t xml:space="preserve">, dữ liệu và hình EDA</w:t>
            </w:r>
          </w:p>
        </w:tc>
      </w:tr>
      <w:tr>
        <w:tc>
          <w:tcPr/>
          <w:p>
            <w:pPr>
              <w:pStyle w:val="Compact"/>
            </w:pPr>
            <w:r>
              <w:t xml:space="preserve">Nguyễn Đức Học (24162039)</w:t>
            </w:r>
          </w:p>
        </w:tc>
        <w:tc>
          <w:tcPr/>
          <w:p>
            <w:pPr>
              <w:pStyle w:val="Compact"/>
              <w:jc w:val="right"/>
            </w:pPr>
            <w:r>
              <w:t xml:space="preserve">35%</w:t>
            </w:r>
          </w:p>
        </w:tc>
        <w:tc>
          <w:tcPr/>
          <w:p>
            <w:pPr>
              <w:pStyle w:val="Compact"/>
            </w:pPr>
            <w:r>
              <w:t xml:space="preserve">ADF, forecast framework, benchmark, rolling CV và diagnostics</w:t>
            </w:r>
          </w:p>
        </w:tc>
        <w:tc>
          <w:tcPr/>
          <w:p>
            <w:pPr>
              <w:pStyle w:val="Compact"/>
            </w:pPr>
            <w:r>
              <w:rPr>
                <w:rStyle w:val="VerbatimChar"/>
              </w:rPr>
              <w:t xml:space="preserve">R/03</w:t>
            </w:r>
            <w:r>
              <w:t xml:space="preserve">, bảng/hình forecast</w:t>
            </w:r>
          </w:p>
        </w:tc>
      </w:tr>
      <w:tr>
        <w:tc>
          <w:tcPr/>
          <w:p>
            <w:pPr>
              <w:pStyle w:val="Compact"/>
            </w:pPr>
            <w:r>
              <w:t xml:space="preserve">Lê Đặng Hoàng Anh (24162006)</w:t>
            </w:r>
          </w:p>
        </w:tc>
        <w:tc>
          <w:tcPr/>
          <w:p>
            <w:pPr>
              <w:pStyle w:val="Compact"/>
              <w:jc w:val="right"/>
            </w:pPr>
            <w:r>
              <w:t xml:space="preserve">35%</w:t>
            </w:r>
          </w:p>
        </w:tc>
        <w:tc>
          <w:tcPr/>
          <w:p>
            <w:pPr>
              <w:pStyle w:val="Compact"/>
            </w:pPr>
            <w:r>
              <w:t xml:space="preserve">GARCH variants, diagnostics, comparison và tích hợp báo cáo</w:t>
            </w:r>
          </w:p>
        </w:tc>
        <w:tc>
          <w:tcPr/>
          <w:p>
            <w:pPr>
              <w:pStyle w:val="Compact"/>
            </w:pPr>
            <w:r>
              <w:rPr>
                <w:rStyle w:val="VerbatimChar"/>
              </w:rPr>
              <w:t xml:space="preserve">R/04</w:t>
            </w:r>
            <w:r>
              <w:t xml:space="preserve">-</w:t>
            </w:r>
            <w:r>
              <w:rPr>
                <w:rStyle w:val="VerbatimChar"/>
              </w:rPr>
              <w:t xml:space="preserve">R/06</w:t>
            </w:r>
            <w:r>
              <w:t xml:space="preserve">, Word và khung slide</w:t>
            </w:r>
          </w:p>
        </w:tc>
      </w:tr>
    </w:tbl>
    <w:bookmarkEnd w:id="87"/>
    <w:bookmarkStart w:id="88" w:name="tài-liệu-tham-khảo"/>
    <w:p>
      <w:pPr>
        <w:pStyle w:val="Heading1"/>
      </w:pPr>
      <w:r>
        <w:rPr>
          <w:rStyle w:val="SectionNumber"/>
        </w:rPr>
        <w:t xml:space="preserve">9</w:t>
      </w:r>
      <w:r>
        <w:tab/>
      </w:r>
      <w:r>
        <w:t xml:space="preserve">Tài liệu tham khảo</w:t>
      </w:r>
    </w:p>
    <w:p>
      <w:pPr>
        <w:pStyle w:val="Compact"/>
        <w:numPr>
          <w:ilvl w:val="0"/>
          <w:numId w:val="1008"/>
        </w:numPr>
      </w:pPr>
      <w:r>
        <w:t xml:space="preserve">Hyndman, R. J., &amp; Athanasopoulos, G. (2021).</w:t>
      </w:r>
      <w:r>
        <w:t xml:space="preserve"> </w:t>
      </w:r>
      <w:r>
        <w:rPr>
          <w:i/>
          <w:iCs/>
        </w:rPr>
        <w:t xml:space="preserve">Forecasting: Principles and Practice</w:t>
      </w:r>
      <w:r>
        <w:t xml:space="preserve"> </w:t>
      </w:r>
      <w:r>
        <w:t xml:space="preserve">(3rd ed.). OTexts.</w:t>
      </w:r>
    </w:p>
    <w:p>
      <w:pPr>
        <w:pStyle w:val="Compact"/>
        <w:numPr>
          <w:ilvl w:val="0"/>
          <w:numId w:val="1008"/>
        </w:numPr>
      </w:pPr>
      <w:r>
        <w:t xml:space="preserve">Tsay, R. S. (2010).</w:t>
      </w:r>
      <w:r>
        <w:t xml:space="preserve"> </w:t>
      </w:r>
      <w:r>
        <w:rPr>
          <w:i/>
          <w:iCs/>
        </w:rPr>
        <w:t xml:space="preserve">Analysis of Financial Time Series</w:t>
      </w:r>
      <w:r>
        <w:t xml:space="preserve"> </w:t>
      </w:r>
      <w:r>
        <w:t xml:space="preserve">(3rd ed.). Wiley.</w:t>
      </w:r>
    </w:p>
    <w:p>
      <w:pPr>
        <w:pStyle w:val="Compact"/>
        <w:numPr>
          <w:ilvl w:val="0"/>
          <w:numId w:val="1008"/>
        </w:numPr>
      </w:pPr>
      <w:r>
        <w:t xml:space="preserve">Engle, R. F. (1982). Autoregressive conditional heteroscedasticity with estimates of the variance of United Kingdom inflation.</w:t>
      </w:r>
      <w:r>
        <w:t xml:space="preserve"> </w:t>
      </w:r>
      <w:r>
        <w:rPr>
          <w:i/>
          <w:iCs/>
        </w:rPr>
        <w:t xml:space="preserve">Econometrica</w:t>
      </w:r>
      <w:r>
        <w:t xml:space="preserve">, 50(4), 987-1007.</w:t>
      </w:r>
    </w:p>
    <w:p>
      <w:pPr>
        <w:pStyle w:val="Compact"/>
        <w:numPr>
          <w:ilvl w:val="0"/>
          <w:numId w:val="1008"/>
        </w:numPr>
      </w:pPr>
      <w:r>
        <w:t xml:space="preserve">Bollerslev, T. (1986). Generalized autoregressive conditional heteroskedasticity.</w:t>
      </w:r>
      <w:r>
        <w:t xml:space="preserve"> </w:t>
      </w:r>
      <w:r>
        <w:rPr>
          <w:i/>
          <w:iCs/>
        </w:rPr>
        <w:t xml:space="preserve">Journal of Econometrics</w:t>
      </w:r>
      <w:r>
        <w:t xml:space="preserve">, 31(3), 307-327.</w:t>
      </w:r>
    </w:p>
    <w:p>
      <w:pPr>
        <w:pStyle w:val="Compact"/>
        <w:numPr>
          <w:ilvl w:val="0"/>
          <w:numId w:val="1008"/>
        </w:numPr>
      </w:pPr>
      <w:r>
        <w:t xml:space="preserve">Nelson, D. B. (1991). Conditional heteroskedasticity in asset returns: A new approach.</w:t>
      </w:r>
      <w:r>
        <w:t xml:space="preserve"> </w:t>
      </w:r>
      <w:r>
        <w:rPr>
          <w:i/>
          <w:iCs/>
        </w:rPr>
        <w:t xml:space="preserve">Econometrica</w:t>
      </w:r>
      <w:r>
        <w:t xml:space="preserve">, 59(2), 347-370.</w:t>
      </w:r>
    </w:p>
    <w:p>
      <w:pPr>
        <w:pStyle w:val="Compact"/>
        <w:numPr>
          <w:ilvl w:val="0"/>
          <w:numId w:val="1008"/>
        </w:numPr>
      </w:pPr>
      <w:r>
        <w:t xml:space="preserve">Glosten, L. R., Jagannathan, R., &amp; Runkle, D. E. (1993). On the relation between expected value and volatility of nominal excess returns.</w:t>
      </w:r>
      <w:r>
        <w:t xml:space="preserve"> </w:t>
      </w:r>
      <w:r>
        <w:rPr>
          <w:i/>
          <w:iCs/>
        </w:rPr>
        <w:t xml:space="preserve">Journal of Finance</w:t>
      </w:r>
      <w:r>
        <w:t xml:space="preserve">, 48(5), 1779-1801.</w:t>
      </w:r>
    </w:p>
    <w:p>
      <w:pPr>
        <w:pStyle w:val="Compact"/>
        <w:numPr>
          <w:ilvl w:val="0"/>
          <w:numId w:val="1008"/>
        </w:numPr>
      </w:pPr>
      <w:r>
        <w:t xml:space="preserve">Ghalanos, A.</w:t>
      </w:r>
      <w:r>
        <w:t xml:space="preserve"> </w:t>
      </w:r>
      <w:r>
        <w:rPr>
          <w:i/>
          <w:iCs/>
        </w:rPr>
        <w:t xml:space="preserve">rugarch: Univariate GARCH Models</w:t>
      </w:r>
      <w:r>
        <w:t xml:space="preserve">. R package documentation.</w:t>
      </w:r>
    </w:p>
    <w:p>
      <w:pPr>
        <w:pStyle w:val="Compact"/>
        <w:numPr>
          <w:ilvl w:val="0"/>
          <w:numId w:val="1008"/>
        </w:numPr>
      </w:pPr>
      <w:r>
        <w:t xml:space="preserve">Yahoo Finance. Historical data for</w:t>
      </w:r>
      <w:r>
        <w:t xml:space="preserve"> </w:t>
      </w:r>
      <w:r>
        <w:rPr>
          <w:rStyle w:val="VerbatimChar"/>
        </w:rPr>
        <w:t xml:space="preserve">FPT.VN</w:t>
      </w:r>
      <w:r>
        <w:t xml:space="preserve">, accessed through the reproducible notebook in this repository.</w:t>
      </w:r>
    </w:p>
    <w:bookmarkEnd w:id="88"/>
    <w:bookmarkStart w:id="89" w:name="peer-assessment"/>
    <w:p>
      <w:pPr>
        <w:pStyle w:val="Heading1"/>
      </w:pPr>
      <w:r>
        <w:rPr>
          <w:rStyle w:val="SectionNumber"/>
        </w:rPr>
        <w:t xml:space="preserve">10</w:t>
      </w:r>
      <w:r>
        <w:tab/>
      </w:r>
      <w:r>
        <w:t xml:space="preserve">Peer assessment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viên</w:t>
            </w:r>
          </w:p>
        </w:tc>
        <w:tc>
          <w:tcPr/>
          <w:p>
            <w:pPr>
              <w:pStyle w:val="Compact"/>
            </w:pPr>
            <w:r>
              <w:t xml:space="preserve">Phần hoàn thành</w:t>
            </w:r>
          </w:p>
        </w:tc>
        <w:tc>
          <w:tcPr/>
          <w:p>
            <w:pPr>
              <w:pStyle w:val="Compact"/>
            </w:pPr>
            <w:r>
              <w:t xml:space="preserve">Hạn chế cần hiểu khi bảo vệ</w:t>
            </w:r>
          </w:p>
        </w:tc>
        <w:tc>
          <w:tcPr/>
          <w:p>
            <w:pPr>
              <w:pStyle w:val="Compact"/>
            </w:pPr>
            <w:r>
              <w:t xml:space="preserve">Trạng thái</w:t>
            </w:r>
          </w:p>
        </w:tc>
      </w:tr>
      <w:tr>
        <w:tc>
          <w:tcPr/>
          <w:p>
            <w:pPr>
              <w:pStyle w:val="Compact"/>
            </w:pPr>
            <w:r>
              <w:t xml:space="preserve">Trần Thiên Lực</w:t>
            </w:r>
          </w:p>
        </w:tc>
        <w:tc>
          <w:tcPr/>
          <w:p>
            <w:pPr>
              <w:pStyle w:val="Compact"/>
            </w:pPr>
            <w:r>
              <w:t xml:space="preserve">Data handoff, cleaning và 9 hình EDA</w:t>
            </w:r>
          </w:p>
        </w:tc>
        <w:tc>
          <w:tcPr/>
          <w:p>
            <w:pPr>
              <w:pStyle w:val="Compact"/>
            </w:pPr>
            <w:r>
              <w:t xml:space="preserve">Yahoo Finance có thể điều chỉnh lịch sử</w:t>
            </w:r>
          </w:p>
        </w:tc>
        <w:tc>
          <w:tcPr/>
          <w:p>
            <w:pPr>
              <w:pStyle w:val="Compact"/>
            </w:pPr>
            <w:r>
              <w:t xml:space="preserve">Hoàn thành</w:t>
            </w:r>
          </w:p>
        </w:tc>
      </w:tr>
      <w:tr>
        <w:tc>
          <w:tcPr/>
          <w:p>
            <w:pPr>
              <w:pStyle w:val="Compact"/>
            </w:pPr>
            <w:r>
              <w:t xml:space="preserve">Nguyễn Đức Học</w:t>
            </w:r>
          </w:p>
        </w:tc>
        <w:tc>
          <w:tcPr/>
          <w:p>
            <w:pPr>
              <w:pStyle w:val="Compact"/>
            </w:pPr>
            <w:r>
              <w:t xml:space="preserve">Bảy holdout models, CV và diagnostics</w:t>
            </w:r>
          </w:p>
        </w:tc>
        <w:tc>
          <w:tcPr/>
          <w:p>
            <w:pPr>
              <w:pStyle w:val="Compact"/>
            </w:pPr>
            <w:r>
              <w:t xml:space="preserve">ARIMAX/SARIMA chưa có cùng CV coverage; residual chưa white noise</w:t>
            </w:r>
          </w:p>
        </w:tc>
        <w:tc>
          <w:tcPr/>
          <w:p>
            <w:pPr>
              <w:pStyle w:val="Compact"/>
            </w:pPr>
            <w:r>
              <w:t xml:space="preserve">Hoàn thành</w:t>
            </w:r>
          </w:p>
        </w:tc>
      </w:tr>
      <w:tr>
        <w:tc>
          <w:tcPr/>
          <w:p>
            <w:pPr>
              <w:pStyle w:val="Compact"/>
            </w:pPr>
            <w:r>
              <w:t xml:space="preserve">Lê Đặng Hoàng Anh</w:t>
            </w:r>
          </w:p>
        </w:tc>
        <w:tc>
          <w:tcPr/>
          <w:p>
            <w:pPr>
              <w:pStyle w:val="Compact"/>
            </w:pPr>
            <w:r>
              <w:t xml:space="preserve">Bốn GARCH, diagnostics và báo cáo</w:t>
            </w:r>
          </w:p>
        </w:tc>
        <w:tc>
          <w:tcPr/>
          <w:p>
            <w:pPr>
              <w:pStyle w:val="Compact"/>
            </w:pPr>
            <w:r>
              <w:t xml:space="preserve">Chưa có volatility backtest ngoài mẫu; GOF còn bị bác bỏ</w:t>
            </w:r>
          </w:p>
        </w:tc>
        <w:tc>
          <w:tcPr/>
          <w:p>
            <w:pPr>
              <w:pStyle w:val="Compact"/>
            </w:pPr>
            <w:r>
              <w:t xml:space="preserve">Hoàn thành</w:t>
            </w:r>
          </w:p>
        </w:tc>
      </w:tr>
    </w:tbl>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vi"/>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30" Target="media/rId30.png" /><Relationship Type="http://schemas.openxmlformats.org/officeDocument/2006/relationships/image" Id="rId74" Target="media/rId74.png" /><Relationship Type="http://schemas.openxmlformats.org/officeDocument/2006/relationships/image" Id="rId41" Target="media/rId41.png" /><Relationship Type="http://schemas.openxmlformats.org/officeDocument/2006/relationships/image" Id="rId27" Target="media/rId27.png" /><Relationship Type="http://schemas.openxmlformats.org/officeDocument/2006/relationships/image" Id="rId58" Target="media/rId58.png" /><Relationship Type="http://schemas.openxmlformats.org/officeDocument/2006/relationships/image" Id="rId55" Target="media/rId55.png" /><Relationship Type="http://schemas.openxmlformats.org/officeDocument/2006/relationships/image" Id="rId37" Target="media/rId37.png" /><Relationship Type="http://schemas.openxmlformats.org/officeDocument/2006/relationships/image" Id="rId71" Target="media/rId71.png" /><Relationship Type="http://schemas.openxmlformats.org/officeDocument/2006/relationships/image" Id="rId34" Target="media/rId34.png" /><Relationship Type="http://schemas.openxmlformats.org/officeDocument/2006/relationships/image" Id="rId44" Target="media/rId44.png" /><Relationship Type="http://schemas.openxmlformats.org/officeDocument/2006/relationships/image" Id="rId68" Target="media/rId68.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Dự báo giá và phân tích biến động cổ phiếu FPT bằng mô hình chuỗi thời gian</dc:title>
  <dc:creator>Trần Thiên Lực - 24133037; Nguyễn Đức Học - 24162039; Lê Đặng Hoàng Anh - 24162006</dc:creator>
  <dc:language>vi</dc:language>
  <cp:keywords/>
  <dcterms:created xsi:type="dcterms:W3CDTF">2026-06-22T15:33:14Z</dcterms:created>
  <dcterms:modified xsi:type="dcterms:W3CDTF">2026-06-22T15:33:14Z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22/06/2026</vt:lpwstr>
  </property>
  <property fmtid="{D5CDD505-2E9C-101B-9397-08002B2CF9AE}" pid="3" name="output">
    <vt:lpwstr/>
  </property>
  <property fmtid="{D5CDD505-2E9C-101B-9397-08002B2CF9AE}" pid="4" name="subtitle">
    <vt:lpwstr>Môn: Lập trình R cho phân tích - Nhóm 06 | Giảng viên: TS. Phan Thị Thể</vt:lpwstr>
  </property>
</Properties>
</file>