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13794">
      <w:pPr>
        <w:jc w:val="center"/>
      </w:pPr>
      <w:bookmarkStart w:id="0" w:name="_GoBack"/>
      <w:bookmarkEnd w:id="0"/>
      <w:r>
        <w:rPr>
          <w:b/>
          <w:sz w:val="32"/>
        </w:rPr>
        <w:t>ĐỀ TÀI</w:t>
      </w:r>
      <w:r>
        <w:rPr>
          <w:b/>
          <w:sz w:val="32"/>
        </w:rPr>
        <w:br w:type="textWrapping"/>
      </w:r>
      <w:r>
        <w:rPr>
          <w:b/>
          <w:sz w:val="32"/>
        </w:rPr>
        <w:t>ỨNG DỤNG BLOCKCHAIN TRONG QUẢN LÝ QUYỀN SỞ HỮU VÀ GIAO DỊCH BẤT ĐỘNG SẢN</w:t>
      </w:r>
    </w:p>
    <w:p w14:paraId="02ADE8E9">
      <w:pPr>
        <w:jc w:val="center"/>
      </w:pPr>
      <w:r>
        <w:rPr>
          <w:b/>
          <w:sz w:val="28"/>
        </w:rPr>
        <w:t>TV6 – XÁC ĐỊNH ĐỐI TƯỢNG THAM GIA HỆ THỐNG VÀ QUYỀN TỪNG ĐỐI TƯỢNG</w:t>
      </w:r>
    </w:p>
    <w:p w14:paraId="64CCD256">
      <w:pPr>
        <w:pStyle w:val="2"/>
        <w:rPr>
          <w:color w:val="000000" w:themeColor="text1"/>
          <w14:textFill>
            <w14:solidFill>
              <w14:schemeClr w14:val="tx1"/>
            </w14:solidFill>
          </w14:textFill>
        </w:rPr>
      </w:pPr>
      <w:r>
        <w:rPr>
          <w:color w:val="000000" w:themeColor="text1"/>
          <w14:textFill>
            <w14:solidFill>
              <w14:schemeClr w14:val="tx1"/>
            </w14:solidFill>
          </w14:textFill>
        </w:rPr>
        <w:t>1. Xác định các đối tượng tham gia hệ thống</w:t>
      </w:r>
    </w:p>
    <w:p w14:paraId="20AE2715">
      <w:r>
        <w:t>Trong hệ thống quản lý quyền sở hữu và giao dịch bất động sản ứng dụng Blockchain, có 5 đối tượng chính tham gia vào quá trình quản lý, xác minh và giao dịch. Mỗi đối tượng có vai trò và phạm vi chức năng riêng nhằm đảm bảo quá trình giao dịch được thực hiện đúng quy trình.</w:t>
      </w:r>
    </w:p>
    <w:p w14:paraId="541E0215">
      <w:pPr>
        <w:pStyle w:val="2"/>
        <w:rPr>
          <w:color w:val="000000" w:themeColor="text1"/>
          <w14:textFill>
            <w14:solidFill>
              <w14:schemeClr w14:val="tx1"/>
            </w14:solidFill>
          </w14:textFill>
        </w:rPr>
      </w:pPr>
      <w:r>
        <w:rPr>
          <w:color w:val="000000" w:themeColor="text1"/>
          <w14:textFill>
            <w14:solidFill>
              <w14:schemeClr w14:val="tx1"/>
            </w14:solidFill>
          </w14:textFill>
        </w:rPr>
        <w:t>2. Bảng Actor và chức năng của từng Actor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4665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1E42B4FA">
            <w:pPr>
              <w:spacing w:after="0" w:line="240" w:lineRule="auto"/>
            </w:pPr>
            <w:r>
              <w:t>Actor</w:t>
            </w:r>
          </w:p>
        </w:tc>
        <w:tc>
          <w:tcPr>
            <w:tcW w:w="3230" w:type="dxa"/>
          </w:tcPr>
          <w:p w14:paraId="00258A08">
            <w:pPr>
              <w:spacing w:after="0" w:line="240" w:lineRule="auto"/>
            </w:pPr>
            <w:r>
              <w:t>Vai trò</w:t>
            </w:r>
          </w:p>
        </w:tc>
        <w:tc>
          <w:tcPr>
            <w:tcW w:w="3230" w:type="dxa"/>
          </w:tcPr>
          <w:p w14:paraId="3B2CF2A7">
            <w:pPr>
              <w:spacing w:after="0" w:line="240" w:lineRule="auto"/>
            </w:pPr>
            <w:r>
              <w:t>Chức năng / Quyền thao tác</w:t>
            </w:r>
          </w:p>
        </w:tc>
      </w:tr>
      <w:tr w14:paraId="4235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4ABA95EA">
            <w:pPr>
              <w:spacing w:after="0" w:line="240" w:lineRule="auto"/>
            </w:pPr>
            <w:r>
              <w:t>Người bán</w:t>
            </w:r>
          </w:p>
        </w:tc>
        <w:tc>
          <w:tcPr>
            <w:tcW w:w="3230" w:type="dxa"/>
          </w:tcPr>
          <w:p w14:paraId="731601E1">
            <w:pPr>
              <w:spacing w:after="0" w:line="240" w:lineRule="auto"/>
            </w:pPr>
            <w:r>
              <w:t>Chủ sở hữu hoặc người có quyền bán bất động sản.</w:t>
            </w:r>
          </w:p>
        </w:tc>
        <w:tc>
          <w:tcPr>
            <w:tcW w:w="3230" w:type="dxa"/>
          </w:tcPr>
          <w:p w14:paraId="2E5306B5">
            <w:pPr>
              <w:spacing w:after="0" w:line="240" w:lineRule="auto"/>
            </w:pPr>
            <w:r>
              <w:t>Đăng thông tin bất động sản; cung cấp thông tin vị trí, diện tích, giá và thông tin pháp lý; cập nhật thông tin bất động sản; đưa bất động sản ra bán; xác nhận giao dịch theo quy trình.</w:t>
            </w:r>
          </w:p>
        </w:tc>
      </w:tr>
      <w:tr w14:paraId="7B30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81533BF">
            <w:pPr>
              <w:spacing w:after="0" w:line="240" w:lineRule="auto"/>
            </w:pPr>
            <w:r>
              <w:t>Người mua</w:t>
            </w:r>
          </w:p>
        </w:tc>
        <w:tc>
          <w:tcPr>
            <w:tcW w:w="3230" w:type="dxa"/>
          </w:tcPr>
          <w:p w14:paraId="306ECFAC">
            <w:pPr>
              <w:spacing w:after="0" w:line="240" w:lineRule="auto"/>
            </w:pPr>
            <w:r>
              <w:t>Người có nhu cầu mua và nhận chuyển nhượng bất động sản.</w:t>
            </w:r>
          </w:p>
        </w:tc>
        <w:tc>
          <w:tcPr>
            <w:tcW w:w="3230" w:type="dxa"/>
          </w:tcPr>
          <w:p w14:paraId="2621D68C">
            <w:pPr>
              <w:spacing w:after="0" w:line="240" w:lineRule="auto"/>
            </w:pPr>
            <w:r>
              <w:t>Xem danh sách và thông tin bất động sản; kiểm tra trạng thái bất động sản; đăng ký mua; cung cấp thông tin cần thiết; thực hiện thanh toán theo quy trình; nhận quyền sở hữu khi giao dịch hoàn tất.</w:t>
            </w:r>
          </w:p>
        </w:tc>
      </w:tr>
      <w:tr w14:paraId="6074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F288958">
            <w:pPr>
              <w:spacing w:after="0" w:line="240" w:lineRule="auto"/>
            </w:pPr>
            <w:r>
              <w:t>Cơ quan quản lý</w:t>
            </w:r>
          </w:p>
        </w:tc>
        <w:tc>
          <w:tcPr>
            <w:tcW w:w="3230" w:type="dxa"/>
          </w:tcPr>
          <w:p w14:paraId="2129ACF1">
            <w:pPr>
              <w:spacing w:after="0" w:line="240" w:lineRule="auto"/>
            </w:pPr>
            <w:r>
              <w:t>Cơ quan có thẩm quyền quản lý và xác minh thông tin pháp lý của bất động sản.</w:t>
            </w:r>
          </w:p>
        </w:tc>
        <w:tc>
          <w:tcPr>
            <w:tcW w:w="3230" w:type="dxa"/>
          </w:tcPr>
          <w:p w14:paraId="56DC6753">
            <w:pPr>
              <w:spacing w:after="0" w:line="240" w:lineRule="auto"/>
            </w:pPr>
            <w:r>
              <w:t>Xác minh thông tin bất động sản; xác minh quyền sở hữu; kiểm tra tình trạng pháp lý; xác nhận thông tin thuộc thẩm quyền; hỗ trợ kiểm tra khi có yêu cầu.</w:t>
            </w:r>
          </w:p>
        </w:tc>
      </w:tr>
      <w:tr w14:paraId="75DB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B6F61FD">
            <w:pPr>
              <w:spacing w:after="0" w:line="240" w:lineRule="auto"/>
            </w:pPr>
            <w:r>
              <w:t>Công chứng</w:t>
            </w:r>
          </w:p>
        </w:tc>
        <w:tc>
          <w:tcPr>
            <w:tcW w:w="3230" w:type="dxa"/>
          </w:tcPr>
          <w:p w14:paraId="7B0F2BE8">
            <w:pPr>
              <w:spacing w:after="0" w:line="240" w:lineRule="auto"/>
            </w:pPr>
            <w:r>
              <w:t>Đối tượng tham gia kiểm tra và xác nhận hồ sơ, hợp đồng giao dịch.</w:t>
            </w:r>
          </w:p>
        </w:tc>
        <w:tc>
          <w:tcPr>
            <w:tcW w:w="3230" w:type="dxa"/>
          </w:tcPr>
          <w:p w14:paraId="10144D02">
            <w:pPr>
              <w:spacing w:after="0" w:line="240" w:lineRule="auto"/>
            </w:pPr>
            <w:r>
              <w:t>Kiểm tra hồ sơ; kiểm tra thông tin các bên; xác nhận hợp đồng theo quy định; cập nhật hoặc xác nhận trạng thái hồ sơ công chứng.</w:t>
            </w:r>
          </w:p>
        </w:tc>
      </w:tr>
      <w:tr w14:paraId="5EED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E4BFDE7">
            <w:pPr>
              <w:spacing w:after="0" w:line="240" w:lineRule="auto"/>
            </w:pPr>
            <w:r>
              <w:t>Ngân hàng</w:t>
            </w:r>
          </w:p>
        </w:tc>
        <w:tc>
          <w:tcPr>
            <w:tcW w:w="3230" w:type="dxa"/>
          </w:tcPr>
          <w:p w14:paraId="74587A3B">
            <w:pPr>
              <w:spacing w:after="0" w:line="240" w:lineRule="auto"/>
            </w:pPr>
            <w:r>
              <w:t>Đối tượng hỗ trợ giao dịch tài chính giữa các bên.</w:t>
            </w:r>
          </w:p>
        </w:tc>
        <w:tc>
          <w:tcPr>
            <w:tcW w:w="3230" w:type="dxa"/>
          </w:tcPr>
          <w:p w14:paraId="01561842">
            <w:pPr>
              <w:spacing w:after="0" w:line="240" w:lineRule="auto"/>
            </w:pPr>
            <w:r>
              <w:t>Hỗ trợ thanh toán; xác nhận trạng thái thanh toán; cung cấp thông tin xác nhận giao dịch tài chính; hỗ trợ đối soát giao dịch.</w:t>
            </w:r>
          </w:p>
        </w:tc>
      </w:tr>
    </w:tbl>
    <w:p w14:paraId="4F087E17">
      <w:pPr>
        <w:pStyle w:val="2"/>
        <w:rPr>
          <w:color w:val="000000" w:themeColor="text1"/>
          <w14:textFill>
            <w14:solidFill>
              <w14:schemeClr w14:val="tx1"/>
            </w14:solidFill>
          </w14:textFill>
        </w:rPr>
      </w:pPr>
      <w:r>
        <w:rPr>
          <w:color w:val="000000" w:themeColor="text1"/>
          <w14:textFill>
            <w14:solidFill>
              <w14:schemeClr w14:val="tx1"/>
            </w14:solidFill>
          </w14:textFill>
        </w:rPr>
        <w:t>3. Phân tích nghiệp vụ theo Actor</w:t>
      </w:r>
    </w:p>
    <w:p w14:paraId="6287B340">
      <w:pPr>
        <w:rPr>
          <w:lang w:val="vi-VN"/>
        </w:rPr>
      </w:pPr>
      <w:r>
        <w:t>Các Actor phối hợp với nhau theo quy trình nghiệp vụ của giao dịch bất động sản. Người bán là đối tượng bắt đầu bằng việc cung cấp và đăng thông tin bất động sản. Cơ quan quản lý thực hiện các hoạt động xác minh thuộc thẩm quyền, trong khi công chứng tham gia xác nhận hồ sơ và hợp đồng. Người mua tìm kiếm, kiểm tra thông tin và thực hiện việc mua bất động sản. Ngân hàng hỗ trợ quá trình thanh toán và xác nhận giao dịch tài chính. Sau khi các điều kiện của giao dịch được đáp ứng, hệ thống có thể ghi nhận giao dịch và lịch sử sở hữu trên Blockchain.</w:t>
      </w: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37F5"/>
    <w:rsid w:val="00326F90"/>
    <w:rsid w:val="00AA1D8D"/>
    <w:rsid w:val="00AE0B76"/>
    <w:rsid w:val="00B47730"/>
    <w:rsid w:val="00CB0664"/>
    <w:rsid w:val="00D93D45"/>
    <w:rsid w:val="00FC693F"/>
    <w:rsid w:val="37A623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342</Words>
  <Characters>1953</Characters>
  <Lines>16</Lines>
  <Paragraphs>4</Paragraphs>
  <TotalTime>1</TotalTime>
  <ScaleCrop>false</ScaleCrop>
  <LinksUpToDate>false</LinksUpToDate>
  <CharactersWithSpaces>2291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Tuấn Hoàng</cp:lastModifiedBy>
  <dcterms:modified xsi:type="dcterms:W3CDTF">2026-09-25T14:56:08Z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93CA567BB01B402A8433AFF6C7E444D8_13</vt:lpwstr>
  </property>
</Properties>
</file>