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01A5A" w14:textId="21C69B4C"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方正小标宋简体" w:eastAsia="方正小标宋简体" w:hAnsi="Calibri" w:cs="Calibri" w:hint="eastAsia"/>
          <w:color w:val="444444"/>
          <w:kern w:val="0"/>
          <w:sz w:val="36"/>
          <w:szCs w:val="36"/>
          <w:shd w:val="clear" w:color="auto" w:fill="FFFFFF"/>
        </w:rPr>
        <w:t>上海市市级机关培训费管理办法</w:t>
      </w:r>
    </w:p>
    <w:p w14:paraId="53FFCD54" w14:textId="77777777" w:rsidR="00637F4E" w:rsidRPr="00637F4E" w:rsidRDefault="00637F4E" w:rsidP="00637F4E">
      <w:pPr>
        <w:widowControl/>
        <w:shd w:val="clear" w:color="auto" w:fill="F4F6FB"/>
        <w:jc w:val="center"/>
        <w:rPr>
          <w:rFonts w:ascii="Calibri" w:eastAsia="宋体" w:hAnsi="Calibri" w:cs="Calibri"/>
          <w:color w:val="444444"/>
          <w:kern w:val="0"/>
          <w:szCs w:val="21"/>
        </w:rPr>
      </w:pPr>
      <w:proofErr w:type="gramStart"/>
      <w:r w:rsidRPr="00637F4E">
        <w:rPr>
          <w:rFonts w:ascii="楷体_GB2312" w:eastAsia="楷体_GB2312" w:hAnsi="Calibri" w:cs="Calibri" w:hint="eastAsia"/>
          <w:color w:val="333333"/>
          <w:kern w:val="0"/>
          <w:sz w:val="28"/>
          <w:szCs w:val="28"/>
          <w:shd w:val="clear" w:color="auto" w:fill="FFFFFF"/>
        </w:rPr>
        <w:t>沪财行</w:t>
      </w:r>
      <w:proofErr w:type="gramEnd"/>
      <w:r w:rsidRPr="00637F4E">
        <w:rPr>
          <w:rFonts w:ascii="楷体_GB2312" w:eastAsia="楷体_GB2312" w:hAnsi="Calibri" w:cs="Calibri" w:hint="eastAsia"/>
          <w:color w:val="333333"/>
          <w:kern w:val="0"/>
          <w:sz w:val="28"/>
          <w:szCs w:val="28"/>
          <w:shd w:val="clear" w:color="auto" w:fill="FFFFFF"/>
        </w:rPr>
        <w:t>〔2017〕45号</w:t>
      </w:r>
    </w:p>
    <w:p w14:paraId="1774F92B"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第一章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总</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则</w:t>
      </w:r>
    </w:p>
    <w:p w14:paraId="7D879E70"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第一条</w:t>
      </w:r>
      <w:r w:rsidRPr="00637F4E">
        <w:rPr>
          <w:rFonts w:ascii="Calibri" w:eastAsia="黑体"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为进一步规范市级机关培训工作，保证培训工作需要，加强培训费管理，节约培训费开支，按照《中央和国家机关培训费管理办法》和其他有关法律法规，结合本市实际，制定本办法。</w:t>
      </w:r>
    </w:p>
    <w:p w14:paraId="56D63B40"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本办法所称培训，是指市级机关及其所属机构根据《中华人民共和国公务员法》、《干部教育培训工作条例》、《公务员培训规定（试行）》，使用财政资金在境内举办的三个月以内的各类培训。</w:t>
      </w:r>
    </w:p>
    <w:p w14:paraId="73ABFD29"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第三条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本办法所称市级机关，是指市级党的机关、人大机关、行政机关、政协机关、审判机关、检察机关，各人民团体、各民主党派市委和市工商联（以下简称“各单位”）。</w:t>
      </w:r>
    </w:p>
    <w:p w14:paraId="281BF1DA"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第四条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各单位举办培训应当坚持厉行节约、反对浪费的原则，实行单位内部统一管理，增强培训计划的科学性和严肃性，增强培训项目的针对性和实效性，保证培训质量，节约培训资源，提高培训经费使用效益。</w:t>
      </w:r>
    </w:p>
    <w:p w14:paraId="5319F7A9"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计划和备案管理</w:t>
      </w:r>
    </w:p>
    <w:p w14:paraId="263EE277"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第五条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建立培训计划编报和审批制度。各单位培训主管部门制订的本单位年度培训计划（包括培训名称、目的、对象、内容、时间、地点、参训人数、所需经费及列支渠道等），经单位财务部门审核后，报单位领导办公会议或党组（党委）会议批准后施行。</w:t>
      </w:r>
    </w:p>
    <w:p w14:paraId="5582C16D"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lastRenderedPageBreak/>
        <w:t>第六条</w:t>
      </w:r>
      <w:r w:rsidRPr="00637F4E">
        <w:rPr>
          <w:rFonts w:ascii="Calibri" w:eastAsia="黑体"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年度培训计划一经批准，原则上不得调整。因工作需要确需临时增加培训项目的，报单位主要负责同志审批。</w:t>
      </w:r>
    </w:p>
    <w:p w14:paraId="14435668"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第七条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各单位年度培训计划于每年3月31日前同时报市委组织部、市公务员局、市财政局备案。</w:t>
      </w:r>
    </w:p>
    <w:p w14:paraId="76568528"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第三章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开支范围和标准</w:t>
      </w:r>
    </w:p>
    <w:p w14:paraId="703F4444"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第八条</w:t>
      </w:r>
      <w:r w:rsidRPr="00637F4E">
        <w:rPr>
          <w:rFonts w:ascii="Calibri" w:eastAsia="黑体"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本办法所称培训费，是指各单位开展培训直接发生的各项费用支出，包括师资费、住宿费、伙食费、培训场地费、培训资料费、交通费以及其他费用。</w:t>
      </w:r>
    </w:p>
    <w:p w14:paraId="462AE4E8"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（一）师资费是指聘请师资授课发生的费用，包括授课老师讲课费、住宿费、伙食费、城市间交通费。</w:t>
      </w:r>
    </w:p>
    <w:p w14:paraId="769C6A06"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（二）住宿费是指参训人员及工作人员培训期间发生的租住房间的费用。</w:t>
      </w:r>
    </w:p>
    <w:p w14:paraId="699C6EE6"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（三）伙食费是指参训人员及工作人员培训期间发生的用餐费用。</w:t>
      </w:r>
    </w:p>
    <w:p w14:paraId="31575E2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（四）培训场地费是指用于培训的会议室或教室租金。</w:t>
      </w:r>
    </w:p>
    <w:p w14:paraId="7FC4980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（五）培训资料费是</w:t>
      </w:r>
      <w:proofErr w:type="gramStart"/>
      <w:r w:rsidRPr="00637F4E">
        <w:rPr>
          <w:rFonts w:ascii="仿宋" w:eastAsia="仿宋" w:hAnsi="仿宋" w:cs="Calibri" w:hint="eastAsia"/>
          <w:color w:val="444444"/>
          <w:kern w:val="0"/>
          <w:sz w:val="28"/>
          <w:szCs w:val="28"/>
          <w:shd w:val="clear" w:color="auto" w:fill="FFFFFF"/>
        </w:rPr>
        <w:t>指培训</w:t>
      </w:r>
      <w:proofErr w:type="gramEnd"/>
      <w:r w:rsidRPr="00637F4E">
        <w:rPr>
          <w:rFonts w:ascii="仿宋" w:eastAsia="仿宋" w:hAnsi="仿宋" w:cs="Calibri" w:hint="eastAsia"/>
          <w:color w:val="444444"/>
          <w:kern w:val="0"/>
          <w:sz w:val="28"/>
          <w:szCs w:val="28"/>
          <w:shd w:val="clear" w:color="auto" w:fill="FFFFFF"/>
        </w:rPr>
        <w:t>期间必要的资料及办公用品费。</w:t>
      </w:r>
    </w:p>
    <w:p w14:paraId="3409EAF0"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（六）交通费是指用于培训所需的人员接送以及与培训有关的考察、调研等发生的交通支出。</w:t>
      </w:r>
    </w:p>
    <w:p w14:paraId="7B86C649"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（七）其他费用是指现场教学费、设备租赁费、文体活动费、医药费等与培训有关的其他支出。</w:t>
      </w:r>
    </w:p>
    <w:p w14:paraId="7C71DB32"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参训人员参加培训往返及异地教学发生的城市间交通费，按照上海市市级机关差旅费有关规定回单位报销。</w:t>
      </w:r>
    </w:p>
    <w:p w14:paraId="36F316F5"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lastRenderedPageBreak/>
        <w:t>第九条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除师资费外，培训费实行分类综合定额标准，分项核定、总额控制，各项费用涉及下表中两项及两项以上开支内容的，可在所涉及的相关经费标准合计金额内统筹使用。标准如下：</w:t>
      </w:r>
    </w:p>
    <w:tbl>
      <w:tblPr>
        <w:tblW w:w="11147" w:type="dxa"/>
        <w:tblCellSpacing w:w="15" w:type="dxa"/>
        <w:tblCellMar>
          <w:left w:w="0" w:type="dxa"/>
          <w:right w:w="0" w:type="dxa"/>
        </w:tblCellMar>
        <w:tblLook w:val="04A0" w:firstRow="1" w:lastRow="0" w:firstColumn="1" w:lastColumn="0" w:noHBand="0" w:noVBand="1"/>
      </w:tblPr>
      <w:tblGrid>
        <w:gridCol w:w="1686"/>
        <w:gridCol w:w="1342"/>
        <w:gridCol w:w="1342"/>
        <w:gridCol w:w="3420"/>
        <w:gridCol w:w="1671"/>
        <w:gridCol w:w="1686"/>
      </w:tblGrid>
      <w:tr w:rsidR="00637F4E" w:rsidRPr="00637F4E" w14:paraId="5DE2438D" w14:textId="77777777" w:rsidTr="00637F4E">
        <w:trPr>
          <w:tblCellSpacing w:w="15" w:type="dxa"/>
        </w:trPr>
        <w:tc>
          <w:tcPr>
            <w:tcW w:w="5000" w:type="pct"/>
            <w:gridSpan w:val="6"/>
            <w:tcBorders>
              <w:top w:val="nil"/>
              <w:left w:val="nil"/>
              <w:bottom w:val="single" w:sz="8" w:space="0" w:color="auto"/>
              <w:right w:val="nil"/>
            </w:tcBorders>
            <w:tcMar>
              <w:top w:w="0" w:type="dxa"/>
              <w:left w:w="108" w:type="dxa"/>
              <w:bottom w:w="0" w:type="dxa"/>
              <w:right w:w="108" w:type="dxa"/>
            </w:tcMar>
            <w:vAlign w:val="center"/>
            <w:hideMark/>
          </w:tcPr>
          <w:p w14:paraId="26C49058" w14:textId="77777777" w:rsidR="00637F4E" w:rsidRPr="00637F4E" w:rsidRDefault="00637F4E" w:rsidP="00637F4E">
            <w:pPr>
              <w:widowControl/>
              <w:spacing w:line="600" w:lineRule="atLeast"/>
              <w:ind w:firstLine="560"/>
              <w:jc w:val="right"/>
              <w:rPr>
                <w:rFonts w:ascii="Calibri" w:eastAsia="宋体" w:hAnsi="Calibri" w:cs="Calibri"/>
                <w:kern w:val="0"/>
                <w:sz w:val="24"/>
                <w:szCs w:val="24"/>
              </w:rPr>
            </w:pPr>
            <w:r w:rsidRPr="00637F4E">
              <w:rPr>
                <w:rFonts w:ascii="仿宋" w:eastAsia="仿宋" w:hAnsi="仿宋" w:cs="Calibri" w:hint="eastAsia"/>
                <w:kern w:val="0"/>
                <w:sz w:val="28"/>
                <w:szCs w:val="28"/>
                <w:shd w:val="clear" w:color="auto" w:fill="FFFFFF"/>
              </w:rPr>
              <w:t>单位：元/人天</w:t>
            </w:r>
          </w:p>
        </w:tc>
      </w:tr>
      <w:tr w:rsidR="00637F4E" w:rsidRPr="00637F4E" w14:paraId="6088CE39" w14:textId="77777777" w:rsidTr="00637F4E">
        <w:trPr>
          <w:tblCellSpacing w:w="15" w:type="dxa"/>
        </w:trPr>
        <w:tc>
          <w:tcPr>
            <w:tcW w:w="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467248"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培训类别</w:t>
            </w:r>
          </w:p>
        </w:tc>
        <w:tc>
          <w:tcPr>
            <w:tcW w:w="6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59B09E0"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住宿费</w:t>
            </w:r>
          </w:p>
        </w:tc>
        <w:tc>
          <w:tcPr>
            <w:tcW w:w="6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D6A86B"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伙食费</w:t>
            </w:r>
          </w:p>
        </w:tc>
        <w:tc>
          <w:tcPr>
            <w:tcW w:w="15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080D1A"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场地、资料、交通费</w:t>
            </w:r>
          </w:p>
        </w:tc>
        <w:tc>
          <w:tcPr>
            <w:tcW w:w="7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CEB7E6E"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其他费用</w:t>
            </w:r>
          </w:p>
        </w:tc>
        <w:tc>
          <w:tcPr>
            <w:tcW w:w="5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15E0F97"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合计</w:t>
            </w:r>
          </w:p>
        </w:tc>
      </w:tr>
      <w:tr w:rsidR="00637F4E" w:rsidRPr="00637F4E" w14:paraId="426EBEAC" w14:textId="77777777" w:rsidTr="00637F4E">
        <w:trPr>
          <w:tblCellSpacing w:w="15" w:type="dxa"/>
        </w:trPr>
        <w:tc>
          <w:tcPr>
            <w:tcW w:w="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B5C4DA6"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一类培训</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1BDD8E"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500</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B0F5AFE"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150</w:t>
            </w:r>
          </w:p>
        </w:tc>
        <w:tc>
          <w:tcPr>
            <w:tcW w:w="1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2283E9"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80</w:t>
            </w: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2B5FFB"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30</w:t>
            </w:r>
          </w:p>
        </w:tc>
        <w:tc>
          <w:tcPr>
            <w:tcW w:w="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0DEDF6"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760</w:t>
            </w:r>
          </w:p>
        </w:tc>
      </w:tr>
      <w:tr w:rsidR="00637F4E" w:rsidRPr="00637F4E" w14:paraId="7A738CBE" w14:textId="77777777" w:rsidTr="00637F4E">
        <w:trPr>
          <w:tblCellSpacing w:w="15" w:type="dxa"/>
        </w:trPr>
        <w:tc>
          <w:tcPr>
            <w:tcW w:w="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95B130"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二类培训</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BB5D12"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400</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EE6530"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150</w:t>
            </w:r>
          </w:p>
        </w:tc>
        <w:tc>
          <w:tcPr>
            <w:tcW w:w="1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ACC09E"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70</w:t>
            </w: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6679F8"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30</w:t>
            </w:r>
          </w:p>
        </w:tc>
        <w:tc>
          <w:tcPr>
            <w:tcW w:w="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61C948"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650</w:t>
            </w:r>
          </w:p>
        </w:tc>
      </w:tr>
      <w:tr w:rsidR="00637F4E" w:rsidRPr="00637F4E" w14:paraId="19AAC01D" w14:textId="77777777" w:rsidTr="00637F4E">
        <w:trPr>
          <w:tblCellSpacing w:w="15" w:type="dxa"/>
        </w:trPr>
        <w:tc>
          <w:tcPr>
            <w:tcW w:w="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DEB6111"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三类培训</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F78F63"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340</w:t>
            </w:r>
          </w:p>
        </w:tc>
        <w:tc>
          <w:tcPr>
            <w:tcW w:w="60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448401"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130</w:t>
            </w:r>
          </w:p>
        </w:tc>
        <w:tc>
          <w:tcPr>
            <w:tcW w:w="1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891FA9"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50</w:t>
            </w:r>
          </w:p>
        </w:tc>
        <w:tc>
          <w:tcPr>
            <w:tcW w:w="7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9075A1"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30</w:t>
            </w:r>
          </w:p>
        </w:tc>
        <w:tc>
          <w:tcPr>
            <w:tcW w:w="55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FD7628" w14:textId="77777777" w:rsidR="00637F4E" w:rsidRPr="00637F4E" w:rsidRDefault="00637F4E" w:rsidP="00637F4E">
            <w:pPr>
              <w:widowControl/>
              <w:spacing w:line="600" w:lineRule="atLeast"/>
              <w:jc w:val="center"/>
              <w:rPr>
                <w:rFonts w:ascii="Calibri" w:eastAsia="宋体" w:hAnsi="Calibri" w:cs="Calibri"/>
                <w:kern w:val="0"/>
                <w:szCs w:val="21"/>
              </w:rPr>
            </w:pPr>
            <w:r w:rsidRPr="00637F4E">
              <w:rPr>
                <w:rFonts w:ascii="仿宋" w:eastAsia="仿宋" w:hAnsi="仿宋" w:cs="Calibri" w:hint="eastAsia"/>
                <w:kern w:val="0"/>
                <w:sz w:val="28"/>
                <w:szCs w:val="28"/>
              </w:rPr>
              <w:t>550</w:t>
            </w:r>
          </w:p>
        </w:tc>
      </w:tr>
    </w:tbl>
    <w:p w14:paraId="4698DB5F"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一类培训是指参训人员主要为省部级及相应人员的培训项目。</w:t>
      </w:r>
    </w:p>
    <w:p w14:paraId="7124A63F"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二类培训是指参训人员主要为司局级人员的培训项目。</w:t>
      </w:r>
    </w:p>
    <w:p w14:paraId="260ABDD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三类培训是指参训人员主要为处级及以下人员的培训项目。</w:t>
      </w:r>
    </w:p>
    <w:p w14:paraId="0520C96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综合定额标准是相关费用开支的上限，各单位应在综合定额标准以内结算报销。</w:t>
      </w:r>
    </w:p>
    <w:p w14:paraId="55DA4888"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30天以内的培训按照综合定额标准控制；超过30天的培训，超过天数按照综合定额标准的70%控制。上述天数含报到撤离时间，报到和撤离时间分别不得超过1天。</w:t>
      </w:r>
    </w:p>
    <w:p w14:paraId="321D6F63"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师资费在综合定额标准外单独核算。</w:t>
      </w:r>
    </w:p>
    <w:p w14:paraId="2E46E49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（一）讲课费（税后）执行以下标准：副高级技术职称专业人员每学时最高不超过500元，正高级技术职称专业人员每学时最高不超过1000元，院士、全国知名专家每学时一般不超过1500元。</w:t>
      </w:r>
    </w:p>
    <w:p w14:paraId="70BCFEA0"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讲课</w:t>
      </w:r>
      <w:proofErr w:type="gramStart"/>
      <w:r w:rsidRPr="00637F4E">
        <w:rPr>
          <w:rFonts w:ascii="仿宋" w:eastAsia="仿宋" w:hAnsi="仿宋" w:cs="Calibri" w:hint="eastAsia"/>
          <w:color w:val="444444"/>
          <w:kern w:val="0"/>
          <w:sz w:val="28"/>
          <w:szCs w:val="28"/>
          <w:shd w:val="clear" w:color="auto" w:fill="FFFFFF"/>
        </w:rPr>
        <w:t>费按照</w:t>
      </w:r>
      <w:proofErr w:type="gramEnd"/>
      <w:r w:rsidRPr="00637F4E">
        <w:rPr>
          <w:rFonts w:ascii="仿宋" w:eastAsia="仿宋" w:hAnsi="仿宋" w:cs="Calibri" w:hint="eastAsia"/>
          <w:color w:val="444444"/>
          <w:kern w:val="0"/>
          <w:sz w:val="28"/>
          <w:szCs w:val="28"/>
          <w:shd w:val="clear" w:color="auto" w:fill="FFFFFF"/>
        </w:rPr>
        <w:t>实际发生的学时计算，每半天最多按4学时计算。</w:t>
      </w:r>
    </w:p>
    <w:p w14:paraId="1D8124AE"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其他人员讲课费参照上述标准执行。</w:t>
      </w:r>
    </w:p>
    <w:p w14:paraId="7E68F80E"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lastRenderedPageBreak/>
        <w:t>同时为多班次一并授课的，不重复计算讲课费。</w:t>
      </w:r>
    </w:p>
    <w:p w14:paraId="1C0130E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（二）授课老师的城市间交通费按照上海市市级机关差旅费有关规定和标准执行，住宿费、伙食费按照本办法标准执行，原则上由培训举办单位承担。</w:t>
      </w:r>
    </w:p>
    <w:p w14:paraId="74BE5659"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（三）培训工作确有需要从异地（含境外）邀请授课老师，路途时间较长的，经单位主要负责同志书面批准，讲课费可以适当增加。</w:t>
      </w:r>
    </w:p>
    <w:p w14:paraId="45039043"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第四章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培训组织</w:t>
      </w:r>
    </w:p>
    <w:p w14:paraId="34C244F7"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第十一条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培训实行市和区分级管理，各单位举办培训，原则上不得下延至街道、乡镇及以下。</w:t>
      </w:r>
    </w:p>
    <w:p w14:paraId="1BDC7D6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第十二条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各单位开展培训，应当在开支范围和标准内，优先选择党校、行政学院、干部学院以及组织人事部门认可的其他培训机构承办。</w:t>
      </w:r>
    </w:p>
    <w:p w14:paraId="74C4227F"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第十三条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组织培训的工作人员控制在参训人员数量的10%以内，最多不超过10人。</w:t>
      </w:r>
    </w:p>
    <w:p w14:paraId="236C5DE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第十四条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严禁</w:t>
      </w:r>
      <w:proofErr w:type="gramStart"/>
      <w:r w:rsidRPr="00637F4E">
        <w:rPr>
          <w:rFonts w:ascii="仿宋" w:eastAsia="仿宋" w:hAnsi="仿宋" w:cs="Calibri" w:hint="eastAsia"/>
          <w:color w:val="444444"/>
          <w:kern w:val="0"/>
          <w:sz w:val="28"/>
          <w:szCs w:val="28"/>
          <w:shd w:val="clear" w:color="auto" w:fill="FFFFFF"/>
        </w:rPr>
        <w:t>借培训</w:t>
      </w:r>
      <w:proofErr w:type="gramEnd"/>
      <w:r w:rsidRPr="00637F4E">
        <w:rPr>
          <w:rFonts w:ascii="仿宋" w:eastAsia="仿宋" w:hAnsi="仿宋" w:cs="Calibri" w:hint="eastAsia"/>
          <w:color w:val="444444"/>
          <w:kern w:val="0"/>
          <w:sz w:val="28"/>
          <w:szCs w:val="28"/>
          <w:shd w:val="clear" w:color="auto" w:fill="FFFFFF"/>
        </w:rPr>
        <w:t>名义安排公款旅游；严禁</w:t>
      </w:r>
      <w:proofErr w:type="gramStart"/>
      <w:r w:rsidRPr="00637F4E">
        <w:rPr>
          <w:rFonts w:ascii="仿宋" w:eastAsia="仿宋" w:hAnsi="仿宋" w:cs="Calibri" w:hint="eastAsia"/>
          <w:color w:val="444444"/>
          <w:kern w:val="0"/>
          <w:sz w:val="28"/>
          <w:szCs w:val="28"/>
          <w:shd w:val="clear" w:color="auto" w:fill="FFFFFF"/>
        </w:rPr>
        <w:t>借培训</w:t>
      </w:r>
      <w:proofErr w:type="gramEnd"/>
      <w:r w:rsidRPr="00637F4E">
        <w:rPr>
          <w:rFonts w:ascii="仿宋" w:eastAsia="仿宋" w:hAnsi="仿宋" w:cs="Calibri" w:hint="eastAsia"/>
          <w:color w:val="444444"/>
          <w:kern w:val="0"/>
          <w:sz w:val="28"/>
          <w:szCs w:val="28"/>
          <w:shd w:val="clear" w:color="auto" w:fill="FFFFFF"/>
        </w:rPr>
        <w:t>名义组织会餐或安排宴请；严禁组织高消费娱乐健身活动；严禁使用培训费购置电脑、复印机、打印机、传真机等固定资产以及开支与培训无关的其他费用；严禁在培训费中列支公务接待费、会议费；严禁套取培训</w:t>
      </w:r>
      <w:proofErr w:type="gramStart"/>
      <w:r w:rsidRPr="00637F4E">
        <w:rPr>
          <w:rFonts w:ascii="仿宋" w:eastAsia="仿宋" w:hAnsi="仿宋" w:cs="Calibri" w:hint="eastAsia"/>
          <w:color w:val="444444"/>
          <w:kern w:val="0"/>
          <w:sz w:val="28"/>
          <w:szCs w:val="28"/>
          <w:shd w:val="clear" w:color="auto" w:fill="FFFFFF"/>
        </w:rPr>
        <w:t>费设立</w:t>
      </w:r>
      <w:proofErr w:type="gramEnd"/>
      <w:r w:rsidRPr="00637F4E">
        <w:rPr>
          <w:rFonts w:ascii="仿宋" w:eastAsia="仿宋" w:hAnsi="仿宋" w:cs="Calibri" w:hint="eastAsia"/>
          <w:color w:val="444444"/>
          <w:kern w:val="0"/>
          <w:sz w:val="28"/>
          <w:szCs w:val="28"/>
          <w:shd w:val="clear" w:color="auto" w:fill="FFFFFF"/>
        </w:rPr>
        <w:t>“小金库”。</w:t>
      </w:r>
    </w:p>
    <w:p w14:paraId="0F5BDCE9"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培训住宿不得安排高档套房，不得额外配发洗漱用品；培训用餐不得上高档菜肴，不得提供烟酒；除必要的现场教学外，7日以内的培训不得组织调研、考察、参观。</w:t>
      </w:r>
    </w:p>
    <w:p w14:paraId="523696A2"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lastRenderedPageBreak/>
        <w:t>第十五条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邀请境外师资讲课，须严格按照有关外事管理规定，履行审批手续。境内师资能够满足培训需要的，不得邀请境外师资。</w:t>
      </w:r>
    </w:p>
    <w:p w14:paraId="133DA357"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第十六条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培训举办单位应当注重教学设计和质量评估，通过需求调研、课程设计和开发、专家论证、评估反馈等环节，推进培训工作科学化、精准化；注重运用大数据、“互联网＋”等现代信息技术手段开展培训和管理。所需费用纳入部门预算予以保障。</w:t>
      </w:r>
    </w:p>
    <w:p w14:paraId="3EAFF5F4"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第五章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报销核算</w:t>
      </w:r>
    </w:p>
    <w:p w14:paraId="7F7B7810"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第十七条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报销培训费，综合定额范围内的，应当提供培训计划审批文件、培训通知、实际参训人员签到表以及培训机构出具的收款票据、费用明细等凭证；师资</w:t>
      </w:r>
      <w:proofErr w:type="gramStart"/>
      <w:r w:rsidRPr="00637F4E">
        <w:rPr>
          <w:rFonts w:ascii="仿宋" w:eastAsia="仿宋" w:hAnsi="仿宋" w:cs="Calibri" w:hint="eastAsia"/>
          <w:color w:val="444444"/>
          <w:kern w:val="0"/>
          <w:sz w:val="28"/>
          <w:szCs w:val="28"/>
          <w:shd w:val="clear" w:color="auto" w:fill="FFFFFF"/>
        </w:rPr>
        <w:t>费范围</w:t>
      </w:r>
      <w:proofErr w:type="gramEnd"/>
      <w:r w:rsidRPr="00637F4E">
        <w:rPr>
          <w:rFonts w:ascii="仿宋" w:eastAsia="仿宋" w:hAnsi="仿宋" w:cs="Calibri" w:hint="eastAsia"/>
          <w:color w:val="444444"/>
          <w:kern w:val="0"/>
          <w:sz w:val="28"/>
          <w:szCs w:val="28"/>
          <w:shd w:val="clear" w:color="auto" w:fill="FFFFFF"/>
        </w:rPr>
        <w:t>内的，应当提供讲课费签收单或合同，异地授课的城市间交通费、住宿费、伙食费按照差旅费报销办法提供相关凭据；执行中经单位主要负责同志批准临时增加的培训项目，还应提供单位主要负责同志审批材料。</w:t>
      </w:r>
    </w:p>
    <w:p w14:paraId="3EBA09A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各单位财务部门应当严格按照规定审核培训费开支，对未履行审批备案程序的培训，以及超范围、超标准开支的费用不予报销。</w:t>
      </w:r>
    </w:p>
    <w:p w14:paraId="02103D3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第十八条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培训费的资金支付应当执行国库集中支付和公务卡管理有关制度规定。</w:t>
      </w:r>
    </w:p>
    <w:p w14:paraId="4409CECF"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第十九条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培训费由培训举办单位承担，不得向参训人员收取任何费用。</w:t>
      </w:r>
    </w:p>
    <w:p w14:paraId="474FB4E4" w14:textId="77777777" w:rsidR="00637F4E" w:rsidRPr="00637F4E" w:rsidRDefault="00637F4E" w:rsidP="00637F4E">
      <w:pPr>
        <w:widowControl/>
        <w:shd w:val="clear" w:color="auto" w:fill="F4F6FB"/>
        <w:spacing w:line="600" w:lineRule="atLeast"/>
        <w:jc w:val="center"/>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第六章</w:t>
      </w:r>
      <w:r w:rsidRPr="00637F4E">
        <w:rPr>
          <w:rFonts w:ascii="Calibri" w:eastAsia="黑体" w:hAnsi="Calibri" w:cs="Calibri"/>
          <w:color w:val="444444"/>
          <w:kern w:val="0"/>
          <w:sz w:val="28"/>
          <w:szCs w:val="28"/>
          <w:shd w:val="clear" w:color="auto" w:fill="FFFFFF"/>
        </w:rPr>
        <w:t> </w:t>
      </w:r>
      <w:r w:rsidRPr="00637F4E">
        <w:rPr>
          <w:rFonts w:ascii="黑体" w:eastAsia="黑体" w:hAnsi="黑体" w:cs="Calibri" w:hint="eastAsia"/>
          <w:color w:val="444444"/>
          <w:kern w:val="0"/>
          <w:sz w:val="28"/>
          <w:szCs w:val="28"/>
          <w:shd w:val="clear" w:color="auto" w:fill="FFFFFF"/>
        </w:rPr>
        <w:t>监督检查</w:t>
      </w:r>
    </w:p>
    <w:p w14:paraId="57DB699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各单位应当将非涉密培训的项目、内容、人数、经费等情况，以适当方式进行公开。</w:t>
      </w:r>
    </w:p>
    <w:p w14:paraId="176DB83E"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lastRenderedPageBreak/>
        <w:t>第二十一条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应当于每年3月31日前将上年度培训计划执行情况（包括培训名称、对象、内容、时间、地点、参训人数、工作人员数、经费开支及列支渠道、培训成效、问题建议等）报送市委组织部、市公务员局、市财政局。</w:t>
      </w:r>
    </w:p>
    <w:p w14:paraId="6741F0D2"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第二十二条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市委组织部、市公务员局、市财政局、市审计局等有关部门对各单位培训活动和培训费管理使用情况进行监督检查。主要内容包括：</w:t>
      </w:r>
    </w:p>
    <w:p w14:paraId="67C0A15F"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（一）培训计划的编报是否符合规定；</w:t>
      </w:r>
    </w:p>
    <w:p w14:paraId="63FBA7B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（二）临时增加培训计划是否报单位主要负责同志审批；</w:t>
      </w:r>
    </w:p>
    <w:p w14:paraId="485E923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（三）培训费开支范围和开支标准是否符合规定；</w:t>
      </w:r>
    </w:p>
    <w:p w14:paraId="6F1B32C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（四）培训费报销和支付是否符合规定；</w:t>
      </w:r>
    </w:p>
    <w:p w14:paraId="0178A384"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（五）是否存在虚报培训费用的行为；</w:t>
      </w:r>
    </w:p>
    <w:p w14:paraId="0C25A58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（六）是否存在转嫁、摊派培训费用的行为；</w:t>
      </w:r>
    </w:p>
    <w:p w14:paraId="1B4C8DE1"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（七）是否存在向参训人员乱收费的行为；</w:t>
      </w:r>
    </w:p>
    <w:p w14:paraId="62EBC18C"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（八）是否存在奢侈浪费现象；</w:t>
      </w:r>
    </w:p>
    <w:p w14:paraId="096D0106"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仿宋" w:eastAsia="仿宋" w:hAnsi="仿宋" w:cs="Calibri" w:hint="eastAsia"/>
          <w:color w:val="444444"/>
          <w:kern w:val="0"/>
          <w:sz w:val="28"/>
          <w:szCs w:val="28"/>
          <w:shd w:val="clear" w:color="auto" w:fill="FFFFFF"/>
        </w:rPr>
        <w:t>（九）是否存在其他违反本办法的行为。</w:t>
      </w:r>
    </w:p>
    <w:p w14:paraId="35CD0737"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第二十三条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对于检查中发现的违反本办法的行为，由市委组织部、市公务员局、市财政局、市审计局等有关部门责令改正，追回资金，并予以通报。对相关责任人员，按规定予以党纪政纪处分；涉嫌犯罪的，移送司法机关处理。</w:t>
      </w:r>
    </w:p>
    <w:p w14:paraId="159AA020" w14:textId="77777777" w:rsidR="00637F4E" w:rsidRPr="00637F4E" w:rsidRDefault="00637F4E" w:rsidP="00637F4E">
      <w:pPr>
        <w:widowControl/>
        <w:shd w:val="clear" w:color="auto" w:fill="F4F6FB"/>
        <w:spacing w:line="600" w:lineRule="atLeast"/>
        <w:ind w:firstLine="562"/>
        <w:jc w:val="center"/>
        <w:rPr>
          <w:rFonts w:ascii="Calibri" w:eastAsia="宋体" w:hAnsi="Calibri" w:cs="Calibri"/>
          <w:color w:val="444444"/>
          <w:kern w:val="0"/>
          <w:sz w:val="24"/>
          <w:szCs w:val="24"/>
        </w:rPr>
      </w:pPr>
      <w:r w:rsidRPr="00637F4E">
        <w:rPr>
          <w:rFonts w:ascii="仿宋" w:eastAsia="仿宋" w:hAnsi="仿宋" w:cs="Calibri" w:hint="eastAsia"/>
          <w:b/>
          <w:bCs/>
          <w:color w:val="444444"/>
          <w:kern w:val="0"/>
          <w:sz w:val="28"/>
          <w:szCs w:val="28"/>
          <w:shd w:val="clear" w:color="auto" w:fill="FFFFFF"/>
        </w:rPr>
        <w:t>第七章</w:t>
      </w:r>
      <w:r w:rsidRPr="00637F4E">
        <w:rPr>
          <w:rFonts w:ascii="Calibri" w:eastAsia="仿宋" w:hAnsi="Calibri" w:cs="Calibri"/>
          <w:b/>
          <w:bCs/>
          <w:color w:val="444444"/>
          <w:kern w:val="0"/>
          <w:sz w:val="28"/>
          <w:szCs w:val="28"/>
          <w:shd w:val="clear" w:color="auto" w:fill="FFFFFF"/>
        </w:rPr>
        <w:t> </w:t>
      </w:r>
      <w:r w:rsidRPr="00637F4E">
        <w:rPr>
          <w:rFonts w:ascii="仿宋" w:eastAsia="仿宋" w:hAnsi="仿宋" w:cs="Calibri" w:hint="eastAsia"/>
          <w:b/>
          <w:bCs/>
          <w:color w:val="444444"/>
          <w:kern w:val="0"/>
          <w:sz w:val="28"/>
          <w:szCs w:val="28"/>
          <w:shd w:val="clear" w:color="auto" w:fill="FFFFFF"/>
        </w:rPr>
        <w:t>附</w:t>
      </w:r>
      <w:r w:rsidRPr="00637F4E">
        <w:rPr>
          <w:rFonts w:ascii="Calibri" w:eastAsia="仿宋" w:hAnsi="Calibri" w:cs="Calibri"/>
          <w:b/>
          <w:bCs/>
          <w:color w:val="444444"/>
          <w:kern w:val="0"/>
          <w:sz w:val="28"/>
          <w:szCs w:val="28"/>
          <w:shd w:val="clear" w:color="auto" w:fill="FFFFFF"/>
        </w:rPr>
        <w:t> </w:t>
      </w:r>
      <w:r w:rsidRPr="00637F4E">
        <w:rPr>
          <w:rFonts w:ascii="仿宋" w:eastAsia="仿宋" w:hAnsi="仿宋" w:cs="Calibri" w:hint="eastAsia"/>
          <w:b/>
          <w:bCs/>
          <w:color w:val="444444"/>
          <w:kern w:val="0"/>
          <w:sz w:val="28"/>
          <w:szCs w:val="28"/>
          <w:shd w:val="clear" w:color="auto" w:fill="FFFFFF"/>
        </w:rPr>
        <w:t>则</w:t>
      </w:r>
    </w:p>
    <w:p w14:paraId="67FDA89D"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lastRenderedPageBreak/>
        <w:t>第二十四条</w:t>
      </w:r>
      <w:r w:rsidRPr="00637F4E">
        <w:rPr>
          <w:rFonts w:ascii="Calibri" w:eastAsia="黑体"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各单位可以按照本办法规定，结合本单位业务特点和工作实际，制定培训费管理具体规定。</w:t>
      </w:r>
    </w:p>
    <w:p w14:paraId="093A89B2"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第二十五条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市委组织部、市公务员局组织的调训和统一培训，不适用本办法，按有关规定执行。</w:t>
      </w:r>
    </w:p>
    <w:p w14:paraId="25C13267"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第二十六条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市级事业单位培训费管理参照本办法执行。</w:t>
      </w:r>
    </w:p>
    <w:p w14:paraId="7FB770DB"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第二十七条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各区可参照本办法，结合实际研究制定有关管理办法。</w:t>
      </w:r>
    </w:p>
    <w:p w14:paraId="3B7180CA"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第二十八条</w:t>
      </w:r>
      <w:r w:rsidRPr="00637F4E">
        <w:rPr>
          <w:rFonts w:ascii="Calibri" w:eastAsia="仿宋"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本办法由市财政局会同市委组织部、市公务员局负责解释。</w:t>
      </w:r>
    </w:p>
    <w:p w14:paraId="0C668959" w14:textId="77777777" w:rsidR="00637F4E" w:rsidRPr="00637F4E" w:rsidRDefault="00637F4E" w:rsidP="00637F4E">
      <w:pPr>
        <w:widowControl/>
        <w:shd w:val="clear" w:color="auto" w:fill="F4F6FB"/>
        <w:spacing w:line="600" w:lineRule="atLeast"/>
        <w:ind w:firstLine="560"/>
        <w:rPr>
          <w:rFonts w:ascii="Calibri" w:eastAsia="宋体" w:hAnsi="Calibri" w:cs="Calibri"/>
          <w:color w:val="444444"/>
          <w:kern w:val="0"/>
          <w:sz w:val="24"/>
          <w:szCs w:val="24"/>
        </w:rPr>
      </w:pPr>
      <w:r w:rsidRPr="00637F4E">
        <w:rPr>
          <w:rFonts w:ascii="黑体" w:eastAsia="黑体" w:hAnsi="黑体" w:cs="Calibri" w:hint="eastAsia"/>
          <w:color w:val="444444"/>
          <w:kern w:val="0"/>
          <w:sz w:val="28"/>
          <w:szCs w:val="28"/>
          <w:shd w:val="clear" w:color="auto" w:fill="FFFFFF"/>
        </w:rPr>
        <w:t>第二十九条</w:t>
      </w:r>
      <w:r w:rsidRPr="00637F4E">
        <w:rPr>
          <w:rFonts w:ascii="Calibri" w:eastAsia="黑体" w:hAnsi="Calibri" w:cs="Calibri"/>
          <w:color w:val="444444"/>
          <w:kern w:val="0"/>
          <w:sz w:val="28"/>
          <w:szCs w:val="28"/>
          <w:shd w:val="clear" w:color="auto" w:fill="FFFFFF"/>
        </w:rPr>
        <w:t> </w:t>
      </w:r>
      <w:r w:rsidRPr="00637F4E">
        <w:rPr>
          <w:rFonts w:ascii="仿宋" w:eastAsia="仿宋" w:hAnsi="仿宋" w:cs="Calibri" w:hint="eastAsia"/>
          <w:color w:val="444444"/>
          <w:kern w:val="0"/>
          <w:sz w:val="28"/>
          <w:szCs w:val="28"/>
          <w:shd w:val="clear" w:color="auto" w:fill="FFFFFF"/>
        </w:rPr>
        <w:t>本办法自发文之日起施行。《上海市市级机关培训费管理办法》（</w:t>
      </w:r>
      <w:proofErr w:type="gramStart"/>
      <w:r w:rsidRPr="00637F4E">
        <w:rPr>
          <w:rFonts w:ascii="仿宋" w:eastAsia="仿宋" w:hAnsi="仿宋" w:cs="Calibri" w:hint="eastAsia"/>
          <w:color w:val="444444"/>
          <w:kern w:val="0"/>
          <w:sz w:val="28"/>
          <w:szCs w:val="28"/>
          <w:shd w:val="clear" w:color="auto" w:fill="FFFFFF"/>
        </w:rPr>
        <w:t>沪财行</w:t>
      </w:r>
      <w:proofErr w:type="gramEnd"/>
      <w:r w:rsidRPr="00637F4E">
        <w:rPr>
          <w:rFonts w:ascii="仿宋" w:eastAsia="仿宋" w:hAnsi="仿宋" w:cs="Calibri" w:hint="eastAsia"/>
          <w:color w:val="444444"/>
          <w:kern w:val="0"/>
          <w:sz w:val="28"/>
          <w:szCs w:val="28"/>
          <w:shd w:val="clear" w:color="auto" w:fill="FFFFFF"/>
        </w:rPr>
        <w:t>〔2014〕35号）同时废止。</w:t>
      </w:r>
    </w:p>
    <w:p w14:paraId="74A3D35E" w14:textId="77777777" w:rsidR="00C95333" w:rsidRPr="00637F4E" w:rsidRDefault="00C95333"/>
    <w:sectPr w:rsidR="00C95333" w:rsidRPr="00637F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黑体"/>
    <w:charset w:val="86"/>
    <w:family w:val="auto"/>
    <w:pitch w:val="default"/>
    <w:sig w:usb0="00000000" w:usb1="00000000" w:usb2="00000000" w:usb3="00000000" w:csb0="00040000"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altName w:val="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4E"/>
    <w:rsid w:val="00637F4E"/>
    <w:rsid w:val="00C95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38BC"/>
  <w15:chartTrackingRefBased/>
  <w15:docId w15:val="{D8982A9B-03D6-435C-A1C7-B7D26C42E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7F4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37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464399">
      <w:bodyDiv w:val="1"/>
      <w:marLeft w:val="0"/>
      <w:marRight w:val="0"/>
      <w:marTop w:val="0"/>
      <w:marBottom w:val="0"/>
      <w:divBdr>
        <w:top w:val="none" w:sz="0" w:space="0" w:color="auto"/>
        <w:left w:val="none" w:sz="0" w:space="0" w:color="auto"/>
        <w:bottom w:val="none" w:sz="0" w:space="0" w:color="auto"/>
        <w:right w:val="none" w:sz="0" w:space="0" w:color="auto"/>
      </w:divBdr>
      <w:divsChild>
        <w:div w:id="685907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蔡</dc:creator>
  <cp:keywords/>
  <dc:description/>
  <cp:lastModifiedBy>翔 蔡</cp:lastModifiedBy>
  <cp:revision>1</cp:revision>
  <dcterms:created xsi:type="dcterms:W3CDTF">2026-03-04T00:42:00Z</dcterms:created>
  <dcterms:modified xsi:type="dcterms:W3CDTF">2026-03-04T00:42:00Z</dcterms:modified>
</cp:coreProperties>
</file>