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A6C31B"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France: An Expert Report on Corporate, Tax, and Regulatory Frameworks</w:t>
      </w:r>
    </w:p>
    <w:p w14:paraId="14979CBB"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Executive Summary</w:t>
      </w:r>
    </w:p>
    <w:p w14:paraId="17647512"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French corporate and tax environment for 2025 is characterized by significant legislative changes aimed at fiscal consolidation, digital modernization, and the implementation of international tax standards. For companies of all sizes, the standard corporate income tax (CIT) rate is 25%, with a reduced rate of 15% for qualifying small and medium-sized enterprises (SMEs) on their first €42,500 of profits. However, large multinational enterprises (MNEs) face a multi-tiered tax structure that includes a 3.3% social contribution on CIT and a new, temporary "Exceptional Contribution" for companies with turnovers exceeding €1 billion. These additional layers of taxation create a highly progressive system, making effective tax rates for the largest companies considerably higher than the headline rate suggests.</w:t>
      </w:r>
    </w:p>
    <w:p w14:paraId="03EC03CB"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France has been a first-mover in adopting the OECD's Pillar Two rules, implementing both the Income Inclusion Rule (IIR) and the Undertaxed Profits Rule (UTPR) for fiscal years starting on or after the end of 2023 and 2024, respectively. Critically, a domestic minimum tax (QDMTT) of 15% has also been enacted to ensure France retains taxing rights over undertaxed profits within its borders.</w:t>
      </w:r>
    </w:p>
    <w:p w14:paraId="105A2478"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In a major administrative and compliance shift, a phased mandate for B2B e-invoicing is underway, requiring all businesses to accept electronic invoices from January 1, 2024, with the obligation to issue them becoming mandatory by 2026. This digital transformation signals a move toward real-time, data-driven tax administration. In tandem, the tax administration's enforcement has become more aggressive. Penalties for non-compliance are severe, with deliberate tax fraud potentially leading to criminal charges if tax adjustments exceed a specific threshold of €100,000.</w:t>
      </w:r>
    </w:p>
    <w:p w14:paraId="6D35B907"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For companies engaged in innovation, France offers generous R&amp;D tax incentives. The </w:t>
      </w:r>
      <w:r w:rsidRPr="004910E1">
        <w:rPr>
          <w:rFonts w:ascii="Arial" w:hAnsi="Arial" w:cs="Arial"/>
          <w:i/>
          <w:iCs/>
          <w:sz w:val="20"/>
          <w:szCs w:val="20"/>
          <w:lang w:val="en-US"/>
        </w:rPr>
        <w:t>Crédit d'Impôt Recherche</w:t>
      </w:r>
      <w:r w:rsidRPr="004910E1">
        <w:rPr>
          <w:rFonts w:ascii="Arial" w:hAnsi="Arial" w:cs="Arial"/>
          <w:sz w:val="20"/>
          <w:szCs w:val="20"/>
          <w:lang w:val="en-US"/>
        </w:rPr>
        <w:t xml:space="preserve"> (CIR) provides a tax credit of 30% on R&amp;D expenses up to €100 million, while the </w:t>
      </w:r>
      <w:r w:rsidRPr="004910E1">
        <w:rPr>
          <w:rFonts w:ascii="Arial" w:hAnsi="Arial" w:cs="Arial"/>
          <w:i/>
          <w:iCs/>
          <w:sz w:val="20"/>
          <w:szCs w:val="20"/>
          <w:lang w:val="en-US"/>
        </w:rPr>
        <w:t>Jeune Entreprise Innovante</w:t>
      </w:r>
      <w:r w:rsidRPr="004910E1">
        <w:rPr>
          <w:rFonts w:ascii="Arial" w:hAnsi="Arial" w:cs="Arial"/>
          <w:sz w:val="20"/>
          <w:szCs w:val="20"/>
          <w:lang w:val="en-US"/>
        </w:rPr>
        <w:t xml:space="preserve"> (JEI) status offers significant exemptions from employer social contributions for eligible startups. These incentives, however, come with stringent documentation and compliance requirements based on the OECD's Frascati Manual.</w:t>
      </w:r>
    </w:p>
    <w:p w14:paraId="41082C8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tax landscape for 2025 is defined by a paradox: a clear intention to encourage innovation and smaller businesses through targeted incentives and reduced rates, coupled with a punitive and complex framework for larger companies and a stricter enforcement regime for all. Strategic success in this environment hinges on meticulous tax planning, robust digital compliance systems, and a deep understanding of the evolving legislative landscape.</w:t>
      </w:r>
    </w:p>
    <w:p w14:paraId="71A192A8"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Chapter 1: The French Corporate Taxation Framework</w:t>
      </w:r>
    </w:p>
    <w:p w14:paraId="5E841FC8"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This chapter provides a foundational understanding of the taxes levied on French corporations, highlighting the complexities and recent legislative changes that impact both local and multinational entities. The French tax system, while progressive, is a sophisticated framework designed to generate revenue, influence corporate behavior, and align with new international standards.</w:t>
      </w:r>
    </w:p>
    <w:p w14:paraId="0DC4131A"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1.1. Corporate Income Tax (CIT) Rates and Surcharges</w:t>
      </w:r>
    </w:p>
    <w:p w14:paraId="361D7EF3"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corporate income tax in France is not a single, flat rate but a multi-tiered structure that varies based on a company’s size and profitability. The standard corporate income tax (CIT) rate for fiscal years starting on or after January 1, 2022, is 25% on a company’s profits.</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rate applies to companies that are tax residents in France, taxing their worldwide income, as well as to non-resident companies on income attributable to a French business activity or a French permanent establishment (PE).</w:t>
      </w:r>
      <w:r w:rsidRPr="004910E1">
        <w:rPr>
          <w:rFonts w:ascii="Arial" w:hAnsi="Arial" w:cs="Arial"/>
          <w:sz w:val="20"/>
          <w:szCs w:val="20"/>
          <w:vertAlign w:val="superscript"/>
          <w:lang w:val="en-US"/>
        </w:rPr>
        <w:t>1</w:t>
      </w:r>
    </w:p>
    <w:p w14:paraId="249BF417"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For small corporations, a reduced rate of 15% is available on the first €42,500 of their taxable profits. To qualify for this reduced rate, a company must have an annual turnover of less than €10 million and be held, either directly or indirectly, by individuals for at least 75% of its capital.</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targeted relief is designed to support the growth of smaller enterprises.</w:t>
      </w:r>
    </w:p>
    <w:p w14:paraId="0DEFD898"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Beyond the standard and reduced rates, France's tax system imposes additional layers for larger companies. A social contribution of 3.3% is levied on the amount of CIT that exceeds a threshold of €763,000.</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is a recurring charge that adds to the tax burden of highly profitable companies.</w:t>
      </w:r>
    </w:p>
    <w:p w14:paraId="45550893"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 more significant, and temporary, measure was introduced by the Finance Law for 2025: the Exceptional Contribution on CIT. This new contribution is applicable for the first fiscal year ending on or after December 31, 2025.</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It targets companies with exceptionally high turnover, adding a substantial surcharge to their tax liability. Companies with a turnover exceeding €1 billion but less than €3 billion will pay a 20.6% contribution on their CIT. For companies with a turnover of more than €3 billion, this contribution increases to 41.2%.</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These surcharges result in a considerable increase in the effective tax rate. For companies subject to the 20.6% contribution, the effective rate rises to 30.975%, while for those in the highest bracket, the rate becomes 36.125%.</w:t>
      </w:r>
      <w:r w:rsidRPr="004910E1">
        <w:rPr>
          <w:rFonts w:ascii="Arial" w:hAnsi="Arial" w:cs="Arial"/>
          <w:sz w:val="20"/>
          <w:szCs w:val="20"/>
          <w:vertAlign w:val="superscript"/>
          <w:lang w:val="en-US"/>
        </w:rPr>
        <w:t>1</w:t>
      </w:r>
    </w:p>
    <w:p w14:paraId="6A36C292"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This multi-layered approach to corporate taxation reveals a clear legislative intention to create a highly progressive tax system where the largest companies bear a disproportionately high tax burden. The introduction of the "Exceptional Contribution," explicitly framed as temporary, suggests a government strategy of using targeted, short-term fiscal measures to address budget deficits. This policy introduces a significant element of uncertainty for multinational enterprises. Instead of relying on a stable 25% headline rate for their long-term financial modeling, these large companies must factor in the potential for similar ad-hoc tax measures in the future, complicating strategic planning.</w:t>
      </w:r>
    </w:p>
    <w:p w14:paraId="51D34CB4"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1.2. The Global and Domestic Minimum Tax Regime (Pillar Two)</w:t>
      </w:r>
    </w:p>
    <w:p w14:paraId="32328449"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France has taken a leading role in the global effort to reform international corporate taxation by proactively implementing the OECD's Pillar Two rules. The legal framework for these rules was established through the Finance Law for 2024 and was further refined with technical adjustments in the Finance Law for 2025.</w:t>
      </w:r>
      <w:r w:rsidRPr="004910E1">
        <w:rPr>
          <w:rFonts w:ascii="Arial" w:hAnsi="Arial" w:cs="Arial"/>
          <w:sz w:val="20"/>
          <w:szCs w:val="20"/>
          <w:vertAlign w:val="superscript"/>
          <w:lang w:val="en-US"/>
        </w:rPr>
        <w:t>2</w:t>
      </w:r>
    </w:p>
    <w:p w14:paraId="5709B7C4"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Income Inclusion Rule (IIR) has been legislated and applies for income years starting on or after December 31, 2023.</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rule targets French multinational groups and French entities that are subsidiaries of foreign-headquartered MNEs located in jurisdictions that have not yet implemented the IIR. In addition, the Undertaxed Profits Rule (UTPR) will apply for income years beginning on or after December 31, 2024.</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The UTPR will be applicable to foreign MNEs with operations in France in cases where no IIR applies.</w:t>
      </w:r>
    </w:p>
    <w:p w14:paraId="2ADBAC7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 cornerstone of France's Pillar Two implementation is the Qualified Domestic Minimum Top-up Tax (QDMTT). This 15% domestic minimum tax applies to income years starting on or after December 31, 2023.</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The QDMTT is a strategic measure that ensures France can collect a top-up tax on the undertaxed profits of MNEs within its borders, preventing other jurisdictions from collecting that revenue. This demonstrates France's commitment not only to the global framework but also to protecting its own tax base.</w:t>
      </w:r>
    </w:p>
    <w:p w14:paraId="487488BB"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implementation of Pillar Two places a significant new administrative burden on MNEs with a presence in France. Each constituent entity located in France belonging to a group subject to the GloBE rules must file an annual notification with its income tax return.</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notification must disclose the name of the Ultimate Parent Entity and the entity responsible for filing the GloBE Information Return (GIR). The GIR itself must be filed within 15 months following the end of the fiscal year, with an extended 18-month deadline for the initial filing.</w:t>
      </w:r>
      <w:r w:rsidRPr="004910E1">
        <w:rPr>
          <w:rFonts w:ascii="Arial" w:hAnsi="Arial" w:cs="Arial"/>
          <w:sz w:val="20"/>
          <w:szCs w:val="20"/>
          <w:vertAlign w:val="superscript"/>
          <w:lang w:val="en-US"/>
        </w:rPr>
        <w:t>1</w:t>
      </w:r>
      <w:r w:rsidRPr="004910E1">
        <w:rPr>
          <w:rFonts w:ascii="Arial" w:hAnsi="Arial" w:cs="Arial"/>
          <w:sz w:val="20"/>
          <w:szCs w:val="20"/>
          <w:lang w:val="en-US"/>
        </w:rPr>
        <w:t xml:space="preserve"> This comprehensive and expedited approach to Pillar Two creates a high compliance bar for MNEs, necessitating the development of sophisticated data collection and reporting systems.</w:t>
      </w:r>
    </w:p>
    <w:p w14:paraId="39AE418E"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1.3. Other Relevant Corporate Taxes</w:t>
      </w:r>
    </w:p>
    <w:p w14:paraId="6D15B355"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Beyond the primary corporate tax, businesses operating in France are subject to a number of other significant taxes, including the Contribution to the Added Value of Companies (CVAE). This local tax applies to companies with a turnover exceeding €500,000 and is calculated as a percentage of the value added by the company.</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For companies with a turnover over €50 million, the CVAE rate is 0.19% in 2025, which is then scheduled to progressively decrease to 0.09% by 2029.</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For 2025, an additional contribution equal to 47.4% of the CVAE is also in effect.</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In a development that has created uncertainty for businesses, the French Finance Act for 2025 postponed the previously planned abolition of the CVAE from 2027 to 2030.</w:t>
      </w:r>
      <w:r w:rsidRPr="004910E1">
        <w:rPr>
          <w:rFonts w:ascii="Arial" w:hAnsi="Arial" w:cs="Arial"/>
          <w:sz w:val="20"/>
          <w:szCs w:val="20"/>
          <w:vertAlign w:val="superscript"/>
          <w:lang w:val="en-US"/>
        </w:rPr>
        <w:t>2</w:t>
      </w:r>
      <w:r w:rsidRPr="004910E1">
        <w:rPr>
          <w:rFonts w:ascii="Arial" w:hAnsi="Arial" w:cs="Arial"/>
          <w:sz w:val="20"/>
          <w:szCs w:val="20"/>
          <w:lang w:val="en-US"/>
        </w:rPr>
        <w:t xml:space="preserve"> This deferral of a promised tax reform suggests that government policy can be highly reactive to fiscal pressures, and companies should be cautious about factoring announced tax changes into their long-term financial forecasts.</w:t>
      </w:r>
    </w:p>
    <w:p w14:paraId="748DC068"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Finance Law for 2025 also introduced new levies on certain corporate actions. A levy of 8% was established for share buybacks that are followed by a share capital decrease, affecting French companies with a turnover over €1 billion.</w:t>
      </w:r>
      <w:r w:rsidRPr="004910E1">
        <w:rPr>
          <w:rFonts w:ascii="Arial" w:hAnsi="Arial" w:cs="Arial"/>
          <w:sz w:val="20"/>
          <w:szCs w:val="20"/>
          <w:vertAlign w:val="superscript"/>
          <w:lang w:val="en-US"/>
        </w:rPr>
        <w:t>2</w:t>
      </w:r>
      <w:r w:rsidRPr="004910E1">
        <w:rPr>
          <w:rFonts w:ascii="Arial" w:hAnsi="Arial" w:cs="Arial"/>
          <w:sz w:val="20"/>
          <w:szCs w:val="20"/>
          <w:lang w:val="en-US"/>
        </w:rPr>
        <w:t xml:space="preserve"> This is a clear policy signal aimed at influencing corporate financial behavior. Furthermore, the transfer of shares is subject to a 0.1% registration duty.</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A higher duty of 3% applies to the transfer of interests in legal entities where capital is not divided into shares (e.g., </w:t>
      </w:r>
    </w:p>
    <w:p w14:paraId="7D1B51C9" w14:textId="77777777" w:rsidR="004910E1" w:rsidRPr="004910E1" w:rsidRDefault="004910E1" w:rsidP="004910E1">
      <w:pPr>
        <w:rPr>
          <w:rFonts w:ascii="Arial" w:hAnsi="Arial" w:cs="Arial"/>
          <w:sz w:val="20"/>
          <w:szCs w:val="20"/>
          <w:lang w:val="en-US"/>
        </w:rPr>
      </w:pPr>
      <w:r w:rsidRPr="004910E1">
        <w:rPr>
          <w:rFonts w:ascii="Arial" w:hAnsi="Arial" w:cs="Arial"/>
          <w:i/>
          <w:iCs/>
          <w:sz w:val="20"/>
          <w:szCs w:val="20"/>
          <w:lang w:val="en-US"/>
        </w:rPr>
        <w:t>Société à responsabilité limitée</w:t>
      </w:r>
      <w:r w:rsidRPr="004910E1">
        <w:rPr>
          <w:rFonts w:ascii="Arial" w:hAnsi="Arial" w:cs="Arial"/>
          <w:sz w:val="20"/>
          <w:szCs w:val="20"/>
          <w:lang w:val="en-US"/>
        </w:rPr>
        <w:t xml:space="preserve"> or SARL).</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Transfers of shares in non-quoted real estate companies are subject to an even higher 5% duty.</w:t>
      </w:r>
      <w:r w:rsidRPr="004910E1">
        <w:rPr>
          <w:rFonts w:ascii="Arial" w:hAnsi="Arial" w:cs="Arial"/>
          <w:sz w:val="20"/>
          <w:szCs w:val="20"/>
          <w:vertAlign w:val="superscript"/>
          <w:lang w:val="en-US"/>
        </w:rPr>
        <w:t>3</w:t>
      </w:r>
    </w:p>
    <w:p w14:paraId="1C1D7D8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Below is a summary table illustrating the complex corporate tax structure in France.</w:t>
      </w:r>
    </w:p>
    <w:tbl>
      <w:tblPr>
        <w:tblW w:w="0" w:type="auto"/>
        <w:tblCellSpacing w:w="15" w:type="dxa"/>
        <w:tblCellMar>
          <w:left w:w="0" w:type="dxa"/>
          <w:right w:w="0" w:type="dxa"/>
        </w:tblCellMar>
        <w:tblLook w:val="04A0" w:firstRow="1" w:lastRow="0" w:firstColumn="1" w:lastColumn="0" w:noHBand="0" w:noVBand="1"/>
      </w:tblPr>
      <w:tblGrid>
        <w:gridCol w:w="7505"/>
        <w:gridCol w:w="1225"/>
      </w:tblGrid>
      <w:tr w:rsidR="004910E1" w:rsidRPr="00A22CA3" w14:paraId="1F2182D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65D1CE"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Corporate Income Tax Rates &amp; Surcharges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2E87EF" w14:textId="77777777" w:rsidR="004910E1" w:rsidRPr="004910E1" w:rsidRDefault="004910E1" w:rsidP="004910E1">
            <w:pPr>
              <w:rPr>
                <w:rFonts w:ascii="Arial" w:hAnsi="Arial" w:cs="Arial"/>
                <w:sz w:val="20"/>
                <w:szCs w:val="20"/>
                <w:lang w:val="en-US"/>
              </w:rPr>
            </w:pPr>
          </w:p>
        </w:tc>
      </w:tr>
      <w:tr w:rsidR="004910E1" w:rsidRPr="004910E1" w14:paraId="3EC42E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3A6241C" w14:textId="77777777" w:rsidR="004910E1" w:rsidRPr="004910E1" w:rsidRDefault="004910E1" w:rsidP="004910E1">
            <w:pPr>
              <w:rPr>
                <w:rFonts w:ascii="Arial" w:hAnsi="Arial" w:cs="Arial"/>
                <w:sz w:val="20"/>
                <w:szCs w:val="20"/>
              </w:rPr>
            </w:pPr>
            <w:r w:rsidRPr="004910E1">
              <w:rPr>
                <w:rFonts w:ascii="Arial" w:hAnsi="Arial" w:cs="Arial"/>
                <w:b/>
                <w:bCs/>
                <w:sz w:val="20"/>
                <w:szCs w:val="20"/>
              </w:rPr>
              <w:t>Corporate Income Tax (CIT)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7C43F7A" w14:textId="77777777" w:rsidR="004910E1" w:rsidRPr="004910E1" w:rsidRDefault="004910E1" w:rsidP="004910E1">
            <w:pPr>
              <w:rPr>
                <w:rFonts w:ascii="Arial" w:hAnsi="Arial" w:cs="Arial"/>
                <w:sz w:val="20"/>
                <w:szCs w:val="20"/>
              </w:rPr>
            </w:pPr>
            <w:r w:rsidRPr="004910E1">
              <w:rPr>
                <w:rFonts w:ascii="Arial" w:hAnsi="Arial" w:cs="Arial"/>
                <w:b/>
                <w:bCs/>
                <w:sz w:val="20"/>
                <w:szCs w:val="20"/>
              </w:rPr>
              <w:t>Rate</w:t>
            </w:r>
          </w:p>
        </w:tc>
      </w:tr>
      <w:tr w:rsidR="004910E1" w:rsidRPr="004910E1" w14:paraId="56A1D0E8"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736A076" w14:textId="77777777" w:rsidR="004910E1" w:rsidRPr="004910E1" w:rsidRDefault="004910E1" w:rsidP="004910E1">
            <w:pPr>
              <w:rPr>
                <w:rFonts w:ascii="Arial" w:hAnsi="Arial" w:cs="Arial"/>
                <w:sz w:val="20"/>
                <w:szCs w:val="20"/>
              </w:rPr>
            </w:pPr>
            <w:r w:rsidRPr="004910E1">
              <w:rPr>
                <w:rFonts w:ascii="Arial" w:hAnsi="Arial" w:cs="Arial"/>
                <w:sz w:val="20"/>
                <w:szCs w:val="20"/>
              </w:rPr>
              <w:t>Standard Rate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B68890" w14:textId="77777777" w:rsidR="004910E1" w:rsidRPr="004910E1" w:rsidRDefault="004910E1" w:rsidP="004910E1">
            <w:pPr>
              <w:rPr>
                <w:rFonts w:ascii="Arial" w:hAnsi="Arial" w:cs="Arial"/>
                <w:sz w:val="20"/>
                <w:szCs w:val="20"/>
              </w:rPr>
            </w:pPr>
            <w:r w:rsidRPr="004910E1">
              <w:rPr>
                <w:rFonts w:ascii="Arial" w:hAnsi="Arial" w:cs="Arial"/>
                <w:sz w:val="20"/>
                <w:szCs w:val="20"/>
              </w:rPr>
              <w:t>25%</w:t>
            </w:r>
          </w:p>
        </w:tc>
      </w:tr>
      <w:tr w:rsidR="004910E1" w:rsidRPr="004910E1" w14:paraId="65EBF42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D830E5"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Reduced Rate (on first €42,500 profit)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D88826" w14:textId="77777777" w:rsidR="004910E1" w:rsidRPr="004910E1" w:rsidRDefault="004910E1" w:rsidP="004910E1">
            <w:pPr>
              <w:rPr>
                <w:rFonts w:ascii="Arial" w:hAnsi="Arial" w:cs="Arial"/>
                <w:sz w:val="20"/>
                <w:szCs w:val="20"/>
              </w:rPr>
            </w:pPr>
            <w:r w:rsidRPr="004910E1">
              <w:rPr>
                <w:rFonts w:ascii="Arial" w:hAnsi="Arial" w:cs="Arial"/>
                <w:sz w:val="20"/>
                <w:szCs w:val="20"/>
              </w:rPr>
              <w:t>15%</w:t>
            </w:r>
          </w:p>
        </w:tc>
      </w:tr>
      <w:tr w:rsidR="004910E1" w:rsidRPr="00587E7D" w14:paraId="4E37173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802F1B6" w14:textId="77777777" w:rsidR="004910E1" w:rsidRPr="004910E1" w:rsidRDefault="004910E1" w:rsidP="004910E1">
            <w:pPr>
              <w:rPr>
                <w:rFonts w:ascii="Arial" w:hAnsi="Arial" w:cs="Arial"/>
                <w:sz w:val="20"/>
                <w:szCs w:val="20"/>
                <w:lang w:val="en-US"/>
              </w:rPr>
            </w:pPr>
            <w:r w:rsidRPr="004910E1">
              <w:rPr>
                <w:rFonts w:ascii="Arial" w:hAnsi="Arial" w:cs="Arial"/>
                <w:i/>
                <w:iCs/>
                <w:sz w:val="20"/>
                <w:szCs w:val="20"/>
                <w:lang w:val="en-US"/>
              </w:rPr>
              <w:t>Eligibility for Reduced Rate:</w:t>
            </w:r>
            <w:r w:rsidRPr="004910E1">
              <w:rPr>
                <w:rFonts w:ascii="Arial" w:hAnsi="Arial" w:cs="Arial"/>
                <w:sz w:val="20"/>
                <w:szCs w:val="20"/>
                <w:lang w:val="en-US"/>
              </w:rPr>
              <w:t xml:space="preserve"> Turnover &lt; €10M and ≥ 75% owned by individuals.</w:t>
            </w:r>
            <w:r w:rsidRPr="004910E1">
              <w:rPr>
                <w:rFonts w:ascii="Arial" w:hAnsi="Arial" w:cs="Arial"/>
                <w:sz w:val="20"/>
                <w:szCs w:val="20"/>
                <w:vertAlign w:val="superscript"/>
                <w:lang w:val="en-US"/>
              </w:rPr>
              <w:t>1</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3FF8FAA" w14:textId="77777777" w:rsidR="004910E1" w:rsidRPr="004910E1" w:rsidRDefault="004910E1" w:rsidP="004910E1">
            <w:pPr>
              <w:rPr>
                <w:rFonts w:ascii="Arial" w:hAnsi="Arial" w:cs="Arial"/>
                <w:sz w:val="20"/>
                <w:szCs w:val="20"/>
                <w:lang w:val="en-US"/>
              </w:rPr>
            </w:pPr>
          </w:p>
        </w:tc>
      </w:tr>
      <w:tr w:rsidR="004910E1" w:rsidRPr="004910E1" w14:paraId="441E247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837EFD" w14:textId="77777777" w:rsidR="004910E1" w:rsidRPr="004910E1" w:rsidRDefault="004910E1" w:rsidP="004910E1">
            <w:pPr>
              <w:rPr>
                <w:rFonts w:ascii="Arial" w:hAnsi="Arial" w:cs="Arial"/>
                <w:sz w:val="20"/>
                <w:szCs w:val="20"/>
              </w:rPr>
            </w:pPr>
            <w:r w:rsidRPr="004910E1">
              <w:rPr>
                <w:rFonts w:ascii="Arial" w:hAnsi="Arial" w:cs="Arial"/>
                <w:b/>
                <w:bCs/>
                <w:sz w:val="20"/>
                <w:szCs w:val="20"/>
              </w:rPr>
              <w:t>Social Contribution on CIT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9AB851A" w14:textId="77777777" w:rsidR="004910E1" w:rsidRPr="004910E1" w:rsidRDefault="004910E1" w:rsidP="004910E1">
            <w:pPr>
              <w:rPr>
                <w:rFonts w:ascii="Arial" w:hAnsi="Arial" w:cs="Arial"/>
                <w:sz w:val="20"/>
                <w:szCs w:val="20"/>
              </w:rPr>
            </w:pPr>
            <w:r w:rsidRPr="004910E1">
              <w:rPr>
                <w:rFonts w:ascii="Arial" w:hAnsi="Arial" w:cs="Arial"/>
                <w:b/>
                <w:bCs/>
                <w:sz w:val="20"/>
                <w:szCs w:val="20"/>
              </w:rPr>
              <w:t>Rate</w:t>
            </w:r>
          </w:p>
        </w:tc>
      </w:tr>
      <w:tr w:rsidR="004910E1" w:rsidRPr="004910E1" w14:paraId="76D7DB9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368CF67" w14:textId="77777777" w:rsidR="004910E1" w:rsidRPr="004910E1" w:rsidRDefault="004910E1" w:rsidP="004910E1">
            <w:pPr>
              <w:rPr>
                <w:rFonts w:ascii="Arial" w:hAnsi="Arial" w:cs="Arial"/>
                <w:sz w:val="20"/>
                <w:szCs w:val="20"/>
              </w:rPr>
            </w:pPr>
            <w:r w:rsidRPr="004910E1">
              <w:rPr>
                <w:rFonts w:ascii="Arial" w:hAnsi="Arial" w:cs="Arial"/>
                <w:sz w:val="20"/>
                <w:szCs w:val="20"/>
              </w:rPr>
              <w:t>On CIT amount exceeding €763,000</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6E97FC7" w14:textId="77777777" w:rsidR="004910E1" w:rsidRPr="004910E1" w:rsidRDefault="004910E1" w:rsidP="004910E1">
            <w:pPr>
              <w:rPr>
                <w:rFonts w:ascii="Arial" w:hAnsi="Arial" w:cs="Arial"/>
                <w:sz w:val="20"/>
                <w:szCs w:val="20"/>
              </w:rPr>
            </w:pPr>
            <w:r w:rsidRPr="004910E1">
              <w:rPr>
                <w:rFonts w:ascii="Arial" w:hAnsi="Arial" w:cs="Arial"/>
                <w:sz w:val="20"/>
                <w:szCs w:val="20"/>
              </w:rPr>
              <w:t>3.3%</w:t>
            </w:r>
          </w:p>
        </w:tc>
      </w:tr>
      <w:tr w:rsidR="004910E1" w:rsidRPr="004910E1" w14:paraId="250222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20F47A1" w14:textId="77777777" w:rsidR="004910E1" w:rsidRPr="004910E1" w:rsidRDefault="004910E1" w:rsidP="004910E1">
            <w:pPr>
              <w:rPr>
                <w:rFonts w:ascii="Arial" w:hAnsi="Arial" w:cs="Arial"/>
                <w:sz w:val="20"/>
                <w:szCs w:val="20"/>
                <w:lang w:val="en-US"/>
              </w:rPr>
            </w:pPr>
            <w:r w:rsidRPr="004910E1">
              <w:rPr>
                <w:rFonts w:ascii="Arial" w:hAnsi="Arial" w:cs="Arial"/>
                <w:b/>
                <w:bCs/>
                <w:sz w:val="20"/>
                <w:szCs w:val="20"/>
                <w:lang w:val="en-US"/>
              </w:rPr>
              <w:t>Exceptional Contribution on CIT (Temporary)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F3BD25E" w14:textId="77777777" w:rsidR="004910E1" w:rsidRPr="004910E1" w:rsidRDefault="004910E1" w:rsidP="004910E1">
            <w:pPr>
              <w:rPr>
                <w:rFonts w:ascii="Arial" w:hAnsi="Arial" w:cs="Arial"/>
                <w:sz w:val="20"/>
                <w:szCs w:val="20"/>
              </w:rPr>
            </w:pPr>
            <w:r w:rsidRPr="004910E1">
              <w:rPr>
                <w:rFonts w:ascii="Arial" w:hAnsi="Arial" w:cs="Arial"/>
                <w:b/>
                <w:bCs/>
                <w:sz w:val="20"/>
                <w:szCs w:val="20"/>
              </w:rPr>
              <w:t>Rate</w:t>
            </w:r>
          </w:p>
        </w:tc>
      </w:tr>
      <w:tr w:rsidR="004910E1" w:rsidRPr="004910E1" w14:paraId="7257967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DF978CD"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For turnover FY 2025 or 2024 &gt; €1B and &lt; €3B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9C3986" w14:textId="77777777" w:rsidR="004910E1" w:rsidRPr="004910E1" w:rsidRDefault="004910E1" w:rsidP="004910E1">
            <w:pPr>
              <w:rPr>
                <w:rFonts w:ascii="Arial" w:hAnsi="Arial" w:cs="Arial"/>
                <w:sz w:val="20"/>
                <w:szCs w:val="20"/>
              </w:rPr>
            </w:pPr>
            <w:r w:rsidRPr="004910E1">
              <w:rPr>
                <w:rFonts w:ascii="Arial" w:hAnsi="Arial" w:cs="Arial"/>
                <w:sz w:val="20"/>
                <w:szCs w:val="20"/>
              </w:rPr>
              <w:t>20.6%</w:t>
            </w:r>
          </w:p>
        </w:tc>
      </w:tr>
      <w:tr w:rsidR="004910E1" w:rsidRPr="004910E1" w14:paraId="4E63D1E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4CD7E"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For turnover FY 2025 or 2024 ≥ €3B</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BC2852" w14:textId="77777777" w:rsidR="004910E1" w:rsidRPr="004910E1" w:rsidRDefault="004910E1" w:rsidP="004910E1">
            <w:pPr>
              <w:rPr>
                <w:rFonts w:ascii="Arial" w:hAnsi="Arial" w:cs="Arial"/>
                <w:sz w:val="20"/>
                <w:szCs w:val="20"/>
              </w:rPr>
            </w:pPr>
            <w:r w:rsidRPr="004910E1">
              <w:rPr>
                <w:rFonts w:ascii="Arial" w:hAnsi="Arial" w:cs="Arial"/>
                <w:sz w:val="20"/>
                <w:szCs w:val="20"/>
              </w:rPr>
              <w:t>41.2%</w:t>
            </w:r>
          </w:p>
        </w:tc>
      </w:tr>
      <w:tr w:rsidR="004910E1" w:rsidRPr="004910E1" w14:paraId="2FC94924"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78EF39" w14:textId="77777777" w:rsidR="004910E1" w:rsidRPr="004910E1" w:rsidRDefault="004910E1" w:rsidP="004910E1">
            <w:pPr>
              <w:rPr>
                <w:rFonts w:ascii="Arial" w:hAnsi="Arial" w:cs="Arial"/>
                <w:sz w:val="20"/>
                <w:szCs w:val="20"/>
              </w:rPr>
            </w:pPr>
            <w:r w:rsidRPr="004910E1">
              <w:rPr>
                <w:rFonts w:ascii="Arial" w:hAnsi="Arial" w:cs="Arial"/>
                <w:b/>
                <w:bCs/>
                <w:sz w:val="20"/>
                <w:szCs w:val="20"/>
              </w:rPr>
              <w:t>Effective Tax Rates (approximate)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87E4927" w14:textId="77777777" w:rsidR="004910E1" w:rsidRPr="004910E1" w:rsidRDefault="004910E1" w:rsidP="004910E1">
            <w:pPr>
              <w:rPr>
                <w:rFonts w:ascii="Arial" w:hAnsi="Arial" w:cs="Arial"/>
                <w:sz w:val="20"/>
                <w:szCs w:val="20"/>
              </w:rPr>
            </w:pPr>
            <w:r w:rsidRPr="004910E1">
              <w:rPr>
                <w:rFonts w:ascii="Arial" w:hAnsi="Arial" w:cs="Arial"/>
                <w:b/>
                <w:bCs/>
                <w:sz w:val="20"/>
                <w:szCs w:val="20"/>
              </w:rPr>
              <w:t>Rate</w:t>
            </w:r>
          </w:p>
        </w:tc>
      </w:tr>
      <w:tr w:rsidR="004910E1" w:rsidRPr="004910E1" w14:paraId="04DEAFB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807BA1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With standard CIT + social contribution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B7B50FC" w14:textId="77777777" w:rsidR="004910E1" w:rsidRPr="004910E1" w:rsidRDefault="004910E1" w:rsidP="004910E1">
            <w:pPr>
              <w:rPr>
                <w:rFonts w:ascii="Arial" w:hAnsi="Arial" w:cs="Arial"/>
                <w:sz w:val="20"/>
                <w:szCs w:val="20"/>
              </w:rPr>
            </w:pPr>
            <w:r w:rsidRPr="004910E1">
              <w:rPr>
                <w:rFonts w:ascii="Arial" w:hAnsi="Arial" w:cs="Arial"/>
                <w:sz w:val="20"/>
                <w:szCs w:val="20"/>
              </w:rPr>
              <w:t>~25.8%</w:t>
            </w:r>
          </w:p>
        </w:tc>
      </w:tr>
      <w:tr w:rsidR="004910E1" w:rsidRPr="004910E1" w14:paraId="58D2ACD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079CA0"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With standard CIT + social + exceptional (&gt;€1B turnover)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5109937" w14:textId="77777777" w:rsidR="004910E1" w:rsidRPr="004910E1" w:rsidRDefault="004910E1" w:rsidP="004910E1">
            <w:pPr>
              <w:rPr>
                <w:rFonts w:ascii="Arial" w:hAnsi="Arial" w:cs="Arial"/>
                <w:sz w:val="20"/>
                <w:szCs w:val="20"/>
              </w:rPr>
            </w:pPr>
            <w:r w:rsidRPr="004910E1">
              <w:rPr>
                <w:rFonts w:ascii="Arial" w:hAnsi="Arial" w:cs="Arial"/>
                <w:sz w:val="20"/>
                <w:szCs w:val="20"/>
              </w:rPr>
              <w:t>30.975%</w:t>
            </w:r>
          </w:p>
        </w:tc>
      </w:tr>
      <w:tr w:rsidR="004910E1" w:rsidRPr="004910E1" w14:paraId="7264ABB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53CC5F6"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With standard CIT + social + exceptional (≥€3B turnover)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8347C2" w14:textId="77777777" w:rsidR="004910E1" w:rsidRPr="004910E1" w:rsidRDefault="004910E1" w:rsidP="004910E1">
            <w:pPr>
              <w:rPr>
                <w:rFonts w:ascii="Arial" w:hAnsi="Arial" w:cs="Arial"/>
                <w:sz w:val="20"/>
                <w:szCs w:val="20"/>
              </w:rPr>
            </w:pPr>
            <w:r w:rsidRPr="004910E1">
              <w:rPr>
                <w:rFonts w:ascii="Arial" w:hAnsi="Arial" w:cs="Arial"/>
                <w:sz w:val="20"/>
                <w:szCs w:val="20"/>
              </w:rPr>
              <w:t>36.125%</w:t>
            </w:r>
          </w:p>
        </w:tc>
      </w:tr>
    </w:tbl>
    <w:p w14:paraId="1B1BE425"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Chapter 2: Incentivizing Research, Development, and Innovation</w:t>
      </w:r>
    </w:p>
    <w:p w14:paraId="180C2B7F"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French government employs a number of powerful tax incentives to stimulate research and development, recognizing it as a key driver of economic growth. These programs are designed to reduce the financial burden of innovation for companies of all sizes, from nascent startups to established multinational corporations.</w:t>
      </w:r>
    </w:p>
    <w:p w14:paraId="25ED68A0"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2.1. The Crédit d'Impôt Recherche (CIR)</w:t>
      </w:r>
    </w:p>
    <w:p w14:paraId="1FD39286"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The </w:t>
      </w:r>
      <w:r w:rsidRPr="004910E1">
        <w:rPr>
          <w:rFonts w:ascii="Arial" w:hAnsi="Arial" w:cs="Arial"/>
          <w:i/>
          <w:iCs/>
          <w:sz w:val="20"/>
          <w:szCs w:val="20"/>
          <w:lang w:val="en-US"/>
        </w:rPr>
        <w:t>Crédit d'Impôt Recherche</w:t>
      </w:r>
      <w:r w:rsidRPr="004910E1">
        <w:rPr>
          <w:rFonts w:ascii="Arial" w:hAnsi="Arial" w:cs="Arial"/>
          <w:sz w:val="20"/>
          <w:szCs w:val="20"/>
          <w:lang w:val="en-US"/>
        </w:rPr>
        <w:t xml:space="preserve"> (CIR) is a flagship tax credit that provides a significant financial incentive for companies to undertake R&amp;D activities. The eligibility of these activities is rigorously defined by the internationally recognized OECD </w:t>
      </w:r>
      <w:r w:rsidRPr="004910E1">
        <w:rPr>
          <w:rFonts w:ascii="Arial" w:hAnsi="Arial" w:cs="Arial"/>
          <w:b/>
          <w:bCs/>
          <w:sz w:val="20"/>
          <w:szCs w:val="20"/>
          <w:lang w:val="en-US"/>
        </w:rPr>
        <w:t>Frascati Manual</w:t>
      </w:r>
      <w:r w:rsidRPr="004910E1">
        <w:rPr>
          <w:rFonts w:ascii="Arial" w:hAnsi="Arial" w:cs="Arial"/>
          <w:sz w:val="20"/>
          <w:szCs w:val="20"/>
          <w:lang w:val="en-US"/>
        </w:rPr>
        <w:t>.</w:t>
      </w:r>
      <w:r w:rsidRPr="004910E1">
        <w:rPr>
          <w:rFonts w:ascii="Arial" w:hAnsi="Arial" w:cs="Arial"/>
          <w:sz w:val="20"/>
          <w:szCs w:val="20"/>
          <w:vertAlign w:val="superscript"/>
          <w:lang w:val="en-US"/>
        </w:rPr>
        <w:t>4</w:t>
      </w:r>
      <w:r w:rsidRPr="004910E1">
        <w:rPr>
          <w:rFonts w:ascii="Arial" w:hAnsi="Arial" w:cs="Arial"/>
          <w:sz w:val="20"/>
          <w:szCs w:val="20"/>
          <w:lang w:val="en-US"/>
        </w:rPr>
        <w:t xml:space="preserve"> This means that projects must demonstrate novelty, creativity, and technical or scientific uncertainty.</w:t>
      </w:r>
      <w:r w:rsidRPr="004910E1">
        <w:rPr>
          <w:rFonts w:ascii="Arial" w:hAnsi="Arial" w:cs="Arial"/>
          <w:sz w:val="20"/>
          <w:szCs w:val="20"/>
          <w:vertAlign w:val="superscript"/>
          <w:lang w:val="en-US"/>
        </w:rPr>
        <w:t>4</w:t>
      </w:r>
      <w:r w:rsidRPr="004910E1">
        <w:rPr>
          <w:rFonts w:ascii="Arial" w:hAnsi="Arial" w:cs="Arial"/>
          <w:sz w:val="20"/>
          <w:szCs w:val="20"/>
          <w:lang w:val="en-US"/>
        </w:rPr>
        <w:t xml:space="preserve"> Eligible R&amp;D activities fall into three distinct categories: fundamental research, applied research, and experimental development.</w:t>
      </w:r>
      <w:r w:rsidRPr="004910E1">
        <w:rPr>
          <w:rFonts w:ascii="Arial" w:hAnsi="Arial" w:cs="Arial"/>
          <w:sz w:val="20"/>
          <w:szCs w:val="20"/>
          <w:vertAlign w:val="superscript"/>
          <w:lang w:val="en-US"/>
        </w:rPr>
        <w:t>5</w:t>
      </w:r>
    </w:p>
    <w:p w14:paraId="12A8F4B3"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CIR is calculated annually based on the calendar year, a crucial detail that applies regardless of a company's chosen fiscal year-end.</w:t>
      </w:r>
      <w:r w:rsidRPr="004910E1">
        <w:rPr>
          <w:rFonts w:ascii="Arial" w:hAnsi="Arial" w:cs="Arial"/>
          <w:sz w:val="20"/>
          <w:szCs w:val="20"/>
          <w:vertAlign w:val="superscript"/>
          <w:lang w:val="en-US"/>
        </w:rPr>
        <w:t>4</w:t>
      </w:r>
      <w:r w:rsidRPr="004910E1">
        <w:rPr>
          <w:rFonts w:ascii="Arial" w:hAnsi="Arial" w:cs="Arial"/>
          <w:sz w:val="20"/>
          <w:szCs w:val="20"/>
          <w:lang w:val="en-US"/>
        </w:rPr>
        <w:t xml:space="preserve"> The calculation method and rates vary by location:</w:t>
      </w:r>
    </w:p>
    <w:p w14:paraId="76C03E95" w14:textId="77777777" w:rsidR="004910E1" w:rsidRPr="004910E1" w:rsidRDefault="004910E1" w:rsidP="004910E1">
      <w:pPr>
        <w:numPr>
          <w:ilvl w:val="0"/>
          <w:numId w:val="1"/>
        </w:numPr>
        <w:rPr>
          <w:rFonts w:ascii="Arial" w:hAnsi="Arial" w:cs="Arial"/>
          <w:sz w:val="20"/>
          <w:szCs w:val="20"/>
          <w:lang w:val="en-US"/>
        </w:rPr>
      </w:pPr>
      <w:r w:rsidRPr="004910E1">
        <w:rPr>
          <w:rFonts w:ascii="Arial" w:hAnsi="Arial" w:cs="Arial"/>
          <w:sz w:val="20"/>
          <w:szCs w:val="20"/>
          <w:lang w:val="en-US"/>
        </w:rPr>
        <w:t xml:space="preserve">For R&amp;D expenses in </w:t>
      </w:r>
      <w:r w:rsidRPr="004910E1">
        <w:rPr>
          <w:rFonts w:ascii="Arial" w:hAnsi="Arial" w:cs="Arial"/>
          <w:b/>
          <w:bCs/>
          <w:sz w:val="20"/>
          <w:szCs w:val="20"/>
          <w:lang w:val="en-US"/>
        </w:rPr>
        <w:t>Metropolitan France</w:t>
      </w:r>
      <w:r w:rsidRPr="004910E1">
        <w:rPr>
          <w:rFonts w:ascii="Arial" w:hAnsi="Arial" w:cs="Arial"/>
          <w:sz w:val="20"/>
          <w:szCs w:val="20"/>
          <w:lang w:val="en-US"/>
        </w:rPr>
        <w:t>, the rate is 30% for the portion of expenses up to €100 million, and 5% for expenses that exceed this amount.</w:t>
      </w:r>
      <w:r w:rsidRPr="004910E1">
        <w:rPr>
          <w:rFonts w:ascii="Arial" w:hAnsi="Arial" w:cs="Arial"/>
          <w:sz w:val="20"/>
          <w:szCs w:val="20"/>
          <w:vertAlign w:val="superscript"/>
          <w:lang w:val="en-US"/>
        </w:rPr>
        <w:t>4</w:t>
      </w:r>
    </w:p>
    <w:p w14:paraId="482DC5E0" w14:textId="77777777" w:rsidR="004910E1" w:rsidRPr="004910E1" w:rsidRDefault="004910E1" w:rsidP="004910E1">
      <w:pPr>
        <w:numPr>
          <w:ilvl w:val="0"/>
          <w:numId w:val="1"/>
        </w:numPr>
        <w:rPr>
          <w:rFonts w:ascii="Arial" w:hAnsi="Arial" w:cs="Arial"/>
          <w:sz w:val="20"/>
          <w:szCs w:val="20"/>
          <w:lang w:val="en-US"/>
        </w:rPr>
      </w:pPr>
      <w:r w:rsidRPr="004910E1">
        <w:rPr>
          <w:rFonts w:ascii="Arial" w:hAnsi="Arial" w:cs="Arial"/>
          <w:sz w:val="20"/>
          <w:szCs w:val="20"/>
          <w:lang w:val="en-US"/>
        </w:rPr>
        <w:t xml:space="preserve">For R&amp;D expenses in </w:t>
      </w:r>
      <w:r w:rsidRPr="004910E1">
        <w:rPr>
          <w:rFonts w:ascii="Arial" w:hAnsi="Arial" w:cs="Arial"/>
          <w:b/>
          <w:bCs/>
          <w:sz w:val="20"/>
          <w:szCs w:val="20"/>
          <w:lang w:val="en-US"/>
        </w:rPr>
        <w:t>Overseas Departments</w:t>
      </w:r>
      <w:r w:rsidRPr="004910E1">
        <w:rPr>
          <w:rFonts w:ascii="Arial" w:hAnsi="Arial" w:cs="Arial"/>
          <w:sz w:val="20"/>
          <w:szCs w:val="20"/>
          <w:lang w:val="en-US"/>
        </w:rPr>
        <w:t>, the rate is 50% on the first €100 million, and 5% on the portion thereafter.</w:t>
      </w:r>
      <w:r w:rsidRPr="004910E1">
        <w:rPr>
          <w:rFonts w:ascii="Arial" w:hAnsi="Arial" w:cs="Arial"/>
          <w:sz w:val="20"/>
          <w:szCs w:val="20"/>
          <w:vertAlign w:val="superscript"/>
          <w:lang w:val="en-US"/>
        </w:rPr>
        <w:t>4</w:t>
      </w:r>
    </w:p>
    <w:p w14:paraId="1F0D0402"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To claim the CIR, companies must adhere to a specific administrative process. They are required to declare their eligible expenses using </w:t>
      </w:r>
      <w:r w:rsidRPr="004910E1">
        <w:rPr>
          <w:rFonts w:ascii="Arial" w:hAnsi="Arial" w:cs="Arial"/>
          <w:b/>
          <w:bCs/>
          <w:sz w:val="20"/>
          <w:szCs w:val="20"/>
          <w:lang w:val="en-US"/>
        </w:rPr>
        <w:t>Form no. 2069-A-SD</w:t>
      </w:r>
      <w:r w:rsidRPr="004910E1">
        <w:rPr>
          <w:rFonts w:ascii="Arial" w:hAnsi="Arial" w:cs="Arial"/>
          <w:sz w:val="20"/>
          <w:szCs w:val="20"/>
          <w:lang w:val="en-US"/>
        </w:rPr>
        <w:t>. The deadline for this submission depends on the company's tax regime: no later than the 15th of the fourth month following the close of the fiscal year for companies subject to corporate tax (IS), or no later than 15 days after the second working day following May 1st for those subject to income tax (IR).</w:t>
      </w:r>
      <w:r w:rsidRPr="004910E1">
        <w:rPr>
          <w:rFonts w:ascii="Arial" w:hAnsi="Arial" w:cs="Arial"/>
          <w:sz w:val="20"/>
          <w:szCs w:val="20"/>
          <w:vertAlign w:val="superscript"/>
          <w:lang w:val="en-US"/>
        </w:rPr>
        <w:t>5</w:t>
      </w:r>
    </w:p>
    <w:p w14:paraId="515F8E34"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generous rates of the CIR are coupled with a demand for meticulous, scientifically sound documentation. The reference to the Frascati Manual is not a mere formality; it signals that the French tax authorities will scrutinize the scientific and technical uncertainty of a project, not just its business goals.</w:t>
      </w:r>
      <w:r w:rsidRPr="004910E1">
        <w:rPr>
          <w:rFonts w:ascii="Arial" w:hAnsi="Arial" w:cs="Arial"/>
          <w:sz w:val="20"/>
          <w:szCs w:val="20"/>
          <w:vertAlign w:val="superscript"/>
          <w:lang w:val="en-US"/>
        </w:rPr>
        <w:t>4</w:t>
      </w:r>
      <w:r w:rsidRPr="004910E1">
        <w:rPr>
          <w:rFonts w:ascii="Arial" w:hAnsi="Arial" w:cs="Arial"/>
          <w:sz w:val="20"/>
          <w:szCs w:val="20"/>
          <w:lang w:val="en-US"/>
        </w:rPr>
        <w:t xml:space="preserve"> To successfully claim the credit and withstand a potential audit, companies must maintain a robust audit trail that documents all aspects of the R&amp;D process, from initial hypotheses to final results and the resources dedicated to them.</w:t>
      </w:r>
      <w:r w:rsidRPr="004910E1">
        <w:rPr>
          <w:rFonts w:ascii="Arial" w:hAnsi="Arial" w:cs="Arial"/>
          <w:sz w:val="20"/>
          <w:szCs w:val="20"/>
          <w:vertAlign w:val="superscript"/>
          <w:lang w:val="en-US"/>
        </w:rPr>
        <w:t>5</w:t>
      </w:r>
    </w:p>
    <w:p w14:paraId="59DF33AF"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2.2. The Jeune Entreprise Innovante (JEI) Status</w:t>
      </w:r>
    </w:p>
    <w:p w14:paraId="62CEB5C3"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The </w:t>
      </w:r>
      <w:r w:rsidRPr="004910E1">
        <w:rPr>
          <w:rFonts w:ascii="Arial" w:hAnsi="Arial" w:cs="Arial"/>
          <w:i/>
          <w:iCs/>
          <w:sz w:val="20"/>
          <w:szCs w:val="20"/>
          <w:lang w:val="en-US"/>
        </w:rPr>
        <w:t>Jeune Entreprise Innovante</w:t>
      </w:r>
      <w:r w:rsidRPr="004910E1">
        <w:rPr>
          <w:rFonts w:ascii="Arial" w:hAnsi="Arial" w:cs="Arial"/>
          <w:sz w:val="20"/>
          <w:szCs w:val="20"/>
          <w:lang w:val="en-US"/>
        </w:rPr>
        <w:t xml:space="preserve"> (JEI) status provides a powerful tool for startups to reduce labor costs and free up capital for growth. To qualify, a company must be a small or medium-sized enterprise that meets specific age and R&amp;D expenditure criteria.</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A company created before January 1, 2023, must have been in existence for less than 11 years, while a company created on or after that date must be less than 8 years old.</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A key condition is that its research expenses must amount to at least 20% of its total tax-deductible expenses.</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It is important to note that for fiscal years closing before March 1, 2025, a lower ratio of 5% to 15% was in effect.</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This change in criteria indicates a policy shift toward focusing benefits on more R&amp;D-intensive ventures.</w:t>
      </w:r>
    </w:p>
    <w:p w14:paraId="2F1FD6F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primary benefit of JEI status is an exemption from specific employer social contributions, which applies to the salaries of eligible employees and corporate officers.</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These exemptions cover contributions for social insurance (illness, maternity, disability, old age) and family allowances.</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There are, however, limitations; contributions for unemployment, work accidents, and other payroll taxes are not exempt.</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The benefit is capped at a salary of 4.5 times the minimum wage (</w:t>
      </w:r>
    </w:p>
    <w:p w14:paraId="73870631" w14:textId="77777777" w:rsidR="004910E1" w:rsidRPr="004910E1" w:rsidRDefault="004910E1" w:rsidP="004910E1">
      <w:pPr>
        <w:rPr>
          <w:rFonts w:ascii="Arial" w:hAnsi="Arial" w:cs="Arial"/>
          <w:sz w:val="20"/>
          <w:szCs w:val="20"/>
          <w:lang w:val="en-US"/>
        </w:rPr>
      </w:pPr>
      <w:r w:rsidRPr="004910E1">
        <w:rPr>
          <w:rFonts w:ascii="Arial" w:hAnsi="Arial" w:cs="Arial"/>
          <w:i/>
          <w:iCs/>
          <w:sz w:val="20"/>
          <w:szCs w:val="20"/>
          <w:lang w:val="en-US"/>
        </w:rPr>
        <w:t>Smic</w:t>
      </w:r>
      <w:r w:rsidRPr="004910E1">
        <w:rPr>
          <w:rFonts w:ascii="Arial" w:hAnsi="Arial" w:cs="Arial"/>
          <w:sz w:val="20"/>
          <w:szCs w:val="20"/>
          <w:lang w:val="en-US"/>
        </w:rPr>
        <w:t>) and cannot be combined with other state employment subsidies.</w:t>
      </w:r>
      <w:r w:rsidRPr="004910E1">
        <w:rPr>
          <w:rFonts w:ascii="Arial" w:hAnsi="Arial" w:cs="Arial"/>
          <w:sz w:val="20"/>
          <w:szCs w:val="20"/>
          <w:vertAlign w:val="superscript"/>
          <w:lang w:val="en-US"/>
        </w:rPr>
        <w:t>6</w:t>
      </w:r>
    </w:p>
    <w:p w14:paraId="1E0569AF"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An important procedural aspect of the JEI status is that there is no formal application to the social security agency (Urssaf) to receive the exemption.</w:t>
      </w:r>
      <w:r w:rsidRPr="004910E1">
        <w:rPr>
          <w:rFonts w:ascii="Arial" w:hAnsi="Arial" w:cs="Arial"/>
          <w:sz w:val="20"/>
          <w:szCs w:val="20"/>
          <w:vertAlign w:val="superscript"/>
          <w:lang w:val="en-US"/>
        </w:rPr>
        <w:t>6</w:t>
      </w:r>
      <w:r w:rsidRPr="004910E1">
        <w:rPr>
          <w:rFonts w:ascii="Arial" w:hAnsi="Arial" w:cs="Arial"/>
          <w:sz w:val="20"/>
          <w:szCs w:val="20"/>
          <w:lang w:val="en-US"/>
        </w:rPr>
        <w:t xml:space="preserve"> Companies that meet the criteria can apply the exemption on a monthly basis by using specific personnel type codes (CTP) in their Social Nominative Declaration (DSN). To mitigate legal risk, companies can, on an optional basis, send a request for an opinion to the tax authorities to confirm their eligibility. The decision issued by the tax administration within three months is legally binding on Urssaf, providing a layer of legal certainty.</w:t>
      </w:r>
      <w:r w:rsidRPr="004910E1">
        <w:rPr>
          <w:rFonts w:ascii="Arial" w:hAnsi="Arial" w:cs="Arial"/>
          <w:sz w:val="20"/>
          <w:szCs w:val="20"/>
          <w:vertAlign w:val="superscript"/>
          <w:lang w:val="en-US"/>
        </w:rPr>
        <w:t>6</w:t>
      </w:r>
    </w:p>
    <w:tbl>
      <w:tblPr>
        <w:tblW w:w="0" w:type="auto"/>
        <w:tblCellSpacing w:w="15" w:type="dxa"/>
        <w:tblCellMar>
          <w:left w:w="0" w:type="dxa"/>
          <w:right w:w="0" w:type="dxa"/>
        </w:tblCellMar>
        <w:tblLook w:val="04A0" w:firstRow="1" w:lastRow="0" w:firstColumn="1" w:lastColumn="0" w:noHBand="0" w:noVBand="1"/>
      </w:tblPr>
      <w:tblGrid>
        <w:gridCol w:w="2520"/>
        <w:gridCol w:w="6536"/>
      </w:tblGrid>
      <w:tr w:rsidR="004910E1" w:rsidRPr="00587E7D" w14:paraId="4B649EDD"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0B416FF"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R&amp;D Tax Credit (CIR) Calculation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7E305DC" w14:textId="77777777" w:rsidR="004910E1" w:rsidRPr="004910E1" w:rsidRDefault="004910E1" w:rsidP="004910E1">
            <w:pPr>
              <w:rPr>
                <w:rFonts w:ascii="Arial" w:hAnsi="Arial" w:cs="Arial"/>
                <w:sz w:val="20"/>
                <w:szCs w:val="20"/>
                <w:lang w:val="en-US"/>
              </w:rPr>
            </w:pPr>
          </w:p>
        </w:tc>
      </w:tr>
      <w:tr w:rsidR="004910E1" w:rsidRPr="004910E1" w14:paraId="0D8576F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2F6B3C" w14:textId="77777777" w:rsidR="004910E1" w:rsidRPr="004910E1" w:rsidRDefault="004910E1" w:rsidP="004910E1">
            <w:pPr>
              <w:rPr>
                <w:rFonts w:ascii="Arial" w:hAnsi="Arial" w:cs="Arial"/>
                <w:sz w:val="20"/>
                <w:szCs w:val="20"/>
              </w:rPr>
            </w:pPr>
            <w:r w:rsidRPr="004910E1">
              <w:rPr>
                <w:rFonts w:ascii="Arial" w:hAnsi="Arial" w:cs="Arial"/>
                <w:b/>
                <w:bCs/>
                <w:sz w:val="20"/>
                <w:szCs w:val="20"/>
              </w:rPr>
              <w:t>Location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2C31CCAB" w14:textId="77777777" w:rsidR="004910E1" w:rsidRPr="004910E1" w:rsidRDefault="004910E1" w:rsidP="004910E1">
            <w:pPr>
              <w:rPr>
                <w:rFonts w:ascii="Arial" w:hAnsi="Arial" w:cs="Arial"/>
                <w:sz w:val="20"/>
                <w:szCs w:val="20"/>
              </w:rPr>
            </w:pPr>
            <w:r w:rsidRPr="004910E1">
              <w:rPr>
                <w:rFonts w:ascii="Arial" w:hAnsi="Arial" w:cs="Arial"/>
                <w:b/>
                <w:bCs/>
                <w:sz w:val="20"/>
                <w:szCs w:val="20"/>
              </w:rPr>
              <w:t>CIR Rate</w:t>
            </w:r>
          </w:p>
        </w:tc>
      </w:tr>
      <w:tr w:rsidR="004910E1" w:rsidRPr="00587E7D" w14:paraId="4349A57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430C594" w14:textId="77777777" w:rsidR="004910E1" w:rsidRPr="004910E1" w:rsidRDefault="004910E1" w:rsidP="004910E1">
            <w:pPr>
              <w:rPr>
                <w:rFonts w:ascii="Arial" w:hAnsi="Arial" w:cs="Arial"/>
                <w:sz w:val="20"/>
                <w:szCs w:val="20"/>
              </w:rPr>
            </w:pPr>
            <w:r w:rsidRPr="004910E1">
              <w:rPr>
                <w:rFonts w:ascii="Arial" w:hAnsi="Arial" w:cs="Arial"/>
                <w:sz w:val="20"/>
                <w:szCs w:val="20"/>
              </w:rPr>
              <w:t>Metropolitan France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E18AA49"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30% for expenses ≤ €100M, then 5% thereafter</w:t>
            </w:r>
          </w:p>
        </w:tc>
      </w:tr>
      <w:tr w:rsidR="004910E1" w:rsidRPr="00587E7D" w14:paraId="4982A14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B5D6BEB" w14:textId="77777777" w:rsidR="004910E1" w:rsidRPr="004910E1" w:rsidRDefault="004910E1" w:rsidP="004910E1">
            <w:pPr>
              <w:rPr>
                <w:rFonts w:ascii="Arial" w:hAnsi="Arial" w:cs="Arial"/>
                <w:sz w:val="20"/>
                <w:szCs w:val="20"/>
              </w:rPr>
            </w:pPr>
            <w:r w:rsidRPr="004910E1">
              <w:rPr>
                <w:rFonts w:ascii="Arial" w:hAnsi="Arial" w:cs="Arial"/>
                <w:sz w:val="20"/>
                <w:szCs w:val="20"/>
              </w:rPr>
              <w:t>Overseas Departments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A01FE39"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50% for expenses ≤ €100M, then 5% thereafter</w:t>
            </w:r>
          </w:p>
        </w:tc>
      </w:tr>
      <w:tr w:rsidR="004910E1" w:rsidRPr="00587E7D" w14:paraId="63651731"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3711E92" w14:textId="77777777" w:rsidR="004910E1" w:rsidRPr="004910E1" w:rsidRDefault="004910E1" w:rsidP="004910E1">
            <w:pPr>
              <w:rPr>
                <w:rFonts w:ascii="Arial" w:hAnsi="Arial" w:cs="Arial"/>
                <w:sz w:val="20"/>
                <w:szCs w:val="20"/>
              </w:rPr>
            </w:pPr>
            <w:r w:rsidRPr="004910E1">
              <w:rPr>
                <w:rFonts w:ascii="Arial" w:hAnsi="Arial" w:cs="Arial"/>
                <w:b/>
                <w:bCs/>
                <w:sz w:val="20"/>
                <w:szCs w:val="20"/>
              </w:rPr>
              <w:t>Eligible Activities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5AE865B"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Based on the Frascati Manual, encompassing fundamental research, applied research, and experimental development.</w:t>
            </w:r>
          </w:p>
        </w:tc>
      </w:tr>
      <w:tr w:rsidR="004910E1" w:rsidRPr="00587E7D" w14:paraId="10D65CC5"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8378D3D" w14:textId="77777777" w:rsidR="004910E1" w:rsidRPr="004910E1" w:rsidRDefault="004910E1" w:rsidP="004910E1">
            <w:pPr>
              <w:rPr>
                <w:rFonts w:ascii="Arial" w:hAnsi="Arial" w:cs="Arial"/>
                <w:sz w:val="20"/>
                <w:szCs w:val="20"/>
              </w:rPr>
            </w:pPr>
            <w:r w:rsidRPr="004910E1">
              <w:rPr>
                <w:rFonts w:ascii="Arial" w:hAnsi="Arial" w:cs="Arial"/>
                <w:b/>
                <w:bCs/>
                <w:sz w:val="20"/>
                <w:szCs w:val="20"/>
              </w:rPr>
              <w:t>Calculation Period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46324037"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Calendar year (Jan 1 - Dec 31) regardless of company fiscal year.</w:t>
            </w:r>
          </w:p>
        </w:tc>
      </w:tr>
      <w:tr w:rsidR="004910E1" w:rsidRPr="00587E7D" w14:paraId="32BBB016"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B19C6E" w14:textId="77777777" w:rsidR="004910E1" w:rsidRPr="004910E1" w:rsidRDefault="004910E1" w:rsidP="004910E1">
            <w:pPr>
              <w:rPr>
                <w:rFonts w:ascii="Arial" w:hAnsi="Arial" w:cs="Arial"/>
                <w:sz w:val="20"/>
                <w:szCs w:val="20"/>
              </w:rPr>
            </w:pPr>
            <w:r w:rsidRPr="004910E1">
              <w:rPr>
                <w:rFonts w:ascii="Arial" w:hAnsi="Arial" w:cs="Arial"/>
                <w:b/>
                <w:bCs/>
                <w:sz w:val="20"/>
                <w:szCs w:val="20"/>
              </w:rPr>
              <w:t>Required Forms</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ACAD78A"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Form no. 2069-A-SD (and annexes for higher expenses).</w:t>
            </w:r>
          </w:p>
        </w:tc>
      </w:tr>
    </w:tbl>
    <w:p w14:paraId="655F057F"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Chapter 3: Value Added Tax (VAT) and Indirect Tax Compliance</w:t>
      </w:r>
    </w:p>
    <w:p w14:paraId="0962BA3F"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indirect tax landscape in France is complex, defined by multiple VAT rates and a significant push toward digital modernization. Understanding these intricacies is essential for effective fiscal management and compliance.</w:t>
      </w:r>
    </w:p>
    <w:p w14:paraId="2B8FC5F3"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3.1. VAT Rates and Compliance</w:t>
      </w:r>
    </w:p>
    <w:p w14:paraId="45A9C48F"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standard VAT rate in France is 20%, which applies to most goods and services.</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However, a multi-tiered system of reduced rates and exemptions exists, complicating compliance. There are several reduced rates: a 10% rate for certain medicines and transport, a 5.5% rate for food products and books, and a special 2.1% rate for drugs reimbursed by social security.</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Certain activities, such as financial and insurance services, are exempt from VAT altogether.</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This granular system requires a business to have a robust process for accurately classifying its products and services to ensure correct tax calculation and avoid penalties. A simple misclassification could trigger an audit and result in significant fines.</w:t>
      </w:r>
    </w:p>
    <w:p w14:paraId="1CE66E27"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 critical point for foreign businesses is that VAT registration is mandatory if they provide taxable supplies in France, regardless of their turnover.</w:t>
      </w:r>
      <w:r w:rsidRPr="004910E1">
        <w:rPr>
          <w:rFonts w:ascii="Arial" w:hAnsi="Arial" w:cs="Arial"/>
          <w:sz w:val="20"/>
          <w:szCs w:val="20"/>
          <w:vertAlign w:val="superscript"/>
          <w:lang w:val="en-US"/>
        </w:rPr>
        <w:t>3</w:t>
      </w:r>
      <w:r w:rsidRPr="004910E1">
        <w:rPr>
          <w:rFonts w:ascii="Arial" w:hAnsi="Arial" w:cs="Arial"/>
          <w:sz w:val="20"/>
          <w:szCs w:val="20"/>
          <w:lang w:val="en-US"/>
        </w:rPr>
        <w:t xml:space="preserve"> This rule ensures that all economic activity within the country is brought into the tax net.</w:t>
      </w:r>
    </w:p>
    <w:p w14:paraId="4F1C9D97"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3.2. E-Invoicing and Reporting Requirements</w:t>
      </w:r>
    </w:p>
    <w:p w14:paraId="17D69861"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French tax administration is undergoing a major digital transformation with the phased introduction of a mandatory e-invoicing system. This is a fundamental shift from traditional paper or PDF-based invoicing to a structured, data-driven system. As of January 1, 2024, all businesses are legally required to be able to accept electronic invoices.</w:t>
      </w:r>
      <w:r w:rsidRPr="004910E1">
        <w:rPr>
          <w:rFonts w:ascii="Arial" w:hAnsi="Arial" w:cs="Arial"/>
          <w:sz w:val="20"/>
          <w:szCs w:val="20"/>
          <w:vertAlign w:val="superscript"/>
          <w:lang w:val="en-US"/>
        </w:rPr>
        <w:t>8</w:t>
      </w:r>
      <w:r w:rsidRPr="004910E1">
        <w:rPr>
          <w:rFonts w:ascii="Arial" w:hAnsi="Arial" w:cs="Arial"/>
          <w:sz w:val="20"/>
          <w:szCs w:val="20"/>
          <w:lang w:val="en-US"/>
        </w:rPr>
        <w:t xml:space="preserve"> The obligation to issue these invoices will be phased in, with the full mandate expected to be in force by 2026. This initiative is a core part of the government's strategy to boost tax compliance, combat fraud, and streamline administrative processes.</w:t>
      </w:r>
      <w:r w:rsidRPr="004910E1">
        <w:rPr>
          <w:rFonts w:ascii="Arial" w:hAnsi="Arial" w:cs="Arial"/>
          <w:sz w:val="20"/>
          <w:szCs w:val="20"/>
          <w:vertAlign w:val="superscript"/>
          <w:lang w:val="en-US"/>
        </w:rPr>
        <w:t>8</w:t>
      </w:r>
    </w:p>
    <w:p w14:paraId="1EA071A5"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To be compliant, electronic invoices must be in specific formats, such as the </w:t>
      </w:r>
      <w:r w:rsidRPr="004910E1">
        <w:rPr>
          <w:rFonts w:ascii="Arial" w:hAnsi="Arial" w:cs="Arial"/>
          <w:b/>
          <w:bCs/>
          <w:sz w:val="20"/>
          <w:szCs w:val="20"/>
          <w:lang w:val="en-US"/>
        </w:rPr>
        <w:t>Cross Industry Invoice (CII)</w:t>
      </w:r>
      <w:r w:rsidRPr="004910E1">
        <w:rPr>
          <w:rFonts w:ascii="Arial" w:hAnsi="Arial" w:cs="Arial"/>
          <w:sz w:val="20"/>
          <w:szCs w:val="20"/>
          <w:lang w:val="en-US"/>
        </w:rPr>
        <w:t xml:space="preserve"> or the </w:t>
      </w:r>
      <w:r w:rsidRPr="004910E1">
        <w:rPr>
          <w:rFonts w:ascii="Arial" w:hAnsi="Arial" w:cs="Arial"/>
          <w:b/>
          <w:bCs/>
          <w:sz w:val="20"/>
          <w:szCs w:val="20"/>
          <w:lang w:val="en-US"/>
        </w:rPr>
        <w:t>Universal Business Language (UBL)</w:t>
      </w:r>
      <w:r w:rsidRPr="004910E1">
        <w:rPr>
          <w:rFonts w:ascii="Arial" w:hAnsi="Arial" w:cs="Arial"/>
          <w:sz w:val="20"/>
          <w:szCs w:val="20"/>
          <w:lang w:val="en-US"/>
        </w:rPr>
        <w:t>, or a mixed XML/PDF format.</w:t>
      </w:r>
      <w:r w:rsidRPr="004910E1">
        <w:rPr>
          <w:rFonts w:ascii="Arial" w:hAnsi="Arial" w:cs="Arial"/>
          <w:sz w:val="20"/>
          <w:szCs w:val="20"/>
          <w:vertAlign w:val="superscript"/>
          <w:lang w:val="en-US"/>
        </w:rPr>
        <w:t>8</w:t>
      </w:r>
      <w:r w:rsidRPr="004910E1">
        <w:rPr>
          <w:rFonts w:ascii="Arial" w:hAnsi="Arial" w:cs="Arial"/>
          <w:sz w:val="20"/>
          <w:szCs w:val="20"/>
          <w:lang w:val="en-US"/>
        </w:rPr>
        <w:t xml:space="preserve"> Businesses can transmit these invoices and associated data to the tax authorities via one of the public-private Partner Digitization Platforms (PDPs) or through the public invoicing portal, Chorus Pro.</w:t>
      </w:r>
      <w:r w:rsidRPr="004910E1">
        <w:rPr>
          <w:rFonts w:ascii="Arial" w:hAnsi="Arial" w:cs="Arial"/>
          <w:sz w:val="20"/>
          <w:szCs w:val="20"/>
          <w:vertAlign w:val="superscript"/>
          <w:lang w:val="en-US"/>
        </w:rPr>
        <w:t>8</w:t>
      </w:r>
      <w:r w:rsidRPr="004910E1">
        <w:rPr>
          <w:rFonts w:ascii="Arial" w:hAnsi="Arial" w:cs="Arial"/>
          <w:sz w:val="20"/>
          <w:szCs w:val="20"/>
          <w:lang w:val="en-US"/>
        </w:rPr>
        <w:t xml:space="preserve"> A crucial requirement is to maintain a "reliable audit trail" that guarantees the integrity and authenticity of digital documents, ensuring they cannot be altered after creation.</w:t>
      </w:r>
    </w:p>
    <w:p w14:paraId="0C348775"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The move to mandatory e-invoicing is a profound administrative shift for businesses. It is not merely an IT upgrade but a re-engineering of financial processes. It necessitates investment in new software, staff training, and the implementation of internal controls to manage and validate electronic documents. The government's move from a post-facto audit model to a real-time, data-driven compliance system means that businesses must ensure their systems are capable of handling these new requirements accurately from the outset.</w:t>
      </w:r>
    </w:p>
    <w:p w14:paraId="563D560A"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Chapter 4: Tax Administration, Audits, and Penalties</w:t>
      </w:r>
    </w:p>
    <w:p w14:paraId="0A1AA2DD"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This chapter provides a detailed overview of the administrative obligations for companies in France, focusing on tax filing procedures, deadlines, and the increasingly rigorous framework for audits and penalties.</w:t>
      </w:r>
    </w:p>
    <w:p w14:paraId="3AE6BAF9" w14:textId="77777777" w:rsidR="004910E1" w:rsidRPr="004910E1" w:rsidRDefault="004910E1" w:rsidP="004910E1">
      <w:pPr>
        <w:rPr>
          <w:rFonts w:ascii="Arial" w:hAnsi="Arial" w:cs="Arial"/>
          <w:b/>
          <w:bCs/>
          <w:sz w:val="20"/>
          <w:szCs w:val="20"/>
          <w:lang w:val="en-US"/>
        </w:rPr>
      </w:pPr>
      <w:r w:rsidRPr="004910E1">
        <w:rPr>
          <w:rFonts w:ascii="Arial" w:hAnsi="Arial" w:cs="Arial"/>
          <w:b/>
          <w:bCs/>
          <w:sz w:val="20"/>
          <w:szCs w:val="20"/>
          <w:lang w:val="en-US"/>
        </w:rPr>
        <w:t>4.1. Tax Filing Procedures and Deadlines</w:t>
      </w:r>
    </w:p>
    <w:p w14:paraId="409FAF42"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 xml:space="preserve">The annual corporate tax return, known as the </w:t>
      </w:r>
      <w:r w:rsidRPr="004910E1">
        <w:rPr>
          <w:rFonts w:ascii="Arial" w:hAnsi="Arial" w:cs="Arial"/>
          <w:i/>
          <w:iCs/>
          <w:sz w:val="20"/>
          <w:szCs w:val="20"/>
          <w:lang w:val="en-US"/>
        </w:rPr>
        <w:t>Liasse Fiscale</w:t>
      </w:r>
      <w:r w:rsidRPr="004910E1">
        <w:rPr>
          <w:rFonts w:ascii="Arial" w:hAnsi="Arial" w:cs="Arial"/>
          <w:sz w:val="20"/>
          <w:szCs w:val="20"/>
          <w:lang w:val="en-US"/>
        </w:rPr>
        <w:t>, is a mandatory set of documents that all companies under a real tax regime must submit.</w:t>
      </w:r>
      <w:r w:rsidRPr="004910E1">
        <w:rPr>
          <w:rFonts w:ascii="Arial" w:hAnsi="Arial" w:cs="Arial"/>
          <w:sz w:val="20"/>
          <w:szCs w:val="20"/>
          <w:vertAlign w:val="superscript"/>
          <w:lang w:val="en-US"/>
        </w:rPr>
        <w:t>5</w:t>
      </w:r>
      <w:r w:rsidRPr="004910E1">
        <w:rPr>
          <w:rFonts w:ascii="Arial" w:hAnsi="Arial" w:cs="Arial"/>
          <w:sz w:val="20"/>
          <w:szCs w:val="20"/>
          <w:lang w:val="en-US"/>
        </w:rPr>
        <w:t xml:space="preserve"> This package includes the balance sheet, income statement, and various annexes detailing fixed assets, depreciation, provisions, and capital gains.</w:t>
      </w:r>
      <w:r w:rsidRPr="004910E1">
        <w:rPr>
          <w:rFonts w:ascii="Arial" w:hAnsi="Arial" w:cs="Arial"/>
          <w:sz w:val="20"/>
          <w:szCs w:val="20"/>
          <w:vertAlign w:val="superscript"/>
          <w:lang w:val="en-US"/>
        </w:rPr>
        <w:t>9</w:t>
      </w:r>
      <w:r w:rsidRPr="004910E1">
        <w:rPr>
          <w:rFonts w:ascii="Arial" w:hAnsi="Arial" w:cs="Arial"/>
          <w:sz w:val="20"/>
          <w:szCs w:val="20"/>
          <w:lang w:val="en-US"/>
        </w:rPr>
        <w:t xml:space="preserve"> For companies with a fiscal year ending on December 31st, the deadline for filing is May 15th of the following year.</w:t>
      </w:r>
      <w:r w:rsidRPr="004910E1">
        <w:rPr>
          <w:rFonts w:ascii="Arial" w:hAnsi="Arial" w:cs="Arial"/>
          <w:sz w:val="20"/>
          <w:szCs w:val="20"/>
          <w:vertAlign w:val="superscript"/>
          <w:lang w:val="en-US"/>
        </w:rPr>
        <w:t>10</w:t>
      </w:r>
      <w:r w:rsidRPr="004910E1">
        <w:rPr>
          <w:rFonts w:ascii="Arial" w:hAnsi="Arial" w:cs="Arial"/>
          <w:sz w:val="20"/>
          <w:szCs w:val="20"/>
          <w:lang w:val="en-US"/>
        </w:rPr>
        <w:t xml:space="preserve"> For companies with a different fiscal year-end, the deadline is within three months of the closing date.</w:t>
      </w:r>
      <w:r w:rsidRPr="004910E1">
        <w:rPr>
          <w:rFonts w:ascii="Arial" w:hAnsi="Arial" w:cs="Arial"/>
          <w:sz w:val="20"/>
          <w:szCs w:val="20"/>
          <w:vertAlign w:val="superscript"/>
          <w:lang w:val="en-US"/>
        </w:rPr>
        <w:t>11</w:t>
      </w:r>
    </w:p>
    <w:p w14:paraId="491357C9"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Electronic filing is mandatory for all companies, and two main methods are available: EFI mode (Electronic Form Exchange), which involves using a personal account on the tax website, and EDI mode (Electronic Data Interchange), which is used by approved accountants or accounting software to automatically transfer data.</w:t>
      </w:r>
      <w:r w:rsidRPr="004910E1">
        <w:rPr>
          <w:rFonts w:ascii="Arial" w:hAnsi="Arial" w:cs="Arial"/>
          <w:sz w:val="20"/>
          <w:szCs w:val="20"/>
          <w:vertAlign w:val="superscript"/>
          <w:lang w:val="en-US"/>
        </w:rPr>
        <w:t>9</w:t>
      </w:r>
    </w:p>
    <w:p w14:paraId="061B8793"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 critical point of distinction for a foreign company operating in France is the dual digital ecosystem for tax administration. While the impots.gouv.fr portal is used for filing corporate taxes and managing other tax-related procedures, a separate platform, net-entreprises.fr, serves as the official and sole channel for filing and paying payroll-related social contributions and withholding tax.</w:t>
      </w:r>
      <w:r w:rsidRPr="004910E1">
        <w:rPr>
          <w:rFonts w:ascii="Arial" w:hAnsi="Arial" w:cs="Arial"/>
          <w:sz w:val="20"/>
          <w:szCs w:val="20"/>
          <w:vertAlign w:val="superscript"/>
          <w:lang w:val="en-US"/>
        </w:rPr>
        <w:t>12</w:t>
      </w:r>
      <w:r w:rsidRPr="004910E1">
        <w:rPr>
          <w:rFonts w:ascii="Arial" w:hAnsi="Arial" w:cs="Arial"/>
          <w:sz w:val="20"/>
          <w:szCs w:val="20"/>
          <w:lang w:val="en-US"/>
        </w:rPr>
        <w:t xml:space="preserve"> This means a company must manage its compliance across two distinct government platforms. Companies must also have a bank account in the SEPA area to pay their withholding taxes via direct debit.</w:t>
      </w:r>
      <w:r w:rsidRPr="004910E1">
        <w:rPr>
          <w:rFonts w:ascii="Arial" w:hAnsi="Arial" w:cs="Arial"/>
          <w:sz w:val="20"/>
          <w:szCs w:val="20"/>
          <w:vertAlign w:val="superscript"/>
          <w:lang w:val="en-US"/>
        </w:rPr>
        <w:t>12</w:t>
      </w:r>
    </w:p>
    <w:tbl>
      <w:tblPr>
        <w:tblW w:w="0" w:type="auto"/>
        <w:tblCellSpacing w:w="15" w:type="dxa"/>
        <w:tblCellMar>
          <w:left w:w="0" w:type="dxa"/>
          <w:right w:w="0" w:type="dxa"/>
        </w:tblCellMar>
        <w:tblLook w:val="04A0" w:firstRow="1" w:lastRow="0" w:firstColumn="1" w:lastColumn="0" w:noHBand="0" w:noVBand="1"/>
      </w:tblPr>
      <w:tblGrid>
        <w:gridCol w:w="4308"/>
        <w:gridCol w:w="4748"/>
      </w:tblGrid>
      <w:tr w:rsidR="004910E1" w:rsidRPr="00587E7D" w14:paraId="11AB9DA5"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92CC5CD"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Key Tax Filing Deadlines for 2025</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5AD3A89" w14:textId="77777777" w:rsidR="004910E1" w:rsidRPr="004910E1" w:rsidRDefault="004910E1" w:rsidP="004910E1">
            <w:pPr>
              <w:rPr>
                <w:rFonts w:ascii="Arial" w:hAnsi="Arial" w:cs="Arial"/>
                <w:sz w:val="20"/>
                <w:szCs w:val="20"/>
                <w:lang w:val="en-US"/>
              </w:rPr>
            </w:pPr>
          </w:p>
        </w:tc>
      </w:tr>
      <w:tr w:rsidR="004910E1" w:rsidRPr="004910E1" w14:paraId="74A81F8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FCB90CA" w14:textId="77777777" w:rsidR="004910E1" w:rsidRPr="004910E1" w:rsidRDefault="004910E1" w:rsidP="004910E1">
            <w:pPr>
              <w:rPr>
                <w:rFonts w:ascii="Arial" w:hAnsi="Arial" w:cs="Arial"/>
                <w:sz w:val="20"/>
                <w:szCs w:val="20"/>
              </w:rPr>
            </w:pPr>
            <w:r w:rsidRPr="004910E1">
              <w:rPr>
                <w:rFonts w:ascii="Arial" w:hAnsi="Arial" w:cs="Arial"/>
                <w:b/>
                <w:bCs/>
                <w:sz w:val="20"/>
                <w:szCs w:val="20"/>
              </w:rPr>
              <w:t>Tax Return Type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F7E8B05" w14:textId="77777777" w:rsidR="004910E1" w:rsidRPr="004910E1" w:rsidRDefault="004910E1" w:rsidP="004910E1">
            <w:pPr>
              <w:rPr>
                <w:rFonts w:ascii="Arial" w:hAnsi="Arial" w:cs="Arial"/>
                <w:sz w:val="20"/>
                <w:szCs w:val="20"/>
              </w:rPr>
            </w:pPr>
            <w:r w:rsidRPr="004910E1">
              <w:rPr>
                <w:rFonts w:ascii="Arial" w:hAnsi="Arial" w:cs="Arial"/>
                <w:b/>
                <w:bCs/>
                <w:sz w:val="20"/>
                <w:szCs w:val="20"/>
              </w:rPr>
              <w:t>Deadline</w:t>
            </w:r>
          </w:p>
        </w:tc>
      </w:tr>
      <w:tr w:rsidR="004910E1" w:rsidRPr="00A37C64" w14:paraId="52A3895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0CF2ACD" w14:textId="77777777" w:rsidR="004910E1" w:rsidRPr="004910E1" w:rsidRDefault="004910E1" w:rsidP="004910E1">
            <w:pPr>
              <w:rPr>
                <w:rFonts w:ascii="Arial" w:hAnsi="Arial" w:cs="Arial"/>
                <w:sz w:val="20"/>
                <w:szCs w:val="20"/>
                <w:lang w:val="en-US"/>
              </w:rPr>
            </w:pPr>
            <w:r w:rsidRPr="004910E1">
              <w:rPr>
                <w:rFonts w:ascii="Arial" w:hAnsi="Arial" w:cs="Arial"/>
                <w:sz w:val="20"/>
                <w:szCs w:val="20"/>
                <w:lang w:val="en-US"/>
              </w:rPr>
              <w:t>Annual Corporate Tax Return (</w:t>
            </w:r>
            <w:r w:rsidRPr="004910E1">
              <w:rPr>
                <w:rFonts w:ascii="Arial" w:hAnsi="Arial" w:cs="Arial"/>
                <w:i/>
                <w:iCs/>
                <w:sz w:val="20"/>
                <w:szCs w:val="20"/>
                <w:lang w:val="en-US"/>
              </w:rPr>
              <w:t>Liasse Fiscale</w:t>
            </w:r>
            <w:r w:rsidRPr="004910E1">
              <w:rPr>
                <w:rFonts w:ascii="Arial" w:hAnsi="Arial" w:cs="Arial"/>
                <w:sz w:val="20"/>
                <w:szCs w:val="20"/>
                <w:lang w:val="en-US"/>
              </w:rPr>
              <w: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6A9FEDF" w14:textId="77777777" w:rsidR="004910E1" w:rsidRPr="00A37C64" w:rsidRDefault="004910E1" w:rsidP="004910E1">
            <w:pPr>
              <w:rPr>
                <w:rFonts w:ascii="Arial" w:hAnsi="Arial" w:cs="Arial"/>
                <w:sz w:val="20"/>
                <w:szCs w:val="20"/>
                <w:lang w:val="en-US"/>
              </w:rPr>
            </w:pPr>
            <w:r w:rsidRPr="00A37C64">
              <w:rPr>
                <w:rFonts w:ascii="Arial" w:hAnsi="Arial" w:cs="Arial"/>
                <w:sz w:val="20"/>
                <w:szCs w:val="20"/>
                <w:lang w:val="en-US"/>
              </w:rPr>
              <w:t>May 15th for calendar year-end.</w:t>
            </w:r>
            <w:r w:rsidRPr="00A37C64">
              <w:rPr>
                <w:rFonts w:ascii="Arial" w:hAnsi="Arial" w:cs="Arial"/>
                <w:sz w:val="20"/>
                <w:szCs w:val="20"/>
                <w:vertAlign w:val="superscript"/>
                <w:lang w:val="en-US"/>
              </w:rPr>
              <w:t>9</w:t>
            </w:r>
          </w:p>
        </w:tc>
      </w:tr>
      <w:tr w:rsidR="004910E1" w:rsidRPr="00A37C64" w14:paraId="1F90FDCE"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6D92174" w14:textId="77777777" w:rsidR="004910E1" w:rsidRPr="004910E1" w:rsidRDefault="004910E1" w:rsidP="004910E1">
            <w:pPr>
              <w:rPr>
                <w:rFonts w:ascii="Arial" w:hAnsi="Arial" w:cs="Arial"/>
                <w:sz w:val="20"/>
                <w:szCs w:val="20"/>
              </w:rPr>
            </w:pPr>
            <w:r w:rsidRPr="004910E1">
              <w:rPr>
                <w:rFonts w:ascii="Arial" w:hAnsi="Arial" w:cs="Arial"/>
                <w:sz w:val="20"/>
                <w:szCs w:val="20"/>
              </w:rPr>
              <w:t>CVAE Declaration</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2E53E3A" w14:textId="77777777" w:rsidR="004910E1" w:rsidRPr="00A37C64" w:rsidRDefault="004910E1" w:rsidP="004910E1">
            <w:pPr>
              <w:rPr>
                <w:rFonts w:ascii="Arial" w:hAnsi="Arial" w:cs="Arial"/>
                <w:sz w:val="20"/>
                <w:szCs w:val="20"/>
                <w:lang w:val="en-US"/>
              </w:rPr>
            </w:pPr>
            <w:r w:rsidRPr="00A37C64">
              <w:rPr>
                <w:rFonts w:ascii="Arial" w:hAnsi="Arial" w:cs="Arial"/>
                <w:sz w:val="20"/>
                <w:szCs w:val="20"/>
                <w:lang w:val="en-US"/>
              </w:rPr>
              <w:t>May 2nd (second business day of May).</w:t>
            </w:r>
            <w:r w:rsidRPr="00A37C64">
              <w:rPr>
                <w:rFonts w:ascii="Arial" w:hAnsi="Arial" w:cs="Arial"/>
                <w:sz w:val="20"/>
                <w:szCs w:val="20"/>
                <w:vertAlign w:val="superscript"/>
                <w:lang w:val="en-US"/>
              </w:rPr>
              <w:t>11</w:t>
            </w:r>
          </w:p>
        </w:tc>
      </w:tr>
      <w:tr w:rsidR="004910E1" w:rsidRPr="00A37C64" w14:paraId="5C3FB47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8658D4C" w14:textId="77777777" w:rsidR="004910E1" w:rsidRPr="004910E1" w:rsidRDefault="004910E1" w:rsidP="004910E1">
            <w:pPr>
              <w:rPr>
                <w:rFonts w:ascii="Arial" w:hAnsi="Arial" w:cs="Arial"/>
                <w:sz w:val="20"/>
                <w:szCs w:val="20"/>
              </w:rPr>
            </w:pPr>
            <w:r w:rsidRPr="004910E1">
              <w:rPr>
                <w:rFonts w:ascii="Arial" w:hAnsi="Arial" w:cs="Arial"/>
                <w:sz w:val="20"/>
                <w:szCs w:val="20"/>
              </w:rPr>
              <w:t>Payroll Tax (DSN/PASRAU)</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AEA5EB3" w14:textId="77777777" w:rsidR="004910E1" w:rsidRPr="00A37C64" w:rsidRDefault="004910E1" w:rsidP="004910E1">
            <w:pPr>
              <w:rPr>
                <w:rFonts w:ascii="Arial" w:hAnsi="Arial" w:cs="Arial"/>
                <w:sz w:val="20"/>
                <w:szCs w:val="20"/>
                <w:lang w:val="en-US"/>
              </w:rPr>
            </w:pPr>
            <w:r w:rsidRPr="00A37C64">
              <w:rPr>
                <w:rFonts w:ascii="Arial" w:hAnsi="Arial" w:cs="Arial"/>
                <w:sz w:val="20"/>
                <w:szCs w:val="20"/>
                <w:lang w:val="en-US"/>
              </w:rPr>
              <w:t>Monthly, by the 5th or 15th of the following month.</w:t>
            </w:r>
            <w:r w:rsidRPr="00A37C64">
              <w:rPr>
                <w:rFonts w:ascii="Arial" w:hAnsi="Arial" w:cs="Arial"/>
                <w:sz w:val="20"/>
                <w:szCs w:val="20"/>
                <w:vertAlign w:val="superscript"/>
                <w:lang w:val="en-US"/>
              </w:rPr>
              <w:t>12</w:t>
            </w:r>
          </w:p>
        </w:tc>
      </w:tr>
    </w:tbl>
    <w:p w14:paraId="12FA54D4" w14:textId="77777777" w:rsidR="004910E1" w:rsidRPr="00A37C64" w:rsidRDefault="004910E1" w:rsidP="004910E1">
      <w:pPr>
        <w:rPr>
          <w:rFonts w:ascii="Arial" w:hAnsi="Arial" w:cs="Arial"/>
          <w:b/>
          <w:bCs/>
          <w:sz w:val="20"/>
          <w:szCs w:val="20"/>
          <w:lang w:val="en-US"/>
        </w:rPr>
      </w:pPr>
      <w:r w:rsidRPr="00A37C64">
        <w:rPr>
          <w:rFonts w:ascii="Arial" w:hAnsi="Arial" w:cs="Arial"/>
          <w:b/>
          <w:bCs/>
          <w:sz w:val="20"/>
          <w:szCs w:val="20"/>
          <w:lang w:val="en-US"/>
        </w:rPr>
        <w:t>4.2. Tax Audits, Penalties, and Dispute Resolution</w:t>
      </w:r>
    </w:p>
    <w:p w14:paraId="28951392" w14:textId="77777777" w:rsidR="004910E1" w:rsidRPr="00A54D96" w:rsidRDefault="004910E1" w:rsidP="004910E1">
      <w:pPr>
        <w:rPr>
          <w:rFonts w:ascii="Arial" w:hAnsi="Arial" w:cs="Arial"/>
          <w:sz w:val="20"/>
          <w:szCs w:val="20"/>
          <w:lang w:val="en-US"/>
        </w:rPr>
      </w:pPr>
      <w:r w:rsidRPr="00A54D96">
        <w:rPr>
          <w:rFonts w:ascii="Arial" w:hAnsi="Arial" w:cs="Arial"/>
          <w:sz w:val="20"/>
          <w:szCs w:val="20"/>
          <w:lang w:val="en-US"/>
        </w:rPr>
        <w:t>The French tax administration (DGFiP) is known for its rigorous enforcement, and recent data shows an increasingly aggressive stance. In 2024, the administration collected a record €16.7 billion in tax adjustments, with the majority of audits targeting individuals.</w:t>
      </w:r>
      <w:r w:rsidRPr="00A54D96">
        <w:rPr>
          <w:rFonts w:ascii="Arial" w:hAnsi="Arial" w:cs="Arial"/>
          <w:sz w:val="20"/>
          <w:szCs w:val="20"/>
          <w:vertAlign w:val="superscript"/>
          <w:lang w:val="en-US"/>
        </w:rPr>
        <w:t>13</w:t>
      </w:r>
      <w:r w:rsidRPr="00A54D96">
        <w:rPr>
          <w:rFonts w:ascii="Arial" w:hAnsi="Arial" w:cs="Arial"/>
          <w:sz w:val="20"/>
          <w:szCs w:val="20"/>
          <w:lang w:val="en-US"/>
        </w:rPr>
        <w:t xml:space="preserve"> This trend suggests a heightened risk environment for businesses, demanding a proactive approach to compliance.</w:t>
      </w:r>
    </w:p>
    <w:p w14:paraId="7A1C979C" w14:textId="77777777" w:rsidR="004910E1" w:rsidRPr="00A54D96" w:rsidRDefault="004910E1" w:rsidP="004910E1">
      <w:pPr>
        <w:rPr>
          <w:rFonts w:ascii="Arial" w:hAnsi="Arial" w:cs="Arial"/>
          <w:sz w:val="20"/>
          <w:szCs w:val="20"/>
          <w:lang w:val="en-US"/>
        </w:rPr>
      </w:pPr>
      <w:r w:rsidRPr="00A54D96">
        <w:rPr>
          <w:rFonts w:ascii="Arial" w:hAnsi="Arial" w:cs="Arial"/>
          <w:sz w:val="20"/>
          <w:szCs w:val="20"/>
          <w:lang w:val="en-US"/>
        </w:rPr>
        <w:t>The penalty regime for non-compliance is severe and is divided into civil and criminal sanctions. Civil penalties are determined by the nature of the offense:</w:t>
      </w:r>
    </w:p>
    <w:p w14:paraId="35F13821" w14:textId="77777777" w:rsidR="004910E1" w:rsidRPr="00A54D96" w:rsidRDefault="004910E1" w:rsidP="004910E1">
      <w:pPr>
        <w:numPr>
          <w:ilvl w:val="0"/>
          <w:numId w:val="2"/>
        </w:numPr>
        <w:rPr>
          <w:rFonts w:ascii="Arial" w:hAnsi="Arial" w:cs="Arial"/>
          <w:sz w:val="20"/>
          <w:szCs w:val="20"/>
          <w:lang w:val="en-US"/>
        </w:rPr>
      </w:pPr>
      <w:r w:rsidRPr="00A54D96">
        <w:rPr>
          <w:rFonts w:ascii="Arial" w:hAnsi="Arial" w:cs="Arial"/>
          <w:sz w:val="20"/>
          <w:szCs w:val="20"/>
          <w:lang w:val="en-US"/>
        </w:rPr>
        <w:t xml:space="preserve">A </w:t>
      </w:r>
      <w:r w:rsidRPr="00A54D96">
        <w:rPr>
          <w:rFonts w:ascii="Arial" w:hAnsi="Arial" w:cs="Arial"/>
          <w:b/>
          <w:bCs/>
          <w:sz w:val="20"/>
          <w:szCs w:val="20"/>
          <w:lang w:val="en-US"/>
        </w:rPr>
        <w:t>40% surcharge</w:t>
      </w:r>
      <w:r w:rsidRPr="00A54D96">
        <w:rPr>
          <w:rFonts w:ascii="Arial" w:hAnsi="Arial" w:cs="Arial"/>
          <w:sz w:val="20"/>
          <w:szCs w:val="20"/>
          <w:lang w:val="en-US"/>
        </w:rPr>
        <w:t xml:space="preserve"> for a deliberate understatement of tax.</w:t>
      </w:r>
      <w:r w:rsidRPr="00A54D96">
        <w:rPr>
          <w:rFonts w:ascii="Arial" w:hAnsi="Arial" w:cs="Arial"/>
          <w:sz w:val="20"/>
          <w:szCs w:val="20"/>
          <w:vertAlign w:val="superscript"/>
          <w:lang w:val="en-US"/>
        </w:rPr>
        <w:t>13</w:t>
      </w:r>
    </w:p>
    <w:p w14:paraId="02031898" w14:textId="77777777" w:rsidR="004910E1" w:rsidRPr="004910E1" w:rsidRDefault="004910E1" w:rsidP="004910E1">
      <w:pPr>
        <w:numPr>
          <w:ilvl w:val="0"/>
          <w:numId w:val="2"/>
        </w:numPr>
        <w:rPr>
          <w:rFonts w:ascii="Arial" w:hAnsi="Arial" w:cs="Arial"/>
          <w:sz w:val="20"/>
          <w:szCs w:val="20"/>
        </w:rPr>
      </w:pPr>
      <w:r w:rsidRPr="004910E1">
        <w:rPr>
          <w:rFonts w:ascii="Arial" w:hAnsi="Arial" w:cs="Arial"/>
          <w:sz w:val="20"/>
          <w:szCs w:val="20"/>
        </w:rPr>
        <w:t xml:space="preserve">An </w:t>
      </w:r>
      <w:r w:rsidRPr="004910E1">
        <w:rPr>
          <w:rFonts w:ascii="Arial" w:hAnsi="Arial" w:cs="Arial"/>
          <w:b/>
          <w:bCs/>
          <w:sz w:val="20"/>
          <w:szCs w:val="20"/>
        </w:rPr>
        <w:t>80% penalty</w:t>
      </w:r>
      <w:r w:rsidRPr="004910E1">
        <w:rPr>
          <w:rFonts w:ascii="Arial" w:hAnsi="Arial" w:cs="Arial"/>
          <w:sz w:val="20"/>
          <w:szCs w:val="20"/>
        </w:rPr>
        <w:t xml:space="preserve"> for fraud.</w:t>
      </w:r>
      <w:r w:rsidRPr="004910E1">
        <w:rPr>
          <w:rFonts w:ascii="Arial" w:hAnsi="Arial" w:cs="Arial"/>
          <w:sz w:val="20"/>
          <w:szCs w:val="20"/>
          <w:vertAlign w:val="superscript"/>
        </w:rPr>
        <w:t>13</w:t>
      </w:r>
    </w:p>
    <w:p w14:paraId="4BD32116" w14:textId="77777777" w:rsidR="004910E1" w:rsidRPr="00422C81" w:rsidRDefault="004910E1" w:rsidP="004910E1">
      <w:pPr>
        <w:numPr>
          <w:ilvl w:val="0"/>
          <w:numId w:val="2"/>
        </w:numPr>
        <w:rPr>
          <w:rFonts w:ascii="Arial" w:hAnsi="Arial" w:cs="Arial"/>
          <w:sz w:val="20"/>
          <w:szCs w:val="20"/>
          <w:lang w:val="en-US"/>
        </w:rPr>
      </w:pPr>
      <w:r w:rsidRPr="00422C81">
        <w:rPr>
          <w:rFonts w:ascii="Arial" w:hAnsi="Arial" w:cs="Arial"/>
          <w:sz w:val="20"/>
          <w:szCs w:val="20"/>
          <w:lang w:val="en-US"/>
        </w:rPr>
        <w:t xml:space="preserve">A </w:t>
      </w:r>
      <w:r w:rsidRPr="00422C81">
        <w:rPr>
          <w:rFonts w:ascii="Arial" w:hAnsi="Arial" w:cs="Arial"/>
          <w:b/>
          <w:bCs/>
          <w:sz w:val="20"/>
          <w:szCs w:val="20"/>
          <w:lang w:val="en-US"/>
        </w:rPr>
        <w:t>100% penalty</w:t>
      </w:r>
      <w:r w:rsidRPr="00422C81">
        <w:rPr>
          <w:rFonts w:ascii="Arial" w:hAnsi="Arial" w:cs="Arial"/>
          <w:sz w:val="20"/>
          <w:szCs w:val="20"/>
          <w:lang w:val="en-US"/>
        </w:rPr>
        <w:t xml:space="preserve"> for concealing the real beneficiary of income.</w:t>
      </w:r>
      <w:r w:rsidRPr="00422C81">
        <w:rPr>
          <w:rFonts w:ascii="Arial" w:hAnsi="Arial" w:cs="Arial"/>
          <w:sz w:val="20"/>
          <w:szCs w:val="20"/>
          <w:vertAlign w:val="superscript"/>
          <w:lang w:val="en-US"/>
        </w:rPr>
        <w:t>13</w:t>
      </w:r>
    </w:p>
    <w:p w14:paraId="7DA926BA" w14:textId="77777777" w:rsidR="004910E1" w:rsidRPr="00422C81" w:rsidRDefault="004910E1" w:rsidP="004910E1">
      <w:pPr>
        <w:rPr>
          <w:rFonts w:ascii="Arial" w:hAnsi="Arial" w:cs="Arial"/>
          <w:sz w:val="20"/>
          <w:szCs w:val="20"/>
          <w:lang w:val="en-US"/>
        </w:rPr>
      </w:pPr>
      <w:r w:rsidRPr="00422C81">
        <w:rPr>
          <w:rFonts w:ascii="Arial" w:hAnsi="Arial" w:cs="Arial"/>
          <w:sz w:val="20"/>
          <w:szCs w:val="20"/>
          <w:lang w:val="en-US"/>
        </w:rPr>
        <w:t>The most significant consequence of these penalties is the potential for criminal charges. French tax law mandates that if tax adjustments exceed €100,000 and are coupled with a high-level penalty (e.g., 80% or 100%), the case must be referred to a public prosecutor for criminal investigation.</w:t>
      </w:r>
      <w:r w:rsidRPr="00422C81">
        <w:rPr>
          <w:rFonts w:ascii="Arial" w:hAnsi="Arial" w:cs="Arial"/>
          <w:sz w:val="20"/>
          <w:szCs w:val="20"/>
          <w:vertAlign w:val="superscript"/>
          <w:lang w:val="en-US"/>
        </w:rPr>
        <w:t>13</w:t>
      </w:r>
      <w:r w:rsidRPr="00422C81">
        <w:rPr>
          <w:rFonts w:ascii="Arial" w:hAnsi="Arial" w:cs="Arial"/>
          <w:sz w:val="20"/>
          <w:szCs w:val="20"/>
          <w:lang w:val="en-US"/>
        </w:rPr>
        <w:t xml:space="preserve"> This low threshold means that a single significant error in a tax filing can expose a company's officers to criminal liability.</w:t>
      </w:r>
    </w:p>
    <w:p w14:paraId="5D3FA754" w14:textId="77777777" w:rsidR="004910E1" w:rsidRPr="00422C81" w:rsidRDefault="004910E1" w:rsidP="004910E1">
      <w:pPr>
        <w:rPr>
          <w:rFonts w:ascii="Arial" w:hAnsi="Arial" w:cs="Arial"/>
          <w:sz w:val="20"/>
          <w:szCs w:val="20"/>
          <w:lang w:val="en-US"/>
        </w:rPr>
      </w:pPr>
      <w:r w:rsidRPr="00422C81">
        <w:rPr>
          <w:rFonts w:ascii="Arial" w:hAnsi="Arial" w:cs="Arial"/>
          <w:sz w:val="20"/>
          <w:szCs w:val="20"/>
          <w:lang w:val="en-US"/>
        </w:rPr>
        <w:t>A critical nuance in French tax law is that even "mere negligence" on the part of a director can be sufficient to characterize criminal intent and form the basis of a tax fraud offense.</w:t>
      </w:r>
      <w:r w:rsidRPr="00422C81">
        <w:rPr>
          <w:rFonts w:ascii="Arial" w:hAnsi="Arial" w:cs="Arial"/>
          <w:sz w:val="20"/>
          <w:szCs w:val="20"/>
          <w:vertAlign w:val="superscript"/>
          <w:lang w:val="en-US"/>
        </w:rPr>
        <w:t>14</w:t>
      </w:r>
      <w:r w:rsidRPr="00422C81">
        <w:rPr>
          <w:rFonts w:ascii="Arial" w:hAnsi="Arial" w:cs="Arial"/>
          <w:sz w:val="20"/>
          <w:szCs w:val="20"/>
          <w:lang w:val="en-US"/>
        </w:rPr>
        <w:t xml:space="preserve"> The French Supreme Court has taken a strict approach, asserting that corporate directors have a duty to ensure compliance with tax regulations. This places a heavy burden of responsibility on directors and underscores the need for robust internal governance and oversight.</w:t>
      </w:r>
    </w:p>
    <w:p w14:paraId="6E0321CC" w14:textId="77777777" w:rsidR="004910E1" w:rsidRPr="00CC2722" w:rsidRDefault="004910E1" w:rsidP="004910E1">
      <w:pPr>
        <w:rPr>
          <w:rFonts w:ascii="Arial" w:hAnsi="Arial" w:cs="Arial"/>
          <w:sz w:val="20"/>
          <w:szCs w:val="20"/>
          <w:lang w:val="en-US"/>
        </w:rPr>
      </w:pPr>
      <w:r w:rsidRPr="00422C81">
        <w:rPr>
          <w:rFonts w:ascii="Arial" w:hAnsi="Arial" w:cs="Arial"/>
          <w:sz w:val="20"/>
          <w:szCs w:val="20"/>
          <w:lang w:val="en-US"/>
        </w:rPr>
        <w:t>Companies can seek to resolve disputes and mitigate penalties through out-of-court settlements, known as "tax transactions" or "overall settlements".</w:t>
      </w:r>
      <w:r w:rsidRPr="00422C81">
        <w:rPr>
          <w:rFonts w:ascii="Arial" w:hAnsi="Arial" w:cs="Arial"/>
          <w:sz w:val="20"/>
          <w:szCs w:val="20"/>
          <w:vertAlign w:val="superscript"/>
          <w:lang w:val="en-US"/>
        </w:rPr>
        <w:t>16</w:t>
      </w:r>
      <w:r w:rsidRPr="00422C81">
        <w:rPr>
          <w:rFonts w:ascii="Arial" w:hAnsi="Arial" w:cs="Arial"/>
          <w:sz w:val="20"/>
          <w:szCs w:val="20"/>
          <w:lang w:val="en-US"/>
        </w:rPr>
        <w:t xml:space="preserve"> These procedures allow for the reduction of interest and penalties but cannot mitigate the original tax liability. </w:t>
      </w:r>
      <w:r w:rsidRPr="00CC2722">
        <w:rPr>
          <w:rFonts w:ascii="Arial" w:hAnsi="Arial" w:cs="Arial"/>
          <w:sz w:val="20"/>
          <w:szCs w:val="20"/>
          <w:lang w:val="en-US"/>
        </w:rPr>
        <w:t xml:space="preserve">A separate and rarely used criminal settlement procedure, the </w:t>
      </w:r>
    </w:p>
    <w:p w14:paraId="0934789D" w14:textId="77777777" w:rsidR="004910E1" w:rsidRPr="00CC2722" w:rsidRDefault="004910E1" w:rsidP="004910E1">
      <w:pPr>
        <w:rPr>
          <w:rFonts w:ascii="Arial" w:hAnsi="Arial" w:cs="Arial"/>
          <w:sz w:val="20"/>
          <w:szCs w:val="20"/>
          <w:lang w:val="en-US"/>
        </w:rPr>
      </w:pPr>
      <w:r w:rsidRPr="00CC2722">
        <w:rPr>
          <w:rFonts w:ascii="Arial" w:hAnsi="Arial" w:cs="Arial"/>
          <w:i/>
          <w:iCs/>
          <w:sz w:val="20"/>
          <w:szCs w:val="20"/>
          <w:lang w:val="en-US"/>
        </w:rPr>
        <w:t>Convention Judiciaire d'Intérêt Public</w:t>
      </w:r>
      <w:r w:rsidRPr="00CC2722">
        <w:rPr>
          <w:rFonts w:ascii="Arial" w:hAnsi="Arial" w:cs="Arial"/>
          <w:sz w:val="20"/>
          <w:szCs w:val="20"/>
          <w:lang w:val="en-US"/>
        </w:rPr>
        <w:t xml:space="preserve"> (CJIP), is also available for tax fraud allegations.</w:t>
      </w:r>
      <w:r w:rsidRPr="00CC2722">
        <w:rPr>
          <w:rFonts w:ascii="Arial" w:hAnsi="Arial" w:cs="Arial"/>
          <w:sz w:val="20"/>
          <w:szCs w:val="20"/>
          <w:vertAlign w:val="superscript"/>
          <w:lang w:val="en-US"/>
        </w:rPr>
        <w:t>16</w:t>
      </w:r>
    </w:p>
    <w:tbl>
      <w:tblPr>
        <w:tblW w:w="0" w:type="auto"/>
        <w:tblCellSpacing w:w="15" w:type="dxa"/>
        <w:tblCellMar>
          <w:left w:w="0" w:type="dxa"/>
          <w:right w:w="0" w:type="dxa"/>
        </w:tblCellMar>
        <w:tblLook w:val="04A0" w:firstRow="1" w:lastRow="0" w:firstColumn="1" w:lastColumn="0" w:noHBand="0" w:noVBand="1"/>
      </w:tblPr>
      <w:tblGrid>
        <w:gridCol w:w="3579"/>
        <w:gridCol w:w="5477"/>
      </w:tblGrid>
      <w:tr w:rsidR="004910E1" w:rsidRPr="00CC2722" w14:paraId="0BC79ABA" w14:textId="77777777">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03C8EC" w14:textId="77777777" w:rsidR="004910E1" w:rsidRPr="00CC2722" w:rsidRDefault="004910E1" w:rsidP="004910E1">
            <w:pPr>
              <w:rPr>
                <w:rFonts w:ascii="Arial" w:hAnsi="Arial" w:cs="Arial"/>
                <w:sz w:val="20"/>
                <w:szCs w:val="20"/>
                <w:lang w:val="en-US"/>
              </w:rPr>
            </w:pPr>
            <w:r w:rsidRPr="00CC2722">
              <w:rPr>
                <w:rFonts w:ascii="Arial" w:hAnsi="Arial" w:cs="Arial"/>
                <w:sz w:val="20"/>
                <w:szCs w:val="20"/>
                <w:lang w:val="en-US"/>
              </w:rPr>
              <w:t>Tax Penalties for Non-Compliance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553FCDD0" w14:textId="77777777" w:rsidR="004910E1" w:rsidRPr="00CC2722" w:rsidRDefault="004910E1" w:rsidP="004910E1">
            <w:pPr>
              <w:rPr>
                <w:rFonts w:ascii="Arial" w:hAnsi="Arial" w:cs="Arial"/>
                <w:sz w:val="20"/>
                <w:szCs w:val="20"/>
                <w:lang w:val="en-US"/>
              </w:rPr>
            </w:pPr>
          </w:p>
        </w:tc>
      </w:tr>
      <w:tr w:rsidR="004910E1" w:rsidRPr="004910E1" w14:paraId="4D669842"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879635" w14:textId="77777777" w:rsidR="004910E1" w:rsidRPr="004910E1" w:rsidRDefault="004910E1" w:rsidP="004910E1">
            <w:pPr>
              <w:rPr>
                <w:rFonts w:ascii="Arial" w:hAnsi="Arial" w:cs="Arial"/>
                <w:sz w:val="20"/>
                <w:szCs w:val="20"/>
              </w:rPr>
            </w:pPr>
            <w:r w:rsidRPr="004910E1">
              <w:rPr>
                <w:rFonts w:ascii="Arial" w:hAnsi="Arial" w:cs="Arial"/>
                <w:b/>
                <w:bCs/>
                <w:sz w:val="20"/>
                <w:szCs w:val="20"/>
              </w:rPr>
              <w:t>Type of Offense</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9A316B" w14:textId="77777777" w:rsidR="004910E1" w:rsidRPr="004910E1" w:rsidRDefault="004910E1" w:rsidP="004910E1">
            <w:pPr>
              <w:rPr>
                <w:rFonts w:ascii="Arial" w:hAnsi="Arial" w:cs="Arial"/>
                <w:sz w:val="20"/>
                <w:szCs w:val="20"/>
              </w:rPr>
            </w:pPr>
            <w:r w:rsidRPr="004910E1">
              <w:rPr>
                <w:rFonts w:ascii="Arial" w:hAnsi="Arial" w:cs="Arial"/>
                <w:b/>
                <w:bCs/>
                <w:sz w:val="20"/>
                <w:szCs w:val="20"/>
              </w:rPr>
              <w:t>Penalty</w:t>
            </w:r>
          </w:p>
        </w:tc>
      </w:tr>
      <w:tr w:rsidR="004910E1" w:rsidRPr="004910E1" w14:paraId="6528CAB0"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3EBF344" w14:textId="77777777" w:rsidR="004910E1" w:rsidRPr="004910E1" w:rsidRDefault="004910E1" w:rsidP="004910E1">
            <w:pPr>
              <w:rPr>
                <w:rFonts w:ascii="Arial" w:hAnsi="Arial" w:cs="Arial"/>
                <w:sz w:val="20"/>
                <w:szCs w:val="20"/>
              </w:rPr>
            </w:pPr>
            <w:r w:rsidRPr="004910E1">
              <w:rPr>
                <w:rFonts w:ascii="Arial" w:hAnsi="Arial" w:cs="Arial"/>
                <w:sz w:val="20"/>
                <w:szCs w:val="20"/>
              </w:rPr>
              <w:t>Deliberate understatement</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3DE068FF" w14:textId="77777777" w:rsidR="004910E1" w:rsidRPr="004910E1" w:rsidRDefault="004910E1" w:rsidP="004910E1">
            <w:pPr>
              <w:rPr>
                <w:rFonts w:ascii="Arial" w:hAnsi="Arial" w:cs="Arial"/>
                <w:sz w:val="20"/>
                <w:szCs w:val="20"/>
              </w:rPr>
            </w:pPr>
            <w:r w:rsidRPr="004910E1">
              <w:rPr>
                <w:rFonts w:ascii="Arial" w:hAnsi="Arial" w:cs="Arial"/>
                <w:sz w:val="20"/>
                <w:szCs w:val="20"/>
              </w:rPr>
              <w:t>40% surcharge.</w:t>
            </w:r>
            <w:r w:rsidRPr="004910E1">
              <w:rPr>
                <w:rFonts w:ascii="Arial" w:hAnsi="Arial" w:cs="Arial"/>
                <w:sz w:val="20"/>
                <w:szCs w:val="20"/>
                <w:vertAlign w:val="superscript"/>
              </w:rPr>
              <w:t>13</w:t>
            </w:r>
          </w:p>
        </w:tc>
      </w:tr>
      <w:tr w:rsidR="004910E1" w:rsidRPr="004910E1" w14:paraId="7ECD20AC"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F4A9C9" w14:textId="77777777" w:rsidR="004910E1" w:rsidRPr="004910E1" w:rsidRDefault="004910E1" w:rsidP="004910E1">
            <w:pPr>
              <w:rPr>
                <w:rFonts w:ascii="Arial" w:hAnsi="Arial" w:cs="Arial"/>
                <w:sz w:val="20"/>
                <w:szCs w:val="20"/>
              </w:rPr>
            </w:pPr>
            <w:r w:rsidRPr="004910E1">
              <w:rPr>
                <w:rFonts w:ascii="Arial" w:hAnsi="Arial" w:cs="Arial"/>
                <w:sz w:val="20"/>
                <w:szCs w:val="20"/>
              </w:rPr>
              <w:t>Fraudulent behavior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D227AC9" w14:textId="77777777" w:rsidR="004910E1" w:rsidRPr="004910E1" w:rsidRDefault="004910E1" w:rsidP="004910E1">
            <w:pPr>
              <w:rPr>
                <w:rFonts w:ascii="Arial" w:hAnsi="Arial" w:cs="Arial"/>
                <w:sz w:val="20"/>
                <w:szCs w:val="20"/>
              </w:rPr>
            </w:pPr>
            <w:r w:rsidRPr="004910E1">
              <w:rPr>
                <w:rFonts w:ascii="Arial" w:hAnsi="Arial" w:cs="Arial"/>
                <w:sz w:val="20"/>
                <w:szCs w:val="20"/>
              </w:rPr>
              <w:t>80% penalty.</w:t>
            </w:r>
            <w:r w:rsidRPr="004910E1">
              <w:rPr>
                <w:rFonts w:ascii="Arial" w:hAnsi="Arial" w:cs="Arial"/>
                <w:sz w:val="20"/>
                <w:szCs w:val="20"/>
                <w:vertAlign w:val="superscript"/>
              </w:rPr>
              <w:t>13</w:t>
            </w:r>
          </w:p>
        </w:tc>
      </w:tr>
      <w:tr w:rsidR="004910E1" w:rsidRPr="004910E1" w14:paraId="752E0F9B"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E6B5468" w14:textId="77777777" w:rsidR="004910E1" w:rsidRPr="004910E1" w:rsidRDefault="004910E1" w:rsidP="004910E1">
            <w:pPr>
              <w:rPr>
                <w:rFonts w:ascii="Arial" w:hAnsi="Arial" w:cs="Arial"/>
                <w:sz w:val="20"/>
                <w:szCs w:val="20"/>
              </w:rPr>
            </w:pPr>
            <w:r w:rsidRPr="004910E1">
              <w:rPr>
                <w:rFonts w:ascii="Arial" w:hAnsi="Arial" w:cs="Arial"/>
                <w:sz w:val="20"/>
                <w:szCs w:val="20"/>
              </w:rPr>
              <w:t>Concealment of beneficiary</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1691DF3E" w14:textId="77777777" w:rsidR="004910E1" w:rsidRPr="004910E1" w:rsidRDefault="004910E1" w:rsidP="004910E1">
            <w:pPr>
              <w:rPr>
                <w:rFonts w:ascii="Arial" w:hAnsi="Arial" w:cs="Arial"/>
                <w:sz w:val="20"/>
                <w:szCs w:val="20"/>
              </w:rPr>
            </w:pPr>
            <w:r w:rsidRPr="004910E1">
              <w:rPr>
                <w:rFonts w:ascii="Arial" w:hAnsi="Arial" w:cs="Arial"/>
                <w:sz w:val="20"/>
                <w:szCs w:val="20"/>
              </w:rPr>
              <w:t>100% penalty.</w:t>
            </w:r>
            <w:r w:rsidRPr="004910E1">
              <w:rPr>
                <w:rFonts w:ascii="Arial" w:hAnsi="Arial" w:cs="Arial"/>
                <w:sz w:val="20"/>
                <w:szCs w:val="20"/>
                <w:vertAlign w:val="superscript"/>
              </w:rPr>
              <w:t>13</w:t>
            </w:r>
          </w:p>
        </w:tc>
      </w:tr>
      <w:tr w:rsidR="004910E1" w:rsidRPr="004910E1" w14:paraId="66FF3803"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319B575" w14:textId="77777777" w:rsidR="004910E1" w:rsidRPr="004910E1" w:rsidRDefault="004910E1" w:rsidP="004910E1">
            <w:pPr>
              <w:rPr>
                <w:rFonts w:ascii="Arial" w:hAnsi="Arial" w:cs="Arial"/>
                <w:sz w:val="20"/>
                <w:szCs w:val="20"/>
              </w:rPr>
            </w:pPr>
            <w:r w:rsidRPr="004910E1">
              <w:rPr>
                <w:rFonts w:ascii="Arial" w:hAnsi="Arial" w:cs="Arial"/>
                <w:b/>
                <w:bCs/>
                <w:sz w:val="20"/>
                <w:szCs w:val="20"/>
              </w:rPr>
              <w:t>Criminal Referral Threshold</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0C52FEA2" w14:textId="77777777" w:rsidR="004910E1" w:rsidRPr="004910E1" w:rsidRDefault="004910E1" w:rsidP="004910E1">
            <w:pPr>
              <w:rPr>
                <w:rFonts w:ascii="Arial" w:hAnsi="Arial" w:cs="Arial"/>
                <w:sz w:val="20"/>
                <w:szCs w:val="20"/>
              </w:rPr>
            </w:pPr>
            <w:r w:rsidRPr="004910E1">
              <w:rPr>
                <w:rFonts w:ascii="Arial" w:hAnsi="Arial" w:cs="Arial"/>
                <w:b/>
                <w:bCs/>
                <w:sz w:val="20"/>
                <w:szCs w:val="20"/>
              </w:rPr>
              <w:t>Condition</w:t>
            </w:r>
          </w:p>
        </w:tc>
      </w:tr>
      <w:tr w:rsidR="004910E1" w:rsidRPr="00CC2722" w14:paraId="7B3771FA" w14:textId="77777777">
        <w:trPr>
          <w:tblCellSpacing w:w="15" w:type="dxa"/>
        </w:trPr>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6814AD89" w14:textId="77777777" w:rsidR="004910E1" w:rsidRPr="00CC2722" w:rsidRDefault="004910E1" w:rsidP="004910E1">
            <w:pPr>
              <w:rPr>
                <w:rFonts w:ascii="Arial" w:hAnsi="Arial" w:cs="Arial"/>
                <w:sz w:val="20"/>
                <w:szCs w:val="20"/>
                <w:lang w:val="en-US"/>
              </w:rPr>
            </w:pPr>
            <w:r w:rsidRPr="00CC2722">
              <w:rPr>
                <w:rFonts w:ascii="Arial" w:hAnsi="Arial" w:cs="Arial"/>
                <w:sz w:val="20"/>
                <w:szCs w:val="20"/>
                <w:lang w:val="en-US"/>
              </w:rPr>
              <w:t>Mandated for referral to public prosecutor</w:t>
            </w:r>
          </w:p>
        </w:tc>
        <w:tc>
          <w:tcPr>
            <w:tcW w:w="0" w:type="auto"/>
            <w:tcBorders>
              <w:top w:val="single" w:sz="6" w:space="0" w:color="auto"/>
              <w:left w:val="single" w:sz="6" w:space="0" w:color="auto"/>
              <w:bottom w:val="single" w:sz="6" w:space="0" w:color="auto"/>
              <w:right w:val="single" w:sz="6" w:space="0" w:color="auto"/>
            </w:tcBorders>
            <w:tcMar>
              <w:top w:w="120" w:type="dxa"/>
              <w:left w:w="180" w:type="dxa"/>
              <w:bottom w:w="120" w:type="dxa"/>
              <w:right w:w="180" w:type="dxa"/>
            </w:tcMar>
            <w:vAlign w:val="center"/>
            <w:hideMark/>
          </w:tcPr>
          <w:p w14:paraId="7C52453F" w14:textId="77777777" w:rsidR="004910E1" w:rsidRPr="00CC2722" w:rsidRDefault="004910E1" w:rsidP="004910E1">
            <w:pPr>
              <w:rPr>
                <w:rFonts w:ascii="Arial" w:hAnsi="Arial" w:cs="Arial"/>
                <w:sz w:val="20"/>
                <w:szCs w:val="20"/>
                <w:lang w:val="en-US"/>
              </w:rPr>
            </w:pPr>
            <w:r w:rsidRPr="00CC2722">
              <w:rPr>
                <w:rFonts w:ascii="Arial" w:hAnsi="Arial" w:cs="Arial"/>
                <w:sz w:val="20"/>
                <w:szCs w:val="20"/>
                <w:lang w:val="en-US"/>
              </w:rPr>
              <w:t>Tax adjustments &gt; €100,000 + application of 80% or 100% penalties.</w:t>
            </w:r>
            <w:r w:rsidRPr="00CC2722">
              <w:rPr>
                <w:rFonts w:ascii="Arial" w:hAnsi="Arial" w:cs="Arial"/>
                <w:sz w:val="20"/>
                <w:szCs w:val="20"/>
                <w:vertAlign w:val="superscript"/>
                <w:lang w:val="en-US"/>
              </w:rPr>
              <w:t>13</w:t>
            </w:r>
          </w:p>
        </w:tc>
      </w:tr>
    </w:tbl>
    <w:p w14:paraId="191C79D6" w14:textId="77777777" w:rsidR="004910E1" w:rsidRPr="00CC2722" w:rsidRDefault="004910E1" w:rsidP="004910E1">
      <w:pPr>
        <w:rPr>
          <w:rFonts w:ascii="Arial" w:hAnsi="Arial" w:cs="Arial"/>
          <w:b/>
          <w:bCs/>
          <w:sz w:val="20"/>
          <w:szCs w:val="20"/>
          <w:lang w:val="en-US"/>
        </w:rPr>
      </w:pPr>
      <w:r w:rsidRPr="00CC2722">
        <w:rPr>
          <w:rFonts w:ascii="Arial" w:hAnsi="Arial" w:cs="Arial"/>
          <w:b/>
          <w:bCs/>
          <w:sz w:val="20"/>
          <w:szCs w:val="20"/>
          <w:lang w:val="en-US"/>
        </w:rPr>
        <w:t>Chapter 5: Strategic Considerations for Businesses in France</w:t>
      </w:r>
    </w:p>
    <w:p w14:paraId="747ABD83" w14:textId="77777777" w:rsidR="004910E1" w:rsidRPr="00687A14" w:rsidRDefault="004910E1" w:rsidP="004910E1">
      <w:pPr>
        <w:rPr>
          <w:rFonts w:ascii="Arial" w:hAnsi="Arial" w:cs="Arial"/>
          <w:sz w:val="20"/>
          <w:szCs w:val="20"/>
          <w:lang w:val="en-US"/>
        </w:rPr>
      </w:pPr>
      <w:r w:rsidRPr="00687A14">
        <w:rPr>
          <w:rFonts w:ascii="Arial" w:hAnsi="Arial" w:cs="Arial"/>
          <w:sz w:val="20"/>
          <w:szCs w:val="20"/>
          <w:lang w:val="en-US"/>
        </w:rPr>
        <w:t>The French tax and regulatory environment presents a complex and dynamic landscape that requires careful strategic navigation. The following considerations are essential for businesses, particularly foreign entities, to ensure compliance and maximize opportunities.</w:t>
      </w:r>
    </w:p>
    <w:p w14:paraId="23C54254" w14:textId="77777777" w:rsidR="004910E1" w:rsidRPr="00687A14" w:rsidRDefault="004910E1" w:rsidP="004910E1">
      <w:pPr>
        <w:rPr>
          <w:rFonts w:ascii="Arial" w:hAnsi="Arial" w:cs="Arial"/>
          <w:b/>
          <w:bCs/>
          <w:sz w:val="20"/>
          <w:szCs w:val="20"/>
          <w:lang w:val="en-US"/>
        </w:rPr>
      </w:pPr>
      <w:r w:rsidRPr="00687A14">
        <w:rPr>
          <w:rFonts w:ascii="Arial" w:hAnsi="Arial" w:cs="Arial"/>
          <w:b/>
          <w:bCs/>
          <w:sz w:val="20"/>
          <w:szCs w:val="20"/>
          <w:lang w:val="en-US"/>
        </w:rPr>
        <w:t>5.1. Navigating the Complexities of French Corporate Tax</w:t>
      </w:r>
    </w:p>
    <w:p w14:paraId="618E4E2E" w14:textId="77777777" w:rsidR="004910E1" w:rsidRPr="003B55DC" w:rsidRDefault="004910E1" w:rsidP="004910E1">
      <w:pPr>
        <w:rPr>
          <w:rFonts w:ascii="Arial" w:hAnsi="Arial" w:cs="Arial"/>
          <w:sz w:val="20"/>
          <w:szCs w:val="20"/>
          <w:lang w:val="en-US"/>
        </w:rPr>
      </w:pPr>
      <w:r w:rsidRPr="00687A14">
        <w:rPr>
          <w:rFonts w:ascii="Arial" w:hAnsi="Arial" w:cs="Arial"/>
          <w:sz w:val="20"/>
          <w:szCs w:val="20"/>
          <w:lang w:val="en-US"/>
        </w:rPr>
        <w:t>For any company considering a French market entry, a thorough understanding of the tiered corporate tax structure is paramount. The headline 25% CIT rate is only a starting point. For large companies, the effective tax rate is significantly higher due to the 3.3% social contribution and the new, temporary "Exceptional Contribution".</w:t>
      </w:r>
      <w:r w:rsidRPr="00687A14">
        <w:rPr>
          <w:rFonts w:ascii="Arial" w:hAnsi="Arial" w:cs="Arial"/>
          <w:sz w:val="20"/>
          <w:szCs w:val="20"/>
          <w:vertAlign w:val="superscript"/>
          <w:lang w:val="en-US"/>
        </w:rPr>
        <w:t>1</w:t>
      </w:r>
      <w:r w:rsidRPr="00687A14">
        <w:rPr>
          <w:rFonts w:ascii="Arial" w:hAnsi="Arial" w:cs="Arial"/>
          <w:sz w:val="20"/>
          <w:szCs w:val="20"/>
          <w:lang w:val="en-US"/>
        </w:rPr>
        <w:t xml:space="preserve"> Financial modeling must account for these additional layers of taxation to accurately project tax liabilities and assess the viability of operations. </w:t>
      </w:r>
      <w:r w:rsidRPr="003B55DC">
        <w:rPr>
          <w:rFonts w:ascii="Arial" w:hAnsi="Arial" w:cs="Arial"/>
          <w:sz w:val="20"/>
          <w:szCs w:val="20"/>
          <w:lang w:val="en-US"/>
        </w:rPr>
        <w:t>Furthermore, the postponement of the CVAE abolition to 2030, a previously promised tax reform, underscores a trend of prioritizing state revenue over tax simplification.</w:t>
      </w:r>
      <w:r w:rsidRPr="003B55DC">
        <w:rPr>
          <w:rFonts w:ascii="Arial" w:hAnsi="Arial" w:cs="Arial"/>
          <w:sz w:val="20"/>
          <w:szCs w:val="20"/>
          <w:vertAlign w:val="superscript"/>
          <w:lang w:val="en-US"/>
        </w:rPr>
        <w:t>2</w:t>
      </w:r>
      <w:r w:rsidRPr="003B55DC">
        <w:rPr>
          <w:rFonts w:ascii="Arial" w:hAnsi="Arial" w:cs="Arial"/>
          <w:sz w:val="20"/>
          <w:szCs w:val="20"/>
          <w:lang w:val="en-US"/>
        </w:rPr>
        <w:t xml:space="preserve"> This suggests that tax policy is highly responsive to fiscal needs, and businesses should maintain a continuous watch on legislative developments to avoid being caught off guard by sudden changes.</w:t>
      </w:r>
    </w:p>
    <w:p w14:paraId="2B5A275C" w14:textId="77777777" w:rsidR="004910E1" w:rsidRPr="003B55DC" w:rsidRDefault="004910E1" w:rsidP="004910E1">
      <w:pPr>
        <w:rPr>
          <w:rFonts w:ascii="Arial" w:hAnsi="Arial" w:cs="Arial"/>
          <w:b/>
          <w:bCs/>
          <w:sz w:val="20"/>
          <w:szCs w:val="20"/>
          <w:lang w:val="en-US"/>
        </w:rPr>
      </w:pPr>
      <w:r w:rsidRPr="003B55DC">
        <w:rPr>
          <w:rFonts w:ascii="Arial" w:hAnsi="Arial" w:cs="Arial"/>
          <w:b/>
          <w:bCs/>
          <w:sz w:val="20"/>
          <w:szCs w:val="20"/>
          <w:lang w:val="en-US"/>
        </w:rPr>
        <w:t>5.2. Maximizing R&amp;D Incentives</w:t>
      </w:r>
    </w:p>
    <w:p w14:paraId="3CA4B66F" w14:textId="77777777" w:rsidR="004910E1" w:rsidRPr="003B55DC" w:rsidRDefault="004910E1" w:rsidP="004910E1">
      <w:pPr>
        <w:rPr>
          <w:rFonts w:ascii="Arial" w:hAnsi="Arial" w:cs="Arial"/>
          <w:sz w:val="20"/>
          <w:szCs w:val="20"/>
          <w:lang w:val="en-US"/>
        </w:rPr>
      </w:pPr>
      <w:r w:rsidRPr="003B55DC">
        <w:rPr>
          <w:rFonts w:ascii="Arial" w:hAnsi="Arial" w:cs="Arial"/>
          <w:sz w:val="20"/>
          <w:szCs w:val="20"/>
          <w:lang w:val="en-US"/>
        </w:rPr>
        <w:t xml:space="preserve">France offers some of the most generous R&amp;D tax incentives in Europe, but accessing them requires a strategic and rigorous approach. Companies aiming to leverage the Crédit d'Impôt Recherche (CIR) must prioritize meticulous documentation that aligns with the principles of the OECD Frascati Manual. The scientific uncertainty and systematic nature of the research activities must be clearly and continuously documented to withstand the scrutiny of a tax audit. For startups, the </w:t>
      </w:r>
      <w:r w:rsidRPr="003B55DC">
        <w:rPr>
          <w:rFonts w:ascii="Arial" w:hAnsi="Arial" w:cs="Arial"/>
          <w:i/>
          <w:iCs/>
          <w:sz w:val="20"/>
          <w:szCs w:val="20"/>
          <w:lang w:val="en-US"/>
        </w:rPr>
        <w:t>Jeune Entreprise Innovante</w:t>
      </w:r>
      <w:r w:rsidRPr="003B55DC">
        <w:rPr>
          <w:rFonts w:ascii="Arial" w:hAnsi="Arial" w:cs="Arial"/>
          <w:sz w:val="20"/>
          <w:szCs w:val="20"/>
          <w:lang w:val="en-US"/>
        </w:rPr>
        <w:t xml:space="preserve"> (JEI) status can provide crucial financial relief by exempting them from certain social contributions. A proactive approach here would be to seek a binding opinion from the tax authorities to confirm eligibility, thereby mitigating the risk of a retrospective audit and penalty.</w:t>
      </w:r>
    </w:p>
    <w:p w14:paraId="15F79B24" w14:textId="77777777" w:rsidR="004910E1" w:rsidRPr="00767451" w:rsidRDefault="004910E1" w:rsidP="004910E1">
      <w:pPr>
        <w:rPr>
          <w:rFonts w:ascii="Arial" w:hAnsi="Arial" w:cs="Arial"/>
          <w:b/>
          <w:bCs/>
          <w:sz w:val="20"/>
          <w:szCs w:val="20"/>
          <w:lang w:val="en-US"/>
        </w:rPr>
      </w:pPr>
      <w:r w:rsidRPr="00767451">
        <w:rPr>
          <w:rFonts w:ascii="Arial" w:hAnsi="Arial" w:cs="Arial"/>
          <w:b/>
          <w:bCs/>
          <w:sz w:val="20"/>
          <w:szCs w:val="20"/>
          <w:lang w:val="en-US"/>
        </w:rPr>
        <w:t>5.3. Ensuring Robust Compliance</w:t>
      </w:r>
    </w:p>
    <w:p w14:paraId="57076D3F" w14:textId="77777777" w:rsidR="004910E1" w:rsidRPr="00767451" w:rsidRDefault="004910E1" w:rsidP="004910E1">
      <w:pPr>
        <w:rPr>
          <w:rFonts w:ascii="Arial" w:hAnsi="Arial" w:cs="Arial"/>
          <w:sz w:val="20"/>
          <w:szCs w:val="20"/>
          <w:lang w:val="en-US"/>
        </w:rPr>
      </w:pPr>
      <w:r w:rsidRPr="00767451">
        <w:rPr>
          <w:rFonts w:ascii="Arial" w:hAnsi="Arial" w:cs="Arial"/>
          <w:sz w:val="20"/>
          <w:szCs w:val="20"/>
          <w:lang w:val="en-US"/>
        </w:rPr>
        <w:t>The digital transformation of French tax administration, marked by the new e-invoicing mandate, signals a future of real-time, data-driven compliance. Businesses must invest in modern systems and processes that can handle structured data formats and maintain a reliable audit trail.</w:t>
      </w:r>
      <w:r w:rsidRPr="00767451">
        <w:rPr>
          <w:rFonts w:ascii="Arial" w:hAnsi="Arial" w:cs="Arial"/>
          <w:sz w:val="20"/>
          <w:szCs w:val="20"/>
          <w:vertAlign w:val="superscript"/>
          <w:lang w:val="en-US"/>
        </w:rPr>
        <w:t>8</w:t>
      </w:r>
      <w:r w:rsidRPr="00767451">
        <w:rPr>
          <w:rFonts w:ascii="Arial" w:hAnsi="Arial" w:cs="Arial"/>
          <w:sz w:val="20"/>
          <w:szCs w:val="20"/>
          <w:lang w:val="en-US"/>
        </w:rPr>
        <w:t xml:space="preserve"> A significant operational detail to manage is the dual-platform nature of French digital tax administration, with corporate filings handled on </w:t>
      </w:r>
    </w:p>
    <w:p w14:paraId="52F6FA6E" w14:textId="77777777" w:rsidR="004910E1" w:rsidRPr="00767451" w:rsidRDefault="004910E1" w:rsidP="004910E1">
      <w:pPr>
        <w:rPr>
          <w:rFonts w:ascii="Arial" w:hAnsi="Arial" w:cs="Arial"/>
          <w:sz w:val="20"/>
          <w:szCs w:val="20"/>
          <w:lang w:val="en-US"/>
        </w:rPr>
      </w:pPr>
      <w:r w:rsidRPr="00767451">
        <w:rPr>
          <w:rFonts w:ascii="Arial" w:hAnsi="Arial" w:cs="Arial"/>
          <w:sz w:val="20"/>
          <w:szCs w:val="20"/>
          <w:lang w:val="en-US"/>
        </w:rPr>
        <w:t>impots.gouv.fr and payroll-related filings on the separate, mandatory net-entreprises.fr portal.</w:t>
      </w:r>
      <w:r w:rsidRPr="00767451">
        <w:rPr>
          <w:rFonts w:ascii="Arial" w:hAnsi="Arial" w:cs="Arial"/>
          <w:sz w:val="20"/>
          <w:szCs w:val="20"/>
          <w:vertAlign w:val="superscript"/>
          <w:lang w:val="en-US"/>
        </w:rPr>
        <w:t>12</w:t>
      </w:r>
      <w:r w:rsidRPr="00767451">
        <w:rPr>
          <w:rFonts w:ascii="Arial" w:hAnsi="Arial" w:cs="Arial"/>
          <w:sz w:val="20"/>
          <w:szCs w:val="20"/>
          <w:lang w:val="en-US"/>
        </w:rPr>
        <w:t xml:space="preserve"> Mismanaging compliance across these platforms is a classic point of failure for new entrants.</w:t>
      </w:r>
    </w:p>
    <w:p w14:paraId="67F2210E" w14:textId="77777777" w:rsidR="004910E1" w:rsidRPr="00767451" w:rsidRDefault="004910E1" w:rsidP="004910E1">
      <w:pPr>
        <w:rPr>
          <w:rFonts w:ascii="Arial" w:hAnsi="Arial" w:cs="Arial"/>
          <w:sz w:val="20"/>
          <w:szCs w:val="20"/>
          <w:lang w:val="en-US"/>
        </w:rPr>
      </w:pPr>
      <w:r w:rsidRPr="00767451">
        <w:rPr>
          <w:rFonts w:ascii="Arial" w:hAnsi="Arial" w:cs="Arial"/>
          <w:sz w:val="20"/>
          <w:szCs w:val="20"/>
          <w:lang w:val="en-US"/>
        </w:rPr>
        <w:t>Finally, the increasingly punitive penalty regime, with its low threshold for criminal referral and the legal standard of "mere negligence" being sufficient for a tax fraud conviction, mandates a "zero-tolerance" approach to compliance.</w:t>
      </w:r>
      <w:r w:rsidRPr="00767451">
        <w:rPr>
          <w:rFonts w:ascii="Arial" w:hAnsi="Arial" w:cs="Arial"/>
          <w:sz w:val="20"/>
          <w:szCs w:val="20"/>
          <w:vertAlign w:val="superscript"/>
          <w:lang w:val="en-US"/>
        </w:rPr>
        <w:t>13</w:t>
      </w:r>
      <w:r w:rsidRPr="00767451">
        <w:rPr>
          <w:rFonts w:ascii="Arial" w:hAnsi="Arial" w:cs="Arial"/>
          <w:sz w:val="20"/>
          <w:szCs w:val="20"/>
          <w:lang w:val="en-US"/>
        </w:rPr>
        <w:t xml:space="preserve"> Corporate leadership must establish a culture of meticulous tax governance, with robust internal controls and, where necessary, the use of professional tax advisors to ensure that tax filings are not only correct but also fully documented and defensible. The risk in France is no longer just financial; it is a matter of corporate and personal liability.</w:t>
      </w:r>
    </w:p>
    <w:p w14:paraId="60306916" w14:textId="77777777" w:rsidR="003B5E63" w:rsidRPr="00767451" w:rsidRDefault="003B5E63">
      <w:pPr>
        <w:rPr>
          <w:rFonts w:ascii="Arial" w:hAnsi="Arial" w:cs="Arial"/>
          <w:sz w:val="20"/>
          <w:szCs w:val="20"/>
          <w:lang w:val="en-US"/>
        </w:rPr>
      </w:pPr>
    </w:p>
    <w:sectPr w:rsidR="003B5E63" w:rsidRPr="00767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2224"/>
    <w:multiLevelType w:val="multilevel"/>
    <w:tmpl w:val="CFD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9E0813"/>
    <w:multiLevelType w:val="multilevel"/>
    <w:tmpl w:val="F6329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830808">
    <w:abstractNumId w:val="0"/>
  </w:num>
  <w:num w:numId="2" w16cid:durableId="848839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E1"/>
    <w:rsid w:val="0019012A"/>
    <w:rsid w:val="003B55DC"/>
    <w:rsid w:val="003B5E63"/>
    <w:rsid w:val="00422C81"/>
    <w:rsid w:val="004910E1"/>
    <w:rsid w:val="00587E7D"/>
    <w:rsid w:val="00687A14"/>
    <w:rsid w:val="0076624D"/>
    <w:rsid w:val="00767451"/>
    <w:rsid w:val="00A22CA3"/>
    <w:rsid w:val="00A37C64"/>
    <w:rsid w:val="00A54D96"/>
    <w:rsid w:val="00A96205"/>
    <w:rsid w:val="00CC2722"/>
    <w:rsid w:val="00D140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91E1A97"/>
  <w15:chartTrackingRefBased/>
  <w15:docId w15:val="{9761C435-0898-410D-B01B-0C34676E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0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10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910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10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10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10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10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10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10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0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10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910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10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10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10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10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10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10E1"/>
    <w:rPr>
      <w:rFonts w:eastAsiaTheme="majorEastAsia" w:cstheme="majorBidi"/>
      <w:color w:val="272727" w:themeColor="text1" w:themeTint="D8"/>
    </w:rPr>
  </w:style>
  <w:style w:type="paragraph" w:styleId="Title">
    <w:name w:val="Title"/>
    <w:basedOn w:val="Normal"/>
    <w:next w:val="Normal"/>
    <w:link w:val="TitleChar"/>
    <w:uiPriority w:val="10"/>
    <w:qFormat/>
    <w:rsid w:val="004910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10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10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10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10E1"/>
    <w:pPr>
      <w:spacing w:before="160"/>
      <w:jc w:val="center"/>
    </w:pPr>
    <w:rPr>
      <w:i/>
      <w:iCs/>
      <w:color w:val="404040" w:themeColor="text1" w:themeTint="BF"/>
    </w:rPr>
  </w:style>
  <w:style w:type="character" w:customStyle="1" w:styleId="QuoteChar">
    <w:name w:val="Quote Char"/>
    <w:basedOn w:val="DefaultParagraphFont"/>
    <w:link w:val="Quote"/>
    <w:uiPriority w:val="29"/>
    <w:rsid w:val="004910E1"/>
    <w:rPr>
      <w:i/>
      <w:iCs/>
      <w:color w:val="404040" w:themeColor="text1" w:themeTint="BF"/>
    </w:rPr>
  </w:style>
  <w:style w:type="paragraph" w:styleId="ListParagraph">
    <w:name w:val="List Paragraph"/>
    <w:basedOn w:val="Normal"/>
    <w:uiPriority w:val="34"/>
    <w:qFormat/>
    <w:rsid w:val="004910E1"/>
    <w:pPr>
      <w:ind w:left="720"/>
      <w:contextualSpacing/>
    </w:pPr>
  </w:style>
  <w:style w:type="character" w:styleId="IntenseEmphasis">
    <w:name w:val="Intense Emphasis"/>
    <w:basedOn w:val="DefaultParagraphFont"/>
    <w:uiPriority w:val="21"/>
    <w:qFormat/>
    <w:rsid w:val="004910E1"/>
    <w:rPr>
      <w:i/>
      <w:iCs/>
      <w:color w:val="0F4761" w:themeColor="accent1" w:themeShade="BF"/>
    </w:rPr>
  </w:style>
  <w:style w:type="paragraph" w:styleId="IntenseQuote">
    <w:name w:val="Intense Quote"/>
    <w:basedOn w:val="Normal"/>
    <w:next w:val="Normal"/>
    <w:link w:val="IntenseQuoteChar"/>
    <w:uiPriority w:val="30"/>
    <w:qFormat/>
    <w:rsid w:val="004910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10E1"/>
    <w:rPr>
      <w:i/>
      <w:iCs/>
      <w:color w:val="0F4761" w:themeColor="accent1" w:themeShade="BF"/>
    </w:rPr>
  </w:style>
  <w:style w:type="character" w:styleId="IntenseReference">
    <w:name w:val="Intense Reference"/>
    <w:basedOn w:val="DefaultParagraphFont"/>
    <w:uiPriority w:val="32"/>
    <w:qFormat/>
    <w:rsid w:val="004910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0</Pages>
  <Words>0</Words>
  <Characters>0</Characters>
  <Application>Microsoft Office Word</Application>
  <DocSecurity>4</DocSecurity>
  <Lines>0</Lines>
  <Paragraphs>0</Paragraphs>
  <ScaleCrop>false</ScaleCrop>
  <Company>RSM</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van den Broek</dc:creator>
  <cp:keywords/>
  <dc:description/>
  <cp:lastModifiedBy>Quentin van den Broek</cp:lastModifiedBy>
  <cp:revision>1</cp:revision>
  <dcterms:created xsi:type="dcterms:W3CDTF">2025-08-29T12:27:00Z</dcterms:created>
  <dcterms:modified xsi:type="dcterms:W3CDTF">2025-08-29T12:29:00Z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SLTemplateName">
    <vt:lpwstr>normal</vt:lpwstr>
  </property>
</Properties>
</file>