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4502"/>
        <w:gridCol w:w="4524"/>
        <w:tblGridChange w:id="0">
          <w:tblGrid>
            <w:gridCol w:w="4502"/>
            <w:gridCol w:w="45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GIẢNG VIÊN HƯỚNG DẪN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NGUYỄN MINH TRUNG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HỌC PHẦN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NỀN TẢNG CÔNG NGHỆ SỐ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TIẾT 2 - TỰ RÈN MẬT KHẨU BẢO MẬT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Sinh Viên Phụ Trách: Lê Vũ Duy (B2509719)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Kiểm tra mật khẩu hiện tại: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Sử dụng công cụ Password strenght meter (website) để đánh giá mức độ mạnh của mật khẩu hiện tại.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2781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 sánh cách đặt mật khẩu: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Công thức: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[Chữ cái đầu của một câu hát yêu thích] + [Ký tự đặc biệt] + [Một con số không liên quan đến ngày sinh]</w:t>
        <w:br w:type="textWrapping"/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Ví dụ câu hát: "Hôm nay tôi buồn một mình trên phố đông" -&gt;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Hntb1mtpd@456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Thực hành bật 2FA: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Thực hiện bật 2FA (xác minh 2 bước) cho tài khoản google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290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Checklist “Quy tắc bảo mật tài khoản”: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Checklist “Quy tắc bảo mật tài khoản”:</w:t>
        <w:br w:type="textWrapping"/>
        <w:t xml:space="preserve">+ Độ dài mật khẩu luôn từ 12 ký tự trở lên, có chứa chữ thường, chữ hoa, số và kí tự đặc biệt.</w:t>
        <w:br w:type="textWrapping"/>
        <w:t xml:space="preserve">+ Không sử dụng chung 1 mật khẩu cho nhiều tài khoản (đặc biệt tách riêng pass ngân hàng, email công việc và mạng xã hội).</w:t>
        <w:br w:type="textWrapping"/>
        <w:t xml:space="preserve">+ Luôn bật 2FA cho các tài khoản có liên kết thẻ tín dụng hoặc thông tin cá nhân.</w:t>
        <w:br w:type="textWrapping"/>
        <w:t xml:space="preserve">+ Không lưu mật khẩu tự động trên trình duyệt ở máy tính trường học/quán net.</w:t>
        <w:br w:type="textWrapping"/>
        <w:t xml:space="preserve">+ Định kỳ đổi mật khẩu 6 tháng/lần cho các tài khoản lõi (Gmail, iCloud)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