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88" w:before="0" w:after="90"/>
        <w:contextualSpacing/>
        <w:jc w:val="both"/>
        <w:rPr>
          <w:bCs/>
          <w:color w:themeColor="text1" w:val="000000"/>
          <w:sz w:val="26"/>
          <w:szCs w:val="26"/>
        </w:rPr>
      </w:pPr>
      <w:r>
        <w:rPr/>
      </w:r>
    </w:p>
    <w:p>
      <w:pPr>
        <w:pStyle w:val="Normal"/>
        <w:bidi w:val="0"/>
        <w:spacing w:lineRule="auto" w:line="288" w:before="0" w:after="90"/>
        <w:ind w:firstLine="720"/>
        <w:contextualSpacing/>
        <w:jc w:val="both"/>
        <w:rPr>
          <w:color w:themeColor="text1" w:val="000000"/>
          <w:sz w:val="26"/>
          <w:szCs w:val="26"/>
        </w:rPr>
      </w:pPr>
      <w:r>
        <w:rPr>
          <w:color w:themeColor="text1" w:val="000000"/>
          <w:sz w:val="26"/>
          <w:szCs w:val="26"/>
        </w:rPr>
        <w:t xml:space="preserve">- Học phần là khối lượng kiến thức tương đối trọn vẹn, thuận tiện cho sinh viên tích luỹ trong quá trình học tập. Phần lớn học phần có khối lượng từ 2 đến 4 tín chỉ, nội dung được bố trí giảng dạy trọn vẹn và phân bố đều trong một học kỳ. Kiến thức trong mỗi học phần phải gắn với một mức trình độ theo năm học thiết kế và được kết cấu riêng như một phần của học phần hoặc được kết cấu dưới dạng tổ hợp từ nhiều học phần. Từng học phần phải được ký hiệu bằng một mã số riêng do trường quy định. </w:t>
      </w:r>
    </w:p>
    <w:p>
      <w:pPr>
        <w:pStyle w:val="Normal"/>
        <w:bidi w:val="0"/>
        <w:spacing w:lineRule="auto" w:line="288" w:before="0" w:after="90"/>
        <w:ind w:firstLine="720"/>
        <w:contextualSpacing/>
        <w:jc w:val="both"/>
        <w:rPr>
          <w:color w:themeColor="text1" w:val="000000"/>
          <w:sz w:val="26"/>
          <w:szCs w:val="26"/>
          <w:shd w:fill="FFFFFF" w:val="clear"/>
        </w:rPr>
      </w:pPr>
      <w:r>
        <w:rPr>
          <w:color w:themeColor="text1" w:val="000000"/>
          <w:sz w:val="26"/>
          <w:szCs w:val="26"/>
          <w:shd w:fill="FFFFFF" w:val="clear"/>
        </w:rPr>
        <w:t xml:space="preserve">- Tín chỉ là đơn vị được sử dụng để tính khối lượng học tập, tích lũy của sinh viên. </w:t>
      </w:r>
    </w:p>
    <w:p>
      <w:pPr>
        <w:pStyle w:val="Normal"/>
        <w:bidi w:val="0"/>
        <w:spacing w:lineRule="auto" w:line="288" w:before="0" w:after="90"/>
        <w:contextualSpacing/>
        <w:jc w:val="both"/>
        <w:rPr>
          <w:color w:themeColor="text1" w:val="000000"/>
          <w:sz w:val="26"/>
          <w:szCs w:val="26"/>
        </w:rPr>
      </w:pPr>
      <w:r>
        <w:rPr>
          <w:color w:themeColor="text1" w:val="000000"/>
          <w:sz w:val="26"/>
          <w:szCs w:val="26"/>
        </w:rPr>
        <w:t>Các loại học phần</w:t>
      </w:r>
    </w:p>
    <w:p>
      <w:pPr>
        <w:pStyle w:val="Normal"/>
        <w:bidi w:val="0"/>
        <w:spacing w:lineRule="auto" w:line="288" w:before="0" w:after="90"/>
        <w:ind w:firstLine="720"/>
        <w:contextualSpacing/>
        <w:jc w:val="both"/>
        <w:rPr>
          <w:i/>
          <w:i/>
          <w:color w:themeColor="text1" w:val="000000"/>
          <w:sz w:val="26"/>
          <w:szCs w:val="26"/>
        </w:rPr>
      </w:pPr>
      <w:r>
        <w:rPr>
          <w:i/>
          <w:color w:themeColor="text1" w:val="000000"/>
          <w:sz w:val="26"/>
          <w:szCs w:val="26"/>
        </w:rPr>
        <w:t>* Học phần bắt buộc, học phần tự chọn</w:t>
      </w:r>
    </w:p>
    <w:p>
      <w:pPr>
        <w:pStyle w:val="Normal"/>
        <w:bidi w:val="0"/>
        <w:spacing w:lineRule="auto" w:line="288" w:before="0" w:after="90"/>
        <w:ind w:firstLine="720"/>
        <w:contextualSpacing/>
        <w:jc w:val="both"/>
        <w:rPr>
          <w:color w:themeColor="text1" w:val="000000"/>
          <w:sz w:val="26"/>
          <w:szCs w:val="26"/>
        </w:rPr>
      </w:pPr>
      <w:r>
        <w:rPr>
          <w:color w:themeColor="text1" w:val="000000"/>
          <w:sz w:val="26"/>
          <w:szCs w:val="26"/>
        </w:rPr>
        <w:t xml:space="preserve">- Học phần bắt buộc là học phần chứa đựng những nội dung kiến thức chính yếu của mỗi chương trình và bắt buộc sinh viên phải tích lũy. </w:t>
      </w:r>
    </w:p>
    <w:p>
      <w:pPr>
        <w:pStyle w:val="Normal"/>
        <w:bidi w:val="0"/>
        <w:spacing w:lineRule="auto" w:line="288" w:before="0" w:after="90"/>
        <w:ind w:firstLine="720"/>
        <w:contextualSpacing/>
        <w:jc w:val="both"/>
        <w:rPr>
          <w:color w:themeColor="text1" w:val="000000"/>
          <w:sz w:val="26"/>
          <w:szCs w:val="26"/>
        </w:rPr>
      </w:pPr>
      <w:r>
        <w:rPr>
          <w:color w:themeColor="text1" w:val="000000"/>
          <w:sz w:val="26"/>
          <w:szCs w:val="26"/>
        </w:rPr>
        <w:t>- Học phần tự chọn: là học phần chứa đựng những nội dung cần thiết nhưng sinh viên được tự chọn theo hướng dẫn của Trường nhằm đa dạng hóa hướng chuyên môn hoặc tự chọn tự do để tích lũy đủ số học phần quy định cho mỗi chương trình. Có hai loại học phần tự chọn:</w:t>
      </w:r>
    </w:p>
    <w:p>
      <w:pPr>
        <w:pStyle w:val="Normal"/>
        <w:bidi w:val="0"/>
        <w:spacing w:lineRule="auto" w:line="288" w:before="0" w:after="90"/>
        <w:ind w:firstLine="679" w:start="41"/>
        <w:contextualSpacing/>
        <w:jc w:val="both"/>
        <w:rPr>
          <w:color w:themeColor="text1" w:val="000000"/>
          <w:sz w:val="26"/>
          <w:szCs w:val="26"/>
        </w:rPr>
      </w:pPr>
      <w:r>
        <w:rPr>
          <w:color w:themeColor="text1" w:val="000000"/>
          <w:sz w:val="26"/>
          <w:szCs w:val="26"/>
        </w:rPr>
        <w:t xml:space="preserve">+ Học phần tự chọn bắt buộc theo hướng chuyên ngành: là học phần chứa đựng những nội dung kiến thức cần thiết của chuyên ngành bắt buộc sinh viên phải chọn để tích lũy. Sinh viên chọn các học phần này theo chương trình được thiết kế cho phù hợp theo ý muốn và hướng công tác sau này. </w:t>
      </w:r>
    </w:p>
    <w:p>
      <w:pPr>
        <w:pStyle w:val="Normal"/>
        <w:bidi w:val="0"/>
        <w:spacing w:lineRule="auto" w:line="288" w:before="120" w:after="90"/>
        <w:ind w:firstLine="679" w:start="41"/>
        <w:jc w:val="both"/>
        <w:rPr>
          <w:color w:themeColor="text1" w:val="000000"/>
          <w:sz w:val="26"/>
          <w:szCs w:val="26"/>
          <w:lang w:val="nl-NL"/>
        </w:rPr>
      </w:pPr>
      <w:r>
        <w:rPr>
          <w:color w:themeColor="text1" w:val="000000"/>
          <w:sz w:val="26"/>
          <w:szCs w:val="26"/>
        </w:rPr>
        <w:t xml:space="preserve">+ Học phần chọn tự do là học phần </w:t>
      </w:r>
      <w:r>
        <w:rPr>
          <w:color w:themeColor="text1" w:val="000000"/>
          <w:sz w:val="26"/>
          <w:szCs w:val="26"/>
          <w:lang w:val="nl-NL"/>
        </w:rPr>
        <w:t xml:space="preserve">sinh viên tự do lựa chọn để tích lũy theo khối lượng tín chỉ yêu cầu của chương trình. </w:t>
      </w:r>
    </w:p>
    <w:p>
      <w:pPr>
        <w:pStyle w:val="Normal"/>
        <w:bidi w:val="0"/>
        <w:spacing w:lineRule="auto" w:line="288" w:before="0" w:after="90"/>
        <w:ind w:firstLine="720"/>
        <w:contextualSpacing/>
        <w:jc w:val="both"/>
        <w:rPr>
          <w:color w:themeColor="text1" w:val="000000"/>
          <w:sz w:val="26"/>
          <w:szCs w:val="26"/>
        </w:rPr>
      </w:pPr>
      <w:r>
        <w:rPr>
          <w:i/>
          <w:color w:themeColor="text1" w:val="000000"/>
          <w:sz w:val="26"/>
          <w:szCs w:val="26"/>
        </w:rPr>
        <w:t>* Học phần thay thế tương đương:</w:t>
      </w:r>
      <w:r>
        <w:rPr>
          <w:color w:themeColor="text1" w:val="000000"/>
          <w:sz w:val="26"/>
          <w:szCs w:val="26"/>
        </w:rPr>
        <w:t xml:space="preserve"> là học phần được sử dụng để thay thế một học phần khác trước đây có trong chương trình nhưng nay không còn tổ chức đào tạo nữa.</w:t>
      </w:r>
    </w:p>
    <w:p>
      <w:pPr>
        <w:pStyle w:val="Normal"/>
        <w:bidi w:val="0"/>
        <w:spacing w:lineRule="auto" w:line="288" w:before="0" w:after="90"/>
        <w:ind w:firstLine="720"/>
        <w:contextualSpacing/>
        <w:jc w:val="both"/>
        <w:rPr>
          <w:i/>
          <w:i/>
          <w:color w:themeColor="text1" w:val="000000"/>
          <w:sz w:val="26"/>
          <w:szCs w:val="26"/>
        </w:rPr>
      </w:pPr>
      <w:r>
        <w:rPr>
          <w:i/>
          <w:color w:themeColor="text1" w:val="000000"/>
          <w:sz w:val="26"/>
          <w:szCs w:val="26"/>
        </w:rPr>
        <w:t>* Học phần tiên quyết, học trước, song hành và học phần cấp chứng chỉ</w:t>
      </w:r>
    </w:p>
    <w:p>
      <w:pPr>
        <w:pStyle w:val="Normal"/>
        <w:bidi w:val="0"/>
        <w:spacing w:lineRule="auto" w:line="288" w:before="0" w:after="90"/>
        <w:ind w:firstLine="720"/>
        <w:contextualSpacing/>
        <w:jc w:val="both"/>
        <w:rPr>
          <w:color w:themeColor="text1" w:val="000000"/>
          <w:sz w:val="26"/>
          <w:szCs w:val="26"/>
        </w:rPr>
      </w:pPr>
      <w:r>
        <w:rPr>
          <w:color w:themeColor="text1" w:val="000000"/>
          <w:sz w:val="26"/>
          <w:szCs w:val="26"/>
        </w:rPr>
        <w:t xml:space="preserve">- Học phần tiên quyết: Học phần A được gọi là học phần tiên quyết của học phần B khi muốn đăng ký học phần B thì trước đó phải học và đạt học phần A. </w:t>
      </w:r>
    </w:p>
    <w:p>
      <w:pPr>
        <w:pStyle w:val="Normal"/>
        <w:bidi w:val="0"/>
        <w:spacing w:lineRule="auto" w:line="288" w:before="0" w:after="90"/>
        <w:ind w:firstLine="720"/>
        <w:contextualSpacing/>
        <w:jc w:val="both"/>
        <w:rPr>
          <w:strike/>
          <w:color w:themeColor="text1" w:val="000000"/>
          <w:sz w:val="26"/>
          <w:szCs w:val="26"/>
        </w:rPr>
      </w:pPr>
      <w:r>
        <w:rPr>
          <w:color w:themeColor="text1" w:val="000000"/>
          <w:sz w:val="26"/>
          <w:szCs w:val="26"/>
        </w:rPr>
        <w:t xml:space="preserve">- Học phần học trước: Học phần A được gọi là học phần học trước của học phần B khi muốn đăng ký học phần B thì trước đó phải đã đăng ký học học phần A. </w:t>
      </w:r>
    </w:p>
    <w:p>
      <w:pPr>
        <w:pStyle w:val="Normal"/>
        <w:bidi w:val="0"/>
        <w:spacing w:lineRule="auto" w:line="288" w:before="0" w:after="90"/>
        <w:ind w:firstLine="720"/>
        <w:contextualSpacing/>
        <w:jc w:val="both"/>
        <w:rPr>
          <w:color w:themeColor="text1" w:val="000000"/>
          <w:sz w:val="26"/>
          <w:szCs w:val="26"/>
        </w:rPr>
      </w:pPr>
      <w:r>
        <w:rPr>
          <w:color w:themeColor="text1" w:val="000000"/>
          <w:sz w:val="26"/>
          <w:szCs w:val="26"/>
        </w:rPr>
        <w:t>- Học phần song hành: Học phần A được gọi là học phần song hành của học phần B khi điều kiện để học học phần B là phải đăng ký học phần A trước, trong cùng học kỳ. Đối với lần học đầu thì để hủy học phần A thì bắt buộc phải hủy học phần B trước.</w:t>
      </w:r>
    </w:p>
    <w:p>
      <w:pPr>
        <w:pStyle w:val="Normal"/>
        <w:bidi w:val="0"/>
        <w:spacing w:lineRule="auto" w:line="288" w:before="0" w:after="90"/>
        <w:ind w:firstLine="720"/>
        <w:contextualSpacing/>
        <w:jc w:val="both"/>
        <w:rPr>
          <w:color w:themeColor="text1" w:val="000000"/>
          <w:sz w:val="26"/>
          <w:szCs w:val="26"/>
        </w:rPr>
      </w:pPr>
      <w:r>
        <w:rPr>
          <w:color w:themeColor="text1" w:val="000000"/>
          <w:sz w:val="26"/>
          <w:szCs w:val="26"/>
        </w:rPr>
        <w:t>- Học phần cấp chứng chỉ: là học phần không tính tín chỉ tích lũy, sinh viên hoàn thành các học phần này sẽ được cấp chứng chỉ theo quy định.</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532</Words>
  <Characters>1828</Characters>
  <CharactersWithSpaces>2353</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2026-02-25T21:58:57Z</dcterms:created>
  <dc:creator/>
  <dc:description/>
  <dc:language>en-US</dc:language>
  <cp:lastModifiedBy/>
  <dcterms:modified xsi:type="dcterms:W3CDTF">2026-02-25T22:57:28Z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