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r>
    </w:p>
    <w:p>
      <w:pPr>
        <w:pStyle w:val="Normal"/>
        <w:spacing w:lineRule="auto" w:line="360" w:before="0" w:after="120"/>
        <w:jc w:val="both"/>
        <w:rPr>
          <w:sz w:val="26"/>
          <w:szCs w:val="26"/>
        </w:rPr>
      </w:pPr>
      <w:r>
        <w:rPr>
          <w:sz w:val="26"/>
          <w:szCs w:val="26"/>
        </w:rPr>
        <w:tab/>
        <w:t>Căn cứ tình hình thực tế, Trường Đại học Thuỷ lợi triển khai thực hiện Quy chế sinh viên ngoại trú từ năm học 2010 – 2011 như sau:</w:t>
      </w:r>
    </w:p>
    <w:p>
      <w:pPr>
        <w:pStyle w:val="Normal"/>
        <w:spacing w:lineRule="auto" w:line="360" w:before="0" w:after="120"/>
        <w:jc w:val="both"/>
        <w:rPr>
          <w:b/>
          <w:sz w:val="26"/>
          <w:szCs w:val="26"/>
        </w:rPr>
      </w:pPr>
      <w:r>
        <w:rPr>
          <w:b/>
          <w:sz w:val="26"/>
          <w:szCs w:val="26"/>
        </w:rPr>
        <w:tab/>
        <w:t>1. Một số quy định đối với sinh viên ngoại trú</w:t>
      </w:r>
    </w:p>
    <w:p>
      <w:pPr>
        <w:pStyle w:val="Normal"/>
        <w:numPr>
          <w:ilvl w:val="1"/>
          <w:numId w:val="2"/>
        </w:numPr>
        <w:tabs>
          <w:tab w:val="clear" w:pos="720"/>
          <w:tab w:val="left" w:pos="1010" w:leader="none"/>
          <w:tab w:val="left" w:pos="1080" w:leader="none"/>
        </w:tabs>
        <w:spacing w:lineRule="auto" w:line="360" w:before="0" w:after="120"/>
        <w:ind w:hanging="540" w:start="1260" w:end="0"/>
        <w:jc w:val="both"/>
        <w:rPr>
          <w:sz w:val="26"/>
          <w:szCs w:val="26"/>
        </w:rPr>
      </w:pPr>
      <w:r>
        <w:rPr>
          <w:sz w:val="26"/>
          <w:szCs w:val="26"/>
        </w:rPr>
        <w:t>Sinh viên ngoại trú là sinh viên không ở trong khu nội trú của nhà trường</w:t>
      </w:r>
    </w:p>
    <w:p>
      <w:pPr>
        <w:pStyle w:val="Normal"/>
        <w:spacing w:lineRule="auto" w:line="360" w:before="0" w:after="120"/>
        <w:jc w:val="both"/>
        <w:rPr/>
      </w:pPr>
      <w:r>
        <w:rPr>
          <w:sz w:val="26"/>
          <w:szCs w:val="26"/>
        </w:rPr>
        <w:tab/>
        <w:t>1.2. Sinh viên ngoại trú phải thực hiện nghĩa vụ theo quy định hiện hành của Quy chế học sinh, sinh viên trường đại học, cao đẳng, trung cấp chuyên nghiệp hệ chính quy do Bộ Giáo dục và Đào tạo ban hành và thực hiện nghĩa vụ công dân theo quy định của Pháp luật, chấp hành các quy định về đảm bảo an ninh, trật tự, an toàn xã hội; tích cực tham gia các hoạt động văn hoá, văn nghệ, thể dục, thể thao, phòng chống ma tuý, phòng chống tội phạm, các tệ nạn xã hội. bảo vệ môi trường nơi cư trú và các hoạt động khác do địa phương tổ chức.</w:t>
      </w:r>
    </w:p>
    <w:p>
      <w:pPr>
        <w:pStyle w:val="Normal"/>
        <w:spacing w:lineRule="auto" w:line="360" w:before="0" w:after="120"/>
        <w:jc w:val="both"/>
        <w:rPr/>
      </w:pPr>
      <w:r>
        <w:rPr>
          <w:sz w:val="26"/>
          <w:szCs w:val="26"/>
        </w:rPr>
        <w:tab/>
        <w:t xml:space="preserve">1.3. Sinh viên ngoại trú </w:t>
      </w:r>
      <w:r>
        <w:rPr>
          <w:i/>
          <w:sz w:val="26"/>
          <w:szCs w:val="26"/>
        </w:rPr>
        <w:t xml:space="preserve">(trừ sinh viên có hộ khẩu thường trú và đang cư trú tại nơi có hộ khẩu) </w:t>
      </w:r>
      <w:r>
        <w:rPr>
          <w:sz w:val="26"/>
          <w:szCs w:val="26"/>
        </w:rPr>
        <w:t>phải đăng ký tạm trú với công an xã (phường, thị trấn).</w:t>
      </w:r>
    </w:p>
    <w:p>
      <w:pPr>
        <w:pStyle w:val="Normal"/>
        <w:spacing w:lineRule="auto" w:line="360" w:before="0" w:after="120"/>
        <w:jc w:val="both"/>
        <w:rPr/>
      </w:pPr>
      <w:r>
        <w:rPr>
          <w:sz w:val="26"/>
          <w:szCs w:val="26"/>
        </w:rPr>
        <w:tab/>
        <w:t xml:space="preserve">1.4. Tất cả sinh viên ngoại trú </w:t>
      </w:r>
      <w:r>
        <w:rPr>
          <w:i/>
          <w:sz w:val="26"/>
          <w:szCs w:val="26"/>
        </w:rPr>
        <w:t>(kể cả sinh viên có hộ khẩu thường trú và đang cư trú tại nơi có hộ khẩu)</w:t>
      </w:r>
      <w:r>
        <w:rPr>
          <w:sz w:val="26"/>
          <w:szCs w:val="26"/>
        </w:rPr>
        <w:t xml:space="preserve"> phải báo với nhà trường (qua Lớp trưởng) về địa chỉ ngoại trú của mình trong thời hạn 30 ngày, kể từ ngày nhập học. Khi có sự thay đổi về nơi cư trú, phải báo địa chỉ cư trú mới của mình với nhà trường trong thời hạn 20 ngày.</w:t>
      </w:r>
    </w:p>
    <w:p>
      <w:pPr>
        <w:pStyle w:val="Normal"/>
        <w:spacing w:lineRule="auto" w:line="360" w:before="0" w:after="120"/>
        <w:jc w:val="both"/>
        <w:rPr>
          <w:b/>
          <w:sz w:val="26"/>
          <w:szCs w:val="26"/>
        </w:rPr>
      </w:pPr>
      <w:r>
        <w:rPr>
          <w:b/>
          <w:sz w:val="26"/>
          <w:szCs w:val="26"/>
        </w:rPr>
        <w:tab/>
        <w:t>2. Kế hoạch thực hiện</w:t>
      </w:r>
    </w:p>
    <w:p>
      <w:pPr>
        <w:pStyle w:val="Normal"/>
        <w:spacing w:lineRule="auto" w:line="360" w:before="0" w:after="120"/>
        <w:jc w:val="both"/>
        <w:rPr/>
      </w:pPr>
      <w:r>
        <w:rPr>
          <w:b/>
          <w:i/>
          <w:sz w:val="26"/>
          <w:szCs w:val="26"/>
        </w:rPr>
        <w:tab/>
        <w:t>2.1. Vào đầu khoá học:</w:t>
      </w:r>
    </w:p>
    <w:p>
      <w:pPr>
        <w:pStyle w:val="Normal"/>
        <w:spacing w:lineRule="auto" w:line="360" w:before="0" w:after="120"/>
        <w:jc w:val="both"/>
        <w:rPr>
          <w:sz w:val="26"/>
          <w:szCs w:val="26"/>
        </w:rPr>
      </w:pPr>
      <w:r>
        <w:rPr>
          <w:sz w:val="26"/>
          <w:szCs w:val="26"/>
        </w:rPr>
        <w:tab/>
        <w:t xml:space="preserve">- Phòng CTCT &amp; Quản lý sinh viên cấp phát </w:t>
      </w:r>
      <w:r>
        <w:rPr>
          <w:b/>
          <w:sz w:val="26"/>
          <w:szCs w:val="26"/>
        </w:rPr>
        <w:t>“Sổ theo dõi sinh viên ngoại trú”</w:t>
      </w:r>
      <w:r>
        <w:rPr>
          <w:sz w:val="26"/>
          <w:szCs w:val="26"/>
        </w:rPr>
        <w:t xml:space="preserve"> cho Lớp trưởng các lớp.</w:t>
      </w:r>
    </w:p>
    <w:p>
      <w:pPr>
        <w:pStyle w:val="Normal"/>
        <w:spacing w:lineRule="auto" w:line="360" w:before="0" w:after="120"/>
        <w:jc w:val="both"/>
        <w:rPr>
          <w:sz w:val="26"/>
          <w:szCs w:val="26"/>
        </w:rPr>
      </w:pPr>
      <w:r>
        <w:rPr>
          <w:sz w:val="26"/>
          <w:szCs w:val="26"/>
        </w:rPr>
        <w:tab/>
        <w:t>- Lớp trưởng các lớp phải có trách nhiệm lưu giữ, bảo quản “Sổ theo dõi sinh viên ngoại trú” trong toàn khóa học.</w:t>
      </w:r>
    </w:p>
    <w:p>
      <w:pPr>
        <w:pStyle w:val="Normal"/>
        <w:spacing w:lineRule="auto" w:line="360" w:before="0" w:after="120"/>
        <w:jc w:val="both"/>
        <w:rPr>
          <w:b/>
          <w:i/>
          <w:i/>
          <w:sz w:val="26"/>
          <w:szCs w:val="26"/>
        </w:rPr>
      </w:pPr>
      <w:r>
        <w:rPr>
          <w:b/>
          <w:i/>
          <w:sz w:val="26"/>
          <w:szCs w:val="26"/>
        </w:rPr>
        <w:tab/>
        <w:t>2.2. Vào đầu mỗi học kỳ:</w:t>
      </w:r>
    </w:p>
    <w:p>
      <w:pPr>
        <w:pStyle w:val="Normal"/>
        <w:spacing w:lineRule="auto" w:line="360" w:before="0" w:after="120"/>
        <w:jc w:val="both"/>
        <w:rPr/>
      </w:pPr>
      <w:r>
        <w:rPr>
          <w:sz w:val="26"/>
          <w:szCs w:val="26"/>
        </w:rPr>
        <w:tab/>
        <w:t>- Trong vòng 4 tuần đầu mỗi học kỳ, Lớp trưởng yêu cầu những sinh viên trong lớp không ở trong khu nội trú của nhà trường khai rõ địa chỉ nơi cư trú của mình vào Sổ. Khi có sự thay đổi nơi cư trú, sinh viên phải báo với Lớp trưởng để cập nhật địa chỉ mới vào “Sổ theo dõi sinh viên ngoại trú” để nhà trường quản lý.</w:t>
      </w:r>
    </w:p>
    <w:p>
      <w:pPr>
        <w:pStyle w:val="Normal"/>
        <w:spacing w:lineRule="auto" w:line="360" w:before="0" w:after="120"/>
        <w:jc w:val="both"/>
        <w:rPr>
          <w:sz w:val="26"/>
          <w:szCs w:val="26"/>
        </w:rPr>
      </w:pPr>
      <w:r>
        <w:rPr>
          <w:sz w:val="26"/>
          <w:szCs w:val="26"/>
        </w:rPr>
        <w:tab/>
        <w:t xml:space="preserve">- Tuần thứ 5 đầu mỗi học kỳ, Lớp trưởng báo cáo tình hình sinh viên ngoại trú </w:t>
      </w:r>
      <w:r>
        <w:rPr>
          <w:i/>
          <w:sz w:val="26"/>
          <w:szCs w:val="26"/>
        </w:rPr>
        <w:t>(theo mẫu 1)</w:t>
      </w:r>
      <w:r>
        <w:rPr>
          <w:sz w:val="26"/>
          <w:szCs w:val="26"/>
        </w:rPr>
        <w:t xml:space="preserve"> và gửi về Khoa chủ quản để theo dõi và kiểm tra.</w:t>
      </w:r>
    </w:p>
    <w:p>
      <w:pPr>
        <w:pStyle w:val="Normal"/>
        <w:spacing w:lineRule="auto" w:line="360" w:before="0" w:after="120"/>
        <w:jc w:val="both"/>
        <w:rPr/>
      </w:pPr>
      <w:r>
        <w:rPr>
          <w:b/>
          <w:i/>
          <w:sz w:val="26"/>
          <w:szCs w:val="26"/>
        </w:rPr>
        <w:tab/>
        <w:t>2.3. Kết thúc mỗi học kỳ:</w:t>
      </w:r>
    </w:p>
    <w:p>
      <w:pPr>
        <w:pStyle w:val="Normal"/>
        <w:spacing w:lineRule="auto" w:line="360" w:before="0" w:after="120"/>
        <w:jc w:val="both"/>
        <w:rPr/>
      </w:pPr>
      <w:r>
        <w:rPr>
          <w:sz w:val="26"/>
          <w:szCs w:val="26"/>
        </w:rPr>
        <w:tab/>
        <w:t xml:space="preserve">- Các Khoa thu “Sổ theo dõi sinh viên ngoại trú” của các lớp, lập báo cáo </w:t>
      </w:r>
      <w:r>
        <w:rPr>
          <w:i/>
          <w:sz w:val="26"/>
          <w:szCs w:val="26"/>
        </w:rPr>
        <w:t>(theo mẫu 2)</w:t>
      </w:r>
      <w:r>
        <w:rPr>
          <w:sz w:val="26"/>
          <w:szCs w:val="26"/>
        </w:rPr>
        <w:t xml:space="preserve"> gửi về Phòng Công tác chính trị &amp; Quản lý sinh viên đồng thời đánh giá ý thức sinh viên trong việc chấp hành quy chế ngoại trú khi đánh giá kết quả rèn luyện của sinh viên.</w:t>
      </w:r>
    </w:p>
    <w:p>
      <w:pPr>
        <w:pStyle w:val="Normal"/>
        <w:spacing w:lineRule="auto" w:line="360" w:before="0" w:after="120"/>
        <w:ind w:firstLine="720" w:end="0"/>
        <w:jc w:val="both"/>
        <w:rPr>
          <w:sz w:val="26"/>
          <w:szCs w:val="26"/>
        </w:rPr>
      </w:pPr>
      <w:r>
        <w:rPr>
          <w:sz w:val="26"/>
          <w:szCs w:val="26"/>
        </w:rPr>
        <w:t xml:space="preserve">- Phòng Công tác chính trị và Quản lý sinh viên tiến hành tổng hợp tình hình sinh viên ngoại trú </w:t>
      </w:r>
      <w:r>
        <w:rPr>
          <w:i/>
          <w:sz w:val="26"/>
          <w:szCs w:val="26"/>
        </w:rPr>
        <w:t>(theo mẫu 3)</w:t>
      </w:r>
      <w:r>
        <w:rPr>
          <w:sz w:val="26"/>
          <w:szCs w:val="26"/>
        </w:rPr>
        <w:t xml:space="preserve"> để báo cáo Bộ Giáo dục và Đào tạo.</w:t>
      </w:r>
    </w:p>
    <w:p>
      <w:pPr>
        <w:pStyle w:val="Normal"/>
        <w:spacing w:lineRule="auto" w:line="360" w:before="0" w:after="120"/>
        <w:jc w:val="both"/>
        <w:rPr/>
      </w:pPr>
      <w:r>
        <w:rPr>
          <w:b/>
          <w:sz w:val="26"/>
          <w:szCs w:val="26"/>
        </w:rPr>
        <w:tab/>
        <w:t>3. Tổ chức thực hiện</w:t>
      </w:r>
    </w:p>
    <w:p>
      <w:pPr>
        <w:pStyle w:val="Normal"/>
        <w:spacing w:before="0" w:after="120"/>
        <w:jc w:val="both"/>
        <w:rPr/>
      </w:pPr>
      <w:r>
        <w:rPr>
          <w:sz w:val="26"/>
          <w:szCs w:val="26"/>
          <w:lang w:val="fr-FR"/>
        </w:rPr>
        <w:tab/>
        <w:t>3.1. Các lớp sinh viên, các đơn vị triển khai thực hiện theo đúng nội dung thông báo kể từ ngày ký. Phòng Công tác chính trị &amp; Quản lý sinh viên là đơn vị đầu mối triển khai công tác này.</w:t>
      </w:r>
    </w:p>
    <w:p>
      <w:pPr>
        <w:pStyle w:val="Normal"/>
        <w:spacing w:before="0" w:after="120"/>
        <w:jc w:val="both"/>
        <w:rPr/>
      </w:pPr>
      <w:r>
        <w:rPr>
          <w:sz w:val="26"/>
          <w:szCs w:val="26"/>
          <w:lang w:val="fr-FR"/>
        </w:rPr>
        <w:tab/>
        <w:t xml:space="preserve">3.2. Trong quá trình thực hiện, nếu có vướng mắc, các đơn vị báo cáo Ban Giám hiệu bằng văn bản </w:t>
      </w:r>
      <w:r>
        <w:rPr>
          <w:i/>
          <w:sz w:val="26"/>
          <w:szCs w:val="26"/>
          <w:lang w:val="fr-FR"/>
        </w:rPr>
        <w:t>(qua phòng Công tác chính trị &amp; Quản lý sinh viên)</w:t>
      </w:r>
      <w:r>
        <w:rPr>
          <w:sz w:val="26"/>
          <w:szCs w:val="26"/>
          <w:lang w:val="fr-FR"/>
        </w:rPr>
        <w:t xml:space="preserve"> để được xem xét giải quyết.</w:t>
      </w:r>
    </w:p>
    <w:p>
      <w:pPr>
        <w:pStyle w:val="Normal"/>
        <w:spacing w:lineRule="auto" w:line="360" w:before="0" w:after="120"/>
        <w:jc w:val="both"/>
        <w:rPr>
          <w:sz w:val="26"/>
          <w:szCs w:val="26"/>
          <w:lang w:val="fr-FR"/>
        </w:rPr>
      </w:pPr>
      <w:r>
        <w:rPr>
          <w:sz w:val="26"/>
          <w:szCs w:val="26"/>
          <w:lang w:val="fr-FR"/>
        </w:rPr>
      </w:r>
    </w:p>
    <w:p>
      <w:pPr>
        <w:pStyle w:val="Normal"/>
        <w:spacing w:lineRule="auto" w:line="360" w:before="0" w:after="120"/>
        <w:jc w:val="both"/>
        <w:rPr>
          <w:sz w:val="26"/>
          <w:szCs w:val="26"/>
          <w:lang w:val="fr-FR"/>
        </w:rPr>
      </w:pPr>
      <w:r>
        <w:rPr>
          <w:sz w:val="26"/>
          <w:szCs w:val="26"/>
          <w:lang w:val="fr-FR"/>
        </w:rPr>
      </w:r>
    </w:p>
    <w:p>
      <w:pPr>
        <w:pStyle w:val="Normal"/>
        <w:spacing w:lineRule="auto" w:line="360" w:before="0" w:after="120"/>
        <w:jc w:val="both"/>
        <w:rPr>
          <w:sz w:val="26"/>
          <w:szCs w:val="26"/>
          <w:lang w:val="fr-FR"/>
        </w:rPr>
      </w:pPr>
      <w:r>
        <w:rPr>
          <w:i/>
          <w:sz w:val="26"/>
          <w:szCs w:val="26"/>
        </w:rPr>
      </w:r>
    </w:p>
    <w:sectPr>
      <w:type w:val="nextPage"/>
      <w:pgSz w:w="11906" w:h="16838"/>
      <w:pgMar w:left="1701" w:right="569"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 w:name="Tahoma">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390"/>
        </w:tabs>
        <w:ind w:start="390" w:hanging="39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3240"/>
        </w:tabs>
        <w:ind w:start="3240" w:hanging="108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5040"/>
        </w:tabs>
        <w:ind w:start="5040" w:hanging="144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840"/>
        </w:tabs>
        <w:ind w:start="6840" w:hanging="1800"/>
      </w:pPr>
      <w:rPr/>
    </w:lvl>
    <w:lvl w:ilvl="8">
      <w:start w:val="1"/>
      <w:numFmt w:val="decimal"/>
      <w:lvlText w:val="%1.%2.%3.%4.%5.%6.%7.%8.%9."/>
      <w:lvlJc w:val="start"/>
      <w:pPr>
        <w:tabs>
          <w:tab w:val="num" w:pos="7560"/>
        </w:tabs>
        <w:ind w:start="7560" w:hanging="180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jc w:val="center"/>
      <w:outlineLvl w:val="0"/>
    </w:pPr>
    <w:rPr>
      <w:b/>
      <w:bCs/>
      <w:i/>
      <w:iCs/>
      <w:sz w:val="26"/>
    </w:rPr>
  </w:style>
  <w:style w:type="character" w:styleId="WW8Num1z0">
    <w:name w:val="WW8Num1z0"/>
    <w:qFormat/>
    <w:rPr>
      <w:rFonts w:ascii="Times New Roman" w:hAnsi="Times New Roman" w:cs="Times New Roman"/>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703" w:leader="none"/>
        <w:tab w:val="right" w:pos="9406" w:leader="none"/>
      </w:tabs>
    </w:pPr>
    <w:rPr/>
  </w:style>
  <w:style w:type="paragraph" w:styleId="Footer">
    <w:name w:val="Footer"/>
    <w:basedOn w:val="Normal"/>
    <w:pPr>
      <w:tabs>
        <w:tab w:val="clear" w:pos="720"/>
        <w:tab w:val="center" w:pos="4703" w:leader="none"/>
        <w:tab w:val="right" w:pos="9406" w:leader="none"/>
      </w:tabs>
    </w:pPr>
    <w:rPr/>
  </w:style>
  <w:style w:type="paragraph" w:styleId="Char">
    <w:name w:val=" Char"/>
    <w:basedOn w:val="Normal"/>
    <w:qFormat/>
    <w:pPr>
      <w:spacing w:before="280" w:after="280"/>
    </w:pPr>
    <w:rPr>
      <w:rFonts w:ascii="Tahoma" w:hAnsi="Tahoma" w:cs="Tahom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Normal.dot_x005F_x0000_</Template>
  <TotalTime>2</TotalTime>
  <Application>LibreOffice/24.2.7.2$Linux_X86_64 LibreOffice_project/420$Build-2</Application>
  <AppVersion>15.0000</AppVersion>
  <Pages>2</Pages>
  <Words>632</Words>
  <Characters>2200</Characters>
  <CharactersWithSpaces>2830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2013-07-13T09:10:00Z</dcterms:created>
  <dc:creator>HuongGiang</dc:creator>
  <dc:description/>
  <dc:language>en-US</dc:language>
  <cp:lastModifiedBy/>
  <cp:lastPrinted>2010-08-03T17:46:00Z</cp:lastPrinted>
  <dcterms:modified xsi:type="dcterms:W3CDTF">2026-05-10T13:58:11Z</dcterms:modified>
  <cp:revision>4</cp:revision>
  <dc:subject/>
  <dc:title> Bộ Nông nghiệp và PTNT</dc:title>
</cp:coreProperties>
</file>

<file path=docProps/custom.xml><?xml version="1.0" encoding="utf-8"?>
<Properties xmlns="http://schemas.openxmlformats.org/officeDocument/2006/custom-properties" xmlns:vt="http://schemas.openxmlformats.org/officeDocument/2006/docPropsVTypes"/>
</file>