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hd w:val="clear" w:fill="FFFFFF"/>
        <w:tabs>
          <w:tab w:val="clear" w:pos="720"/>
          <w:tab w:val="center" w:pos="1985" w:leader="none"/>
          <w:tab w:val="center" w:pos="6237" w:leader="none"/>
        </w:tabs>
        <w:spacing w:lineRule="auto" w:line="288" w:before="240" w:after="120"/>
        <w:ind w:hanging="0" w:start="0"/>
        <w:jc w:val="center"/>
        <w:outlineLvl w:val="0"/>
        <w:rPr>
          <w:rFonts w:ascii="Times New Roman" w:hAnsi="Times New Roman" w:cs="Times New Roman"/>
          <w:b/>
          <w:sz w:val="26"/>
          <w:szCs w:val="26"/>
        </w:rPr>
      </w:pPr>
      <w:r>
        <w:rPr>
          <w:rFonts w:cs="Times New Roman" w:ascii="Times New Roman" w:hAnsi="Times New Roman"/>
          <w:b/>
          <w:sz w:val="26"/>
          <w:szCs w:val="26"/>
        </w:rPr>
      </w:r>
    </w:p>
    <w:p>
      <w:pPr>
        <w:pStyle w:val="Normal"/>
        <w:spacing w:lineRule="auto" w:line="264"/>
        <w:jc w:val="center"/>
        <w:rPr>
          <w:rFonts w:ascii="Times New Roman" w:hAnsi="Times New Roman" w:cs="Times New Roman"/>
          <w:b/>
          <w:sz w:val="28"/>
          <w:szCs w:val="28"/>
        </w:rPr>
      </w:pPr>
      <w:r>
        <w:rPr>
          <w:rFonts w:cs="Times New Roman" w:ascii="Times New Roman" w:hAnsi="Times New Roman"/>
          <w:b/>
          <w:sz w:val="28"/>
          <w:szCs w:val="28"/>
        </w:rPr>
        <w:t xml:space="preserve">QUY ĐỊNH </w:t>
      </w:r>
    </w:p>
    <w:p>
      <w:pPr>
        <w:pStyle w:val="Normal"/>
        <w:spacing w:lineRule="auto" w:line="264"/>
        <w:jc w:val="center"/>
        <w:rPr/>
      </w:pPr>
      <w:r>
        <w:rPr>
          <w:rFonts w:cs="Times New Roman" w:ascii="Times New Roman" w:hAnsi="Times New Roman"/>
          <w:b/>
        </w:rPr>
        <w:t xml:space="preserve">VỀ XÉT, CẤP HỌC BỔNG </w:t>
      </w:r>
      <w:r>
        <w:rPr>
          <w:rFonts w:cs="Times New Roman" w:ascii="Times New Roman" w:hAnsi="Times New Roman"/>
          <w:b/>
          <w:sz w:val="26"/>
          <w:szCs w:val="26"/>
        </w:rPr>
        <w:t xml:space="preserve">KHUYẾN KHÍCH HỌC TẬP </w:t>
      </w:r>
    </w:p>
    <w:p>
      <w:pPr>
        <w:pStyle w:val="Normal"/>
        <w:spacing w:lineRule="auto" w:line="264"/>
        <w:jc w:val="center"/>
        <w:rPr/>
      </w:pPr>
      <w:r>
        <w:rPr>
          <w:rFonts w:cs="Times New Roman" w:ascii="Times New Roman" w:hAnsi="Times New Roman"/>
          <w:b/>
          <w:sz w:val="26"/>
          <w:szCs w:val="26"/>
        </w:rPr>
        <w:t xml:space="preserve">VÀ HỌC BỔNG CHÍNH SÁCH </w:t>
      </w:r>
      <w:r>
        <w:rPr>
          <w:rFonts w:cs="Times New Roman" w:ascii="Times New Roman" w:hAnsi="Times New Roman"/>
          <w:b/>
        </w:rPr>
        <w:t>TẠI TRƯỜNG ĐẠI HỌC THUỶ LỢI</w:t>
      </w:r>
    </w:p>
    <w:p>
      <w:pPr>
        <w:pStyle w:val="BodyText"/>
        <w:spacing w:lineRule="auto" w:line="264" w:before="0" w:after="0"/>
        <w:jc w:val="center"/>
        <w:rPr/>
      </w:pPr>
      <w:r>
        <w:rPr>
          <w:rFonts w:cs="Times New Roman" w:ascii="Times New Roman" w:hAnsi="Times New Roman"/>
          <w:b/>
          <w:i/>
          <w:sz w:val="26"/>
          <w:szCs w:val="26"/>
        </w:rPr>
        <w:t xml:space="preserve"> </w:t>
      </w:r>
      <w:r>
        <w:rPr>
          <w:rFonts w:cs="Times New Roman" w:ascii="Times New Roman" w:hAnsi="Times New Roman"/>
          <w:b/>
          <w:i/>
          <w:sz w:val="26"/>
          <w:szCs w:val="26"/>
        </w:rPr>
        <w:t>(Kèm theo Quyết định số</w:t>
      </w:r>
      <w:r>
        <w:rPr>
          <w:rFonts w:cs="Times New Roman" w:ascii="Times New Roman" w:hAnsi="Times New Roman"/>
          <w:b/>
          <w:i/>
          <w:sz w:val="26"/>
          <w:szCs w:val="26"/>
          <w:lang w:val="en-US"/>
        </w:rPr>
        <w:t xml:space="preserve"> 525</w:t>
      </w:r>
      <w:r>
        <w:rPr>
          <w:rFonts w:cs="Times New Roman" w:ascii="Times New Roman" w:hAnsi="Times New Roman"/>
          <w:b/>
          <w:i/>
          <w:sz w:val="26"/>
          <w:szCs w:val="26"/>
        </w:rPr>
        <w:t>/</w:t>
      </w:r>
      <w:r>
        <w:rPr>
          <w:rFonts w:cs="Times New Roman" w:ascii="Times New Roman" w:hAnsi="Times New Roman"/>
          <w:b/>
          <w:i/>
          <w:sz w:val="26"/>
          <w:szCs w:val="26"/>
          <w:lang w:val="en-GB"/>
        </w:rPr>
        <w:t xml:space="preserve">QĐ-ĐHTL </w:t>
      </w:r>
      <w:r>
        <w:rPr>
          <w:rFonts w:cs="Times New Roman" w:ascii="Times New Roman" w:hAnsi="Times New Roman"/>
          <w:b/>
          <w:i/>
          <w:sz w:val="26"/>
          <w:szCs w:val="26"/>
        </w:rPr>
        <w:t xml:space="preserve">ngày </w:t>
      </w:r>
      <w:r>
        <w:rPr>
          <w:rFonts w:cs="Times New Roman" w:ascii="Times New Roman" w:hAnsi="Times New Roman"/>
          <w:b/>
          <w:i/>
          <w:sz w:val="26"/>
          <w:szCs w:val="26"/>
          <w:lang w:val="en-US"/>
        </w:rPr>
        <w:t>12 tháng 5 năm 2021</w:t>
      </w:r>
    </w:p>
    <w:p>
      <w:pPr>
        <w:pStyle w:val="BodyText"/>
        <w:spacing w:lineRule="auto" w:line="264" w:before="0" w:after="0"/>
        <w:jc w:val="center"/>
        <w:rPr>
          <w:rFonts w:ascii="Times New Roman" w:hAnsi="Times New Roman" w:cs="Times New Roman"/>
          <w:b/>
          <w:i/>
          <w:i/>
          <w:sz w:val="26"/>
          <w:szCs w:val="26"/>
        </w:rPr>
      </w:pPr>
      <w:r>
        <w:rPr>
          <w:rFonts w:cs="Times New Roman" w:ascii="Times New Roman" w:hAnsi="Times New Roman"/>
          <w:b/>
          <w:i/>
          <w:sz w:val="26"/>
          <w:szCs w:val="26"/>
        </w:rPr>
        <w:t xml:space="preserve"> </w:t>
      </w:r>
      <w:r>
        <w:rPr>
          <w:rFonts w:cs="Times New Roman" w:ascii="Times New Roman" w:hAnsi="Times New Roman"/>
          <w:b/>
          <w:i/>
          <w:sz w:val="26"/>
          <w:szCs w:val="26"/>
        </w:rPr>
        <w:t>của Hiệu trưởng Trường Đại học Thủy lợi)</w:t>
      </w:r>
    </w:p>
    <w:p>
      <w:pPr>
        <w:pStyle w:val="Normal"/>
        <w:shd w:val="clear" w:fill="FFFFFF"/>
        <w:spacing w:lineRule="auto" w:line="288" w:before="0" w:after="120"/>
        <w:ind w:firstLine="720" w:end="0"/>
        <w:jc w:val="center"/>
        <w:rPr>
          <w:rFonts w:ascii="Times New Roman" w:hAnsi="Times New Roman" w:cs="Times New Roman"/>
          <w:b/>
          <w:i/>
          <w:i/>
          <w:sz w:val="12"/>
          <w:szCs w:val="26"/>
        </w:rPr>
      </w:pPr>
      <w:r>
        <w:rPr>
          <w:rFonts w:cs="Times New Roman" w:ascii="Times New Roman" w:hAnsi="Times New Roman"/>
          <w:b/>
          <w:i/>
          <w:sz w:val="12"/>
          <w:szCs w:val="26"/>
        </w:rPr>
      </w:r>
    </w:p>
    <w:p>
      <w:pPr>
        <w:pStyle w:val="Normal"/>
        <w:spacing w:lineRule="auto" w:line="288" w:before="0" w:after="120"/>
        <w:ind w:firstLine="720" w:end="0"/>
        <w:jc w:val="both"/>
        <w:rPr>
          <w:rFonts w:ascii="Times New Roman" w:hAnsi="Times New Roman" w:cs="Times New Roman"/>
          <w:b/>
          <w:sz w:val="26"/>
          <w:szCs w:val="26"/>
        </w:rPr>
      </w:pPr>
      <w:r>
        <w:rPr>
          <w:rFonts w:cs="Times New Roman" w:ascii="Times New Roman" w:hAnsi="Times New Roman"/>
          <w:b/>
          <w:sz w:val="26"/>
          <w:szCs w:val="26"/>
        </w:rPr>
        <w:t>Điều 1. Quy định chung về Học bổng khuyến khích học tập (KKHT)</w:t>
      </w:r>
    </w:p>
    <w:p>
      <w:pPr>
        <w:pStyle w:val="Normal"/>
        <w:shd w:val="clear" w:fill="FFFFFF"/>
        <w:spacing w:lineRule="auto" w:line="288" w:before="0" w:after="120"/>
        <w:ind w:firstLine="720" w:end="0"/>
        <w:jc w:val="both"/>
        <w:rPr/>
      </w:pPr>
      <w:r>
        <w:rPr>
          <w:rFonts w:cs="Times New Roman" w:ascii="Times New Roman" w:hAnsi="Times New Roman"/>
          <w:sz w:val="26"/>
          <w:szCs w:val="26"/>
        </w:rPr>
        <w:t xml:space="preserve">1. Quỹ học bổng KKHT hình thành từ nguồn học phí và tối thiểu </w:t>
      </w:r>
      <w:r>
        <w:rPr>
          <w:rFonts w:cs="Times New Roman" w:ascii="Times New Roman" w:hAnsi="Times New Roman"/>
          <w:sz w:val="26"/>
          <w:szCs w:val="26"/>
          <w:lang w:val="en-GB"/>
        </w:rPr>
        <w:t>bằng 8% (tám phần trăm) học phí của học kỳ lấy điểm xét cấp học bổng</w:t>
      </w:r>
      <w:r>
        <w:rPr>
          <w:rFonts w:cs="Times New Roman" w:ascii="Times New Roman" w:hAnsi="Times New Roman"/>
          <w:sz w:val="26"/>
          <w:szCs w:val="26"/>
        </w:rPr>
        <w:t xml:space="preserve">. </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2. Đầu mỗi năm học, Nhà trường phân bổ quỹ học bổng KKHT cho sinh viên theo số lượng sinh viên của các khoa, trung tâm. Căn cứ vào quỹ học bổng được phân bổ, các khoa, trung tâm phân bổ cho sinh viên theo khóa học, ngành học dựa trên số lượng sinh viên của khóa học, ngành học.</w:t>
      </w:r>
    </w:p>
    <w:p>
      <w:pPr>
        <w:pStyle w:val="Normal"/>
        <w:shd w:val="clear" w:fill="FFFFFF"/>
        <w:spacing w:lineRule="auto" w:line="288" w:before="0" w:after="120"/>
        <w:ind w:firstLine="720" w:end="0"/>
        <w:jc w:val="both"/>
        <w:rPr/>
      </w:pPr>
      <w:r>
        <w:rPr>
          <w:rFonts w:cs="Times New Roman" w:ascii="Times New Roman" w:hAnsi="Times New Roman"/>
          <w:sz w:val="26"/>
          <w:szCs w:val="26"/>
        </w:rPr>
        <w:t>3. Học bổng KKHT có 3 mức:</w:t>
      </w:r>
    </w:p>
    <w:p>
      <w:pPr>
        <w:pStyle w:val="Normal"/>
        <w:shd w:val="clear" w:fill="FFFFFF"/>
        <w:spacing w:lineRule="auto" w:line="288" w:before="0" w:after="120"/>
        <w:ind w:firstLine="720" w:end="0"/>
        <w:jc w:val="both"/>
        <w:rPr/>
      </w:pPr>
      <w:r>
        <w:rPr>
          <w:rFonts w:cs="Times New Roman" w:ascii="Times New Roman" w:hAnsi="Times New Roman"/>
          <w:b/>
          <w:sz w:val="26"/>
          <w:szCs w:val="26"/>
        </w:rPr>
        <w:t xml:space="preserve">- </w:t>
      </w:r>
      <w:r>
        <w:rPr>
          <w:rFonts w:cs="Times New Roman" w:ascii="Times New Roman" w:hAnsi="Times New Roman"/>
          <w:b/>
          <w:i/>
          <w:sz w:val="26"/>
          <w:szCs w:val="26"/>
        </w:rPr>
        <w:t>Học bổng loại Khá</w:t>
      </w:r>
      <w:r>
        <w:rPr>
          <w:rFonts w:cs="Times New Roman" w:ascii="Times New Roman" w:hAnsi="Times New Roman"/>
          <w:sz w:val="26"/>
          <w:szCs w:val="26"/>
        </w:rPr>
        <w:t xml:space="preserve">: có giá trị bằng 100% (một trăm phần trăm) mức học phí tín chỉ đại học nhân với số tín chỉ tính học bổng của học kỳ. </w:t>
      </w:r>
    </w:p>
    <w:p>
      <w:pPr>
        <w:pStyle w:val="Normal"/>
        <w:shd w:val="clear" w:fill="FFFFFF"/>
        <w:spacing w:lineRule="auto" w:line="288" w:before="0" w:after="120"/>
        <w:jc w:val="both"/>
        <w:rPr/>
      </w:pPr>
      <w:r>
        <w:rPr>
          <w:rFonts w:cs="Times New Roman" w:ascii="Times New Roman" w:hAnsi="Times New Roman"/>
          <w:sz w:val="26"/>
          <w:szCs w:val="26"/>
        </w:rPr>
        <w:tab/>
        <w:t>-</w:t>
      </w:r>
      <w:r>
        <w:rPr>
          <w:rFonts w:cs="Times New Roman" w:ascii="Times New Roman" w:hAnsi="Times New Roman"/>
          <w:b/>
          <w:sz w:val="26"/>
          <w:szCs w:val="26"/>
        </w:rPr>
        <w:t xml:space="preserve"> </w:t>
      </w:r>
      <w:r>
        <w:rPr>
          <w:rFonts w:cs="Times New Roman" w:ascii="Times New Roman" w:hAnsi="Times New Roman"/>
          <w:b/>
          <w:i/>
          <w:sz w:val="26"/>
          <w:szCs w:val="26"/>
        </w:rPr>
        <w:t>Học bổng loại Giỏi</w:t>
      </w:r>
      <w:r>
        <w:rPr>
          <w:rFonts w:cs="Times New Roman" w:ascii="Times New Roman" w:hAnsi="Times New Roman"/>
          <w:sz w:val="26"/>
          <w:szCs w:val="26"/>
        </w:rPr>
        <w:t xml:space="preserve">: có giá trị bằng 110% (một trăm mười phần trăm) mức học phí tín chỉ đại học nhân với số tín chỉ tính học bổng của học kỳ. </w:t>
      </w:r>
    </w:p>
    <w:p>
      <w:pPr>
        <w:pStyle w:val="Normal"/>
        <w:shd w:val="clear" w:fill="FFFFFF"/>
        <w:spacing w:lineRule="auto" w:line="288" w:before="0" w:after="120"/>
        <w:ind w:firstLine="720" w:end="0"/>
        <w:jc w:val="both"/>
        <w:rPr/>
      </w:pPr>
      <w:r>
        <w:rPr>
          <w:rFonts w:cs="Times New Roman" w:ascii="Times New Roman" w:hAnsi="Times New Roman"/>
          <w:sz w:val="26"/>
          <w:szCs w:val="26"/>
        </w:rPr>
        <w:t>-</w:t>
      </w:r>
      <w:r>
        <w:rPr>
          <w:rFonts w:cs="Times New Roman" w:ascii="Times New Roman" w:hAnsi="Times New Roman"/>
          <w:b/>
          <w:sz w:val="26"/>
          <w:szCs w:val="26"/>
        </w:rPr>
        <w:t xml:space="preserve"> </w:t>
      </w:r>
      <w:r>
        <w:rPr>
          <w:rFonts w:cs="Times New Roman" w:ascii="Times New Roman" w:hAnsi="Times New Roman"/>
          <w:b/>
          <w:i/>
          <w:sz w:val="26"/>
          <w:szCs w:val="26"/>
        </w:rPr>
        <w:t>Học bổng loại Xuất sắc</w:t>
      </w:r>
      <w:r>
        <w:rPr>
          <w:rFonts w:cs="Times New Roman" w:ascii="Times New Roman" w:hAnsi="Times New Roman"/>
          <w:sz w:val="26"/>
          <w:szCs w:val="26"/>
        </w:rPr>
        <w:t xml:space="preserve">: có giá trị bằng 120% (một trăm hai mươi phần trăm) mức học phí tín chỉ đại học nhân với số tín chỉ tính học bổng của học kỳ. </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b/>
          <w:sz w:val="26"/>
          <w:szCs w:val="26"/>
        </w:rPr>
        <w:t>Điều 2. Đối tượng được xét, cấp Học bổng KKHT</w:t>
      </w:r>
    </w:p>
    <w:p>
      <w:pPr>
        <w:pStyle w:val="Normal"/>
        <w:shd w:val="clear" w:fill="FFFFFF"/>
        <w:spacing w:lineRule="auto" w:line="288" w:before="0" w:after="120"/>
        <w:jc w:val="both"/>
        <w:rPr/>
      </w:pPr>
      <w:r>
        <w:rPr>
          <w:rFonts w:cs="Times New Roman" w:ascii="Times New Roman" w:hAnsi="Times New Roman"/>
          <w:sz w:val="26"/>
          <w:szCs w:val="26"/>
        </w:rPr>
        <w:tab/>
        <w:t xml:space="preserve">Sinh viên đang theo học trong thời gian thiết kế </w:t>
      </w:r>
      <w:r>
        <w:rPr>
          <w:rFonts w:cs="Times New Roman" w:ascii="Times New Roman" w:hAnsi="Times New Roman"/>
          <w:color w:val="000000"/>
          <w:sz w:val="26"/>
          <w:szCs w:val="26"/>
        </w:rPr>
        <w:t>cho chương trình đào tạo</w:t>
      </w:r>
      <w:r>
        <w:rPr>
          <w:rFonts w:cs="Times New Roman" w:ascii="Times New Roman" w:hAnsi="Times New Roman"/>
          <w:sz w:val="26"/>
          <w:szCs w:val="26"/>
        </w:rPr>
        <w:t xml:space="preserve"> của ngành đào tạo thứ nhất ở bậc đại học, liên thông cao đẳng lên đại học hình thức chính quy tại trường Đại học Thủy lợi.</w:t>
      </w:r>
    </w:p>
    <w:p>
      <w:pPr>
        <w:pStyle w:val="Normal"/>
        <w:shd w:val="clear" w:fill="FFFFFF"/>
        <w:spacing w:lineRule="auto" w:line="288" w:before="0" w:after="120"/>
        <w:jc w:val="both"/>
        <w:rPr/>
      </w:pPr>
      <w:r>
        <w:rPr>
          <w:rFonts w:cs="Times New Roman" w:ascii="Times New Roman" w:hAnsi="Times New Roman"/>
          <w:b/>
          <w:sz w:val="26"/>
          <w:szCs w:val="26"/>
        </w:rPr>
        <w:tab/>
        <w:t>Điều 3. Tiêu chuẩn xét, cấp Học bổng KKHT</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b/>
          <w:sz w:val="26"/>
          <w:szCs w:val="26"/>
        </w:rPr>
        <w:t xml:space="preserve">- </w:t>
      </w:r>
      <w:r>
        <w:rPr>
          <w:rFonts w:cs="Times New Roman" w:ascii="Times New Roman" w:hAnsi="Times New Roman"/>
          <w:b/>
          <w:i/>
          <w:sz w:val="26"/>
          <w:szCs w:val="26"/>
        </w:rPr>
        <w:t>Học bổng loại Khá</w:t>
      </w:r>
      <w:r>
        <w:rPr>
          <w:rFonts w:cs="Times New Roman" w:ascii="Times New Roman" w:hAnsi="Times New Roman"/>
          <w:sz w:val="26"/>
          <w:szCs w:val="26"/>
        </w:rPr>
        <w:t>: dành cho sinh viên có điểm trung bình học tập và điểm rèn luyện đều đạt loại khá trở lên trong kỳ xét học bổng KKHT.</w:t>
      </w:r>
    </w:p>
    <w:p>
      <w:pPr>
        <w:pStyle w:val="Normal"/>
        <w:shd w:val="clear" w:fill="FFFFFF"/>
        <w:spacing w:lineRule="auto" w:line="288" w:before="0" w:after="120"/>
        <w:jc w:val="both"/>
        <w:rPr>
          <w:rFonts w:ascii="Times New Roman" w:hAnsi="Times New Roman" w:cs="Times New Roman"/>
          <w:sz w:val="26"/>
          <w:szCs w:val="26"/>
        </w:rPr>
      </w:pPr>
      <w:r>
        <w:rPr>
          <w:rFonts w:cs="Times New Roman" w:ascii="Times New Roman" w:hAnsi="Times New Roman"/>
          <w:sz w:val="26"/>
          <w:szCs w:val="26"/>
        </w:rPr>
        <w:tab/>
        <w:t>-</w:t>
      </w:r>
      <w:r>
        <w:rPr>
          <w:rFonts w:cs="Times New Roman" w:ascii="Times New Roman" w:hAnsi="Times New Roman"/>
          <w:b/>
          <w:sz w:val="26"/>
          <w:szCs w:val="26"/>
        </w:rPr>
        <w:t xml:space="preserve"> </w:t>
      </w:r>
      <w:r>
        <w:rPr>
          <w:rFonts w:cs="Times New Roman" w:ascii="Times New Roman" w:hAnsi="Times New Roman"/>
          <w:b/>
          <w:i/>
          <w:sz w:val="26"/>
          <w:szCs w:val="26"/>
        </w:rPr>
        <w:t>Học bổng loại Giỏi</w:t>
      </w:r>
      <w:r>
        <w:rPr>
          <w:rFonts w:cs="Times New Roman" w:ascii="Times New Roman" w:hAnsi="Times New Roman"/>
          <w:sz w:val="26"/>
          <w:szCs w:val="26"/>
        </w:rPr>
        <w:t>: dành cho sinh viên có điểm trung bình học tập đạt loại giỏi trở  lên và điểm rèn luyện đạt loại tốt trở lên trong kỳ xét học bổng KKHT.</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w:t>
      </w:r>
      <w:r>
        <w:rPr>
          <w:rFonts w:cs="Times New Roman" w:ascii="Times New Roman" w:hAnsi="Times New Roman"/>
          <w:b/>
          <w:sz w:val="26"/>
          <w:szCs w:val="26"/>
        </w:rPr>
        <w:t xml:space="preserve"> </w:t>
      </w:r>
      <w:r>
        <w:rPr>
          <w:rFonts w:cs="Times New Roman" w:ascii="Times New Roman" w:hAnsi="Times New Roman"/>
          <w:b/>
          <w:i/>
          <w:sz w:val="26"/>
          <w:szCs w:val="26"/>
        </w:rPr>
        <w:t>Học bổng loại Xuất sắc</w:t>
      </w:r>
      <w:r>
        <w:rPr>
          <w:rFonts w:cs="Times New Roman" w:ascii="Times New Roman" w:hAnsi="Times New Roman"/>
          <w:sz w:val="26"/>
          <w:szCs w:val="26"/>
        </w:rPr>
        <w:t xml:space="preserve">: dành cho sinh viên có điểm trung bình học tập và điểm rèn luyện đều đạt loại xuất sắc trong kỳ xét học bổng KKHT. </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Quy đổi xếp loại học lực và rèn luyện:</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1. Xếp loại học lực theo thang điểm 4:</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Loại xuất sắc: từ 3.60 đến 4.00</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Loại giỏi: từ 3.20 đến 3.59</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Loại khá: từ 2.50 đến 3.19</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2. Xếp loại điểm rèn luyện (thang điểm 100):</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Loại xuất sắc: từ 90 đến 100</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Loại tốt: từ 80 đến 89</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t>- Loại khá: từ 65 đến 79</w:t>
      </w:r>
    </w:p>
    <w:p>
      <w:pPr>
        <w:pStyle w:val="Normal"/>
        <w:spacing w:lineRule="auto" w:line="288" w:before="0" w:after="120"/>
        <w:ind w:firstLine="720" w:end="0"/>
        <w:jc w:val="both"/>
        <w:rPr>
          <w:rFonts w:ascii="Times New Roman" w:hAnsi="Times New Roman" w:cs="Times New Roman"/>
          <w:b w:val="false"/>
          <w:bCs w:val="false"/>
          <w:sz w:val="26"/>
          <w:szCs w:val="26"/>
          <w:lang w:val="vi-VN"/>
        </w:rPr>
      </w:pPr>
      <w:r>
        <w:rPr>
          <w:rFonts w:cs="Times New Roman" w:ascii="Times New Roman" w:hAnsi="Times New Roman"/>
          <w:b w:val="false"/>
          <w:bCs w:val="false"/>
          <w:sz w:val="26"/>
          <w:szCs w:val="26"/>
          <w:lang w:val="vi-VN"/>
        </w:rPr>
      </w:r>
    </w:p>
    <w:p>
      <w:pPr>
        <w:pStyle w:val="Normal"/>
        <w:spacing w:lineRule="auto" w:line="288" w:before="0" w:after="120"/>
        <w:ind w:firstLine="720" w:end="0"/>
        <w:jc w:val="both"/>
        <w:rPr>
          <w:rFonts w:ascii="Times New Roman" w:hAnsi="Times New Roman" w:cs="Times New Roman"/>
          <w:b/>
          <w:bCs/>
          <w:sz w:val="26"/>
          <w:szCs w:val="26"/>
        </w:rPr>
      </w:pPr>
      <w:r>
        <w:rPr>
          <w:rFonts w:cs="Times New Roman" w:ascii="Times New Roman" w:hAnsi="Times New Roman"/>
          <w:b/>
          <w:bCs/>
          <w:sz w:val="26"/>
          <w:szCs w:val="26"/>
          <w:lang w:val="vi-VN"/>
        </w:rPr>
        <w:t xml:space="preserve">Điều </w:t>
      </w:r>
      <w:r>
        <w:rPr>
          <w:rFonts w:cs="Times New Roman" w:ascii="Times New Roman" w:hAnsi="Times New Roman"/>
          <w:b/>
          <w:bCs/>
          <w:sz w:val="26"/>
          <w:szCs w:val="26"/>
        </w:rPr>
        <w:t>4</w:t>
      </w:r>
      <w:r>
        <w:rPr>
          <w:rFonts w:cs="Times New Roman" w:ascii="Times New Roman" w:hAnsi="Times New Roman"/>
          <w:b/>
          <w:bCs/>
          <w:sz w:val="26"/>
          <w:szCs w:val="26"/>
          <w:lang w:val="vi-VN"/>
        </w:rPr>
        <w:t>. Nguyên tắc xét</w:t>
      </w:r>
      <w:r>
        <w:rPr>
          <w:rFonts w:cs="Times New Roman" w:ascii="Times New Roman" w:hAnsi="Times New Roman"/>
          <w:b/>
          <w:bCs/>
          <w:sz w:val="26"/>
          <w:szCs w:val="26"/>
        </w:rPr>
        <w:t>, cấp</w:t>
      </w:r>
      <w:r>
        <w:rPr>
          <w:rFonts w:cs="Times New Roman" w:ascii="Times New Roman" w:hAnsi="Times New Roman"/>
          <w:b/>
          <w:bCs/>
          <w:sz w:val="26"/>
          <w:szCs w:val="26"/>
          <w:lang w:val="vi-VN"/>
        </w:rPr>
        <w:t xml:space="preserve"> </w:t>
      </w:r>
      <w:r>
        <w:rPr>
          <w:rFonts w:cs="Times New Roman" w:ascii="Times New Roman" w:hAnsi="Times New Roman"/>
          <w:b/>
          <w:sz w:val="26"/>
          <w:szCs w:val="26"/>
        </w:rPr>
        <w:t>học bổng KKHT</w:t>
      </w:r>
    </w:p>
    <w:p>
      <w:pPr>
        <w:pStyle w:val="Default"/>
        <w:tabs>
          <w:tab w:val="clear" w:pos="720"/>
          <w:tab w:val="left" w:pos="709" w:leader="none"/>
        </w:tabs>
        <w:spacing w:lineRule="auto" w:line="288" w:before="0" w:after="120"/>
        <w:ind w:firstLine="567" w:end="0"/>
        <w:jc w:val="both"/>
        <w:rPr/>
      </w:pPr>
      <w:r>
        <w:rPr>
          <w:rFonts w:eastAsia="Times New Roman"/>
          <w:sz w:val="26"/>
          <w:szCs w:val="26"/>
          <w:lang w:val="it-IT"/>
        </w:rPr>
        <w:tab/>
        <w:t xml:space="preserve">1. Sử dụng kết quả học tập và rèn luyện của học kỳ liền trước để xét, cấp </w:t>
      </w:r>
      <w:r>
        <w:rPr>
          <w:sz w:val="26"/>
          <w:szCs w:val="26"/>
        </w:rPr>
        <w:t>học bổng KKHT</w:t>
      </w:r>
      <w:r>
        <w:rPr>
          <w:rFonts w:eastAsia="Times New Roman"/>
          <w:sz w:val="26"/>
          <w:szCs w:val="26"/>
          <w:lang w:val="it-IT"/>
        </w:rPr>
        <w:t>.</w:t>
      </w:r>
    </w:p>
    <w:p>
      <w:pPr>
        <w:pStyle w:val="Default"/>
        <w:tabs>
          <w:tab w:val="clear" w:pos="720"/>
          <w:tab w:val="left" w:pos="709" w:leader="none"/>
        </w:tabs>
        <w:spacing w:lineRule="auto" w:line="288" w:before="0" w:after="120"/>
        <w:ind w:firstLine="567" w:end="0"/>
        <w:jc w:val="both"/>
        <w:rPr/>
      </w:pPr>
      <w:r>
        <w:rPr>
          <w:bCs/>
          <w:sz w:val="26"/>
          <w:szCs w:val="26"/>
          <w:lang w:val="it-IT"/>
        </w:rPr>
        <w:tab/>
        <w:t>2</w:t>
      </w:r>
      <w:r>
        <w:rPr>
          <w:rFonts w:eastAsia="Times New Roman"/>
          <w:sz w:val="26"/>
          <w:szCs w:val="26"/>
          <w:lang w:val="it-IT"/>
        </w:rPr>
        <w:t xml:space="preserve">. Điểm xét </w:t>
      </w:r>
      <w:r>
        <w:rPr>
          <w:sz w:val="26"/>
          <w:szCs w:val="26"/>
        </w:rPr>
        <w:t>học bổng KKHT</w:t>
      </w:r>
      <w:r>
        <w:rPr>
          <w:rFonts w:eastAsia="Times New Roman"/>
          <w:sz w:val="26"/>
          <w:szCs w:val="26"/>
          <w:lang w:val="it-IT"/>
        </w:rPr>
        <w:t xml:space="preserve"> được tính theo thang điểm 4 và làm tròn đến 2 chữ số sau dấu phẩy theo công thức sau:</w:t>
      </w:r>
    </w:p>
    <w:p>
      <w:pPr>
        <w:pStyle w:val="Default"/>
        <w:spacing w:lineRule="auto" w:line="288" w:before="0" w:after="120"/>
        <w:ind w:firstLine="567" w:end="0"/>
        <w:jc w:val="center"/>
        <w:rPr/>
      </w:pPr>
      <w:r>
        <w:rPr>
          <w:rFonts w:eastAsia="Times New Roman"/>
          <w:sz w:val="26"/>
          <w:szCs w:val="26"/>
          <w:lang w:val="it-IT"/>
        </w:rPr>
        <w:t xml:space="preserve">Điểm xét </w:t>
      </w:r>
      <w:r>
        <w:rPr>
          <w:sz w:val="26"/>
          <w:szCs w:val="26"/>
        </w:rPr>
        <w:t>học bổng KKHT</w:t>
      </w:r>
      <w:r>
        <w:rPr>
          <w:rFonts w:eastAsia="Times New Roman"/>
          <w:sz w:val="26"/>
          <w:szCs w:val="26"/>
          <w:lang w:val="it-IT"/>
        </w:rPr>
        <w:t xml:space="preserve"> = Điểm trung bình học tập + (Điểm rèn luyện: 100)</w:t>
      </w:r>
    </w:p>
    <w:p>
      <w:pPr>
        <w:pStyle w:val="Default"/>
        <w:spacing w:lineRule="auto" w:line="288" w:before="0" w:after="120"/>
        <w:jc w:val="both"/>
        <w:rPr/>
      </w:pPr>
      <w:r>
        <w:rPr>
          <w:rFonts w:eastAsia="Times New Roman"/>
          <w:sz w:val="26"/>
          <w:szCs w:val="26"/>
          <w:lang w:val="it-IT"/>
        </w:rPr>
        <w:tab/>
        <w:t>Trong đó:</w:t>
      </w:r>
    </w:p>
    <w:p>
      <w:pPr>
        <w:pStyle w:val="Default"/>
        <w:spacing w:lineRule="auto" w:line="288" w:before="0" w:after="120"/>
        <w:ind w:firstLine="720" w:end="0"/>
        <w:jc w:val="both"/>
        <w:rPr>
          <w:rFonts w:eastAsia="Times New Roman"/>
          <w:sz w:val="26"/>
          <w:szCs w:val="26"/>
          <w:lang w:val="it-IT"/>
        </w:rPr>
      </w:pPr>
      <w:r>
        <w:rPr>
          <w:sz w:val="26"/>
          <w:szCs w:val="26"/>
        </w:rPr>
        <w:t>- Điểm trung bình học tập để xét học bổng KKHT tính theo kết quả tổng kết học phần các môn học lần đầu sinh viên đăng ký học trong học kỳ (gồm kỳ chính, kỳ hè và kỳ song song tổ chức trong kỳ chính đó; không bao gồm các môn học: Giáo dục thể chất, Giáo dục quốc phòng, chương trình đào tạo thứ 2 và các môn học được bảo lưu), cụ thể như sau:</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 xml:space="preserve">+ Kết quả tổng kết học phần các môn học lần đầu không có điểm F; </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 xml:space="preserve">+ Số tín chỉ môn học lần đầu đăng ký học &amp; thi trong kỳ phải tối thiểu 15 tín chỉ; hoặc bằng số tín chỉ tối đa mở cho ngành đó ở mỗi học kỳ (gồm kỳ chính, kỳ hè và kỳ song song mở trong kỳ chính đó) nếu số tín chỉ tối đa mở cho ngành học đó trong học kỳ nhỏ hơn 15 tín chỉ (riêng học kỳ cuối sẽ tính với số tín chỉ của Học phần tốt nghiệp). </w:t>
      </w:r>
    </w:p>
    <w:p>
      <w:pPr>
        <w:pStyle w:val="Normal"/>
        <w:shd w:val="clear" w:fill="FFFFFF"/>
        <w:spacing w:lineRule="auto" w:line="288" w:before="0" w:after="120"/>
        <w:ind w:firstLine="720" w:end="0"/>
        <w:jc w:val="both"/>
        <w:rPr/>
      </w:pPr>
      <w:r>
        <w:rPr>
          <w:rFonts w:cs="Times New Roman" w:ascii="Times New Roman" w:hAnsi="Times New Roman"/>
          <w:sz w:val="26"/>
          <w:szCs w:val="26"/>
        </w:rPr>
        <w:t>Với những sinh viên có số tín chỉ môn học lần đầu học và thi ít hơn số tín chỉ quy định ở kỳ xét học bổng KKHT (do đã học vượt một số môn ở kỳ trước) nếu có số tín chỉ tích lũy đến thời điểm xét ít nhất bằng số tín chỉ quy định theo chương trình đào tạo chuẩn cũng sẽ được xét học bổng KKHT.</w:t>
      </w:r>
    </w:p>
    <w:p>
      <w:pPr>
        <w:pStyle w:val="Normal"/>
        <w:spacing w:lineRule="auto" w:line="288" w:before="0" w:after="120"/>
        <w:jc w:val="both"/>
        <w:rPr/>
      </w:pPr>
      <w:r>
        <w:rPr>
          <w:rFonts w:cs="Times New Roman" w:ascii="Times New Roman" w:hAnsi="Times New Roman"/>
          <w:sz w:val="26"/>
          <w:szCs w:val="26"/>
        </w:rPr>
        <w:tab/>
        <w:t>- Điểm rèn luyện trong kỳ tính học bổng KKHT xác định theo quy định hiện hành của Bộ Giáo dục và Đào tạo về đánh giá kết quả rèn luyện.</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lang w:val="it-IT"/>
        </w:rPr>
        <w:t>3. H</w:t>
      </w:r>
      <w:r>
        <w:rPr>
          <w:rFonts w:cs="Times New Roman" w:ascii="Times New Roman" w:hAnsi="Times New Roman"/>
          <w:sz w:val="26"/>
          <w:szCs w:val="26"/>
        </w:rPr>
        <w:t>ọc bổng KKHT</w:t>
      </w:r>
      <w:r>
        <w:rPr>
          <w:rFonts w:cs="Times New Roman" w:ascii="Times New Roman" w:hAnsi="Times New Roman"/>
          <w:sz w:val="26"/>
          <w:szCs w:val="26"/>
          <w:lang w:val="it-IT"/>
        </w:rPr>
        <w:t xml:space="preserve"> được </w:t>
      </w:r>
      <w:r>
        <w:rPr>
          <w:rFonts w:cs="Times New Roman" w:ascii="Times New Roman" w:hAnsi="Times New Roman"/>
          <w:sz w:val="26"/>
          <w:szCs w:val="26"/>
        </w:rPr>
        <w:t>sắp xếp theo ba danh sách với ba mức thứ tự (Xuất sắc, Giỏi, Khá) được quy định tại Điều 3 của Quy định này.</w:t>
      </w:r>
      <w:r>
        <w:rPr>
          <w:rFonts w:cs="Times New Roman" w:ascii="Times New Roman" w:hAnsi="Times New Roman"/>
          <w:i/>
          <w:sz w:val="26"/>
          <w:szCs w:val="26"/>
        </w:rPr>
        <w:t xml:space="preserve"> </w:t>
      </w:r>
      <w:r>
        <w:rPr>
          <w:rFonts w:cs="Times New Roman" w:ascii="Times New Roman" w:hAnsi="Times New Roman"/>
          <w:sz w:val="26"/>
          <w:szCs w:val="26"/>
        </w:rPr>
        <w:t xml:space="preserve">Trong mỗi mức, danh sách sinh viên được sắp xếp thứ tự từ cao xuống thấp (theo điểm xét học bổng KKHT và số tín chỉ tính học bổng KKHT). </w:t>
      </w:r>
    </w:p>
    <w:p>
      <w:pPr>
        <w:pStyle w:val="Normal"/>
        <w:shd w:val="clear" w:fill="FFFFFF"/>
        <w:spacing w:lineRule="auto" w:line="288" w:before="0" w:after="120"/>
        <w:ind w:firstLine="720" w:end="0"/>
        <w:jc w:val="both"/>
        <w:rPr/>
      </w:pPr>
      <w:r>
        <w:rPr>
          <w:rFonts w:cs="Times New Roman" w:ascii="Times New Roman" w:hAnsi="Times New Roman"/>
          <w:sz w:val="26"/>
          <w:szCs w:val="26"/>
        </w:rPr>
        <w:t xml:space="preserve">4. Học bổng KKHT sẽ được cấp cho sinh viên theo thứ tự danh sách Xuất sắc, Giỏi, Khá cho đến khi hết quỹ học bổng được phân bổ. </w:t>
      </w:r>
    </w:p>
    <w:p>
      <w:pPr>
        <w:pStyle w:val="Default"/>
        <w:spacing w:lineRule="auto" w:line="288" w:before="0" w:after="120"/>
        <w:ind w:firstLine="720" w:end="0"/>
        <w:jc w:val="both"/>
        <w:rPr/>
      </w:pPr>
      <w:r>
        <w:rPr>
          <w:rFonts w:eastAsia="Times New Roman"/>
          <w:sz w:val="26"/>
          <w:szCs w:val="26"/>
          <w:lang w:val="it-IT"/>
        </w:rPr>
        <w:t>5. Không xét cấp học bổng đối với sinh viên thuộc một trong các trường hợp sau:</w:t>
      </w:r>
    </w:p>
    <w:p>
      <w:pPr>
        <w:pStyle w:val="Default"/>
        <w:spacing w:lineRule="auto" w:line="288" w:before="0" w:after="120"/>
        <w:ind w:firstLine="720" w:end="0"/>
        <w:jc w:val="both"/>
        <w:rPr/>
      </w:pPr>
      <w:r>
        <w:rPr>
          <w:rFonts w:eastAsia="Times New Roman"/>
          <w:sz w:val="26"/>
          <w:szCs w:val="26"/>
          <w:lang w:val="it-IT"/>
        </w:rPr>
        <w:t>a) Chịu hình thức kỷ luật từ mức khiển trách trở lên trong kỳ xét cấp học bổng;</w:t>
      </w:r>
    </w:p>
    <w:p>
      <w:pPr>
        <w:pStyle w:val="Default"/>
        <w:spacing w:lineRule="auto" w:line="288" w:before="0" w:after="120"/>
        <w:ind w:firstLine="720" w:end="0"/>
        <w:jc w:val="both"/>
        <w:rPr>
          <w:rFonts w:eastAsia="Times New Roman"/>
          <w:sz w:val="26"/>
          <w:szCs w:val="26"/>
          <w:lang w:val="it-IT"/>
        </w:rPr>
      </w:pPr>
      <w:r>
        <w:rPr>
          <w:rFonts w:eastAsia="Times New Roman"/>
          <w:sz w:val="26"/>
          <w:szCs w:val="26"/>
          <w:lang w:val="it-IT"/>
        </w:rPr>
        <w:t>b) Học quá thời gian thiết kế của chương trình đào tạo chuẩn.</w:t>
      </w:r>
    </w:p>
    <w:p>
      <w:pPr>
        <w:pStyle w:val="Default"/>
        <w:spacing w:lineRule="auto" w:line="288" w:before="0" w:after="120"/>
        <w:ind w:firstLine="720" w:end="0"/>
        <w:jc w:val="both"/>
        <w:rPr/>
      </w:pPr>
      <w:r>
        <w:rPr>
          <w:rFonts w:eastAsia="Times New Roman"/>
          <w:b/>
          <w:bCs/>
          <w:sz w:val="26"/>
          <w:szCs w:val="26"/>
          <w:lang w:val="it-IT"/>
        </w:rPr>
        <w:t xml:space="preserve">Điều 5. Hội đồng xét cấp học bổng KKHT </w:t>
      </w:r>
    </w:p>
    <w:p>
      <w:pPr>
        <w:pStyle w:val="Default"/>
        <w:spacing w:lineRule="auto" w:line="288" w:before="0" w:after="120"/>
        <w:ind w:firstLine="720" w:end="0"/>
        <w:jc w:val="both"/>
        <w:rPr>
          <w:rFonts w:eastAsia="Times New Roman"/>
          <w:sz w:val="26"/>
          <w:szCs w:val="26"/>
          <w:lang w:val="it-IT"/>
        </w:rPr>
      </w:pPr>
      <w:r>
        <w:rPr>
          <w:rFonts w:eastAsia="Times New Roman"/>
          <w:sz w:val="26"/>
          <w:szCs w:val="26"/>
          <w:lang w:val="it-IT"/>
        </w:rPr>
        <w:t>1. Hội đồng xét cấp học bổng KKHT được thành lập theo quyết định của Hiệu trưởng, có nhiệm vụ giúp Hiệu trưởng thực hiện xét, cấp học bổng căn cứ quy định tại các điều, khoản của Quy định này.</w:t>
      </w:r>
    </w:p>
    <w:p>
      <w:pPr>
        <w:pStyle w:val="Default"/>
        <w:spacing w:lineRule="auto" w:line="288" w:before="0" w:after="120"/>
        <w:ind w:firstLine="720" w:end="0"/>
        <w:jc w:val="both"/>
        <w:rPr>
          <w:rFonts w:eastAsia="Times New Roman"/>
          <w:sz w:val="26"/>
          <w:szCs w:val="26"/>
          <w:lang w:val="it-IT"/>
        </w:rPr>
      </w:pPr>
      <w:r>
        <w:rPr>
          <w:rFonts w:eastAsia="Times New Roman"/>
          <w:sz w:val="26"/>
          <w:szCs w:val="26"/>
          <w:lang w:val="it-IT"/>
        </w:rPr>
        <w:t>2. Thành viên của Hội đồng xét cấp học bổng KKHT bao gồm:</w:t>
      </w:r>
    </w:p>
    <w:p>
      <w:pPr>
        <w:pStyle w:val="Default"/>
        <w:spacing w:lineRule="auto" w:line="288" w:before="0" w:after="120"/>
        <w:ind w:firstLine="720" w:end="0"/>
        <w:jc w:val="both"/>
        <w:rPr>
          <w:rFonts w:eastAsia="Times New Roman"/>
          <w:sz w:val="26"/>
          <w:szCs w:val="26"/>
          <w:lang w:val="it-IT"/>
        </w:rPr>
      </w:pPr>
      <w:r>
        <w:rPr>
          <w:rFonts w:eastAsia="Times New Roman"/>
          <w:sz w:val="26"/>
          <w:szCs w:val="26"/>
          <w:lang w:val="it-IT"/>
        </w:rPr>
        <w:t>a/ Chủ tịch Hội đồng: Một thành viên của Ban Giám hiệu.</w:t>
      </w:r>
    </w:p>
    <w:p>
      <w:pPr>
        <w:pStyle w:val="Default"/>
        <w:spacing w:lineRule="auto" w:line="288" w:before="0" w:after="120"/>
        <w:ind w:firstLine="720" w:end="0"/>
        <w:jc w:val="both"/>
        <w:rPr>
          <w:rFonts w:eastAsia="Times New Roman"/>
          <w:sz w:val="26"/>
          <w:szCs w:val="26"/>
          <w:lang w:val="it-IT"/>
        </w:rPr>
      </w:pPr>
      <w:r>
        <w:rPr>
          <w:rFonts w:eastAsia="Times New Roman"/>
          <w:sz w:val="26"/>
          <w:szCs w:val="26"/>
          <w:lang w:val="it-IT"/>
        </w:rPr>
        <w:t>b/ Ủy viên thường trực: Trưởng phòng Công tác Sinh viên.</w:t>
      </w:r>
    </w:p>
    <w:p>
      <w:pPr>
        <w:pStyle w:val="Default"/>
        <w:spacing w:lineRule="auto" w:line="288" w:before="0" w:after="120"/>
        <w:ind w:firstLine="720" w:end="0"/>
        <w:jc w:val="both"/>
        <w:rPr>
          <w:rFonts w:eastAsia="Times New Roman"/>
          <w:sz w:val="26"/>
          <w:szCs w:val="26"/>
          <w:lang w:val="it-IT"/>
        </w:rPr>
      </w:pPr>
      <w:r>
        <w:rPr>
          <w:rFonts w:eastAsia="Times New Roman"/>
          <w:sz w:val="26"/>
          <w:szCs w:val="26"/>
          <w:lang w:val="it-IT"/>
        </w:rPr>
        <w:t xml:space="preserve">c/ Các ủy viên của Hội đồng gồm đại diện các đơn vị: Phòng Đào tạo, Phòng Tài chính - Kế toán và một số ủy viên khác từ các đơn vị thuộc Trường có liên quan. </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b/>
          <w:sz w:val="26"/>
          <w:szCs w:val="26"/>
        </w:rPr>
        <w:t>Điều 6.</w:t>
      </w:r>
      <w:r>
        <w:rPr>
          <w:rFonts w:cs="Times New Roman" w:ascii="Times New Roman" w:hAnsi="Times New Roman"/>
          <w:sz w:val="26"/>
          <w:szCs w:val="26"/>
        </w:rPr>
        <w:t xml:space="preserve"> </w:t>
      </w:r>
      <w:r>
        <w:rPr>
          <w:rFonts w:cs="Times New Roman" w:ascii="Times New Roman" w:hAnsi="Times New Roman"/>
          <w:b/>
          <w:sz w:val="26"/>
          <w:szCs w:val="26"/>
        </w:rPr>
        <w:t>Quy trình xét, cấp Học bổng KKHT</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1. Cuối mỗi học kỳ, phòng Chính trị và Công tác sinh viên tổng hợp kết quả học tập, rèn luyện của sinh viên (sau khi có kết quả thi học kỳ và kết quả rèn luyện) và công bố danh sách sinh viên đủ điều kiện xét cấp học bổng KKHT theo quy định tại Điều 4 Quy định này.</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2. Các Khoa, Trung tâm họp, đề xuất danh sách sinh viên đủ điều kiện cấp học bổng KKHT (trên cơ sở danh sách sinh viên đủ điều kiện xét cấp học bổng KKHT và quỹ học bổng được phân bổ) và gửi về Hội đồng xét, cấp học bổng KKHT (qua phòng Chính trị và Công tác sinh viên).</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 xml:space="preserve">3. Hội đồng xét, cấp học bổng KKHT họp và quyết định danh sách sinh viên được cấp học bổng KKHT trong kỳ. </w:t>
      </w:r>
    </w:p>
    <w:p>
      <w:pPr>
        <w:pStyle w:val="Normal"/>
        <w:shd w:val="clear" w:fill="FFFFFF"/>
        <w:spacing w:lineRule="auto" w:line="288" w:before="0" w:after="120"/>
        <w:ind w:firstLine="720" w:end="0"/>
        <w:jc w:val="both"/>
        <w:rPr>
          <w:rFonts w:ascii="Times New Roman" w:hAnsi="Times New Roman" w:cs="Times New Roman"/>
          <w:sz w:val="26"/>
          <w:szCs w:val="26"/>
        </w:rPr>
      </w:pPr>
      <w:r>
        <w:rPr>
          <w:rFonts w:cs="Times New Roman" w:ascii="Times New Roman" w:hAnsi="Times New Roman"/>
          <w:sz w:val="26"/>
          <w:szCs w:val="26"/>
        </w:rPr>
        <w:t>4. Nhà trường công bố tới toàn thể sinh viên trong trường danh sách sinh viên được cấp học bổng KKHT trong kỳ và h</w:t>
      </w:r>
      <w:r>
        <w:rPr>
          <w:rFonts w:cs="Times New Roman" w:ascii="Times New Roman" w:hAnsi="Times New Roman"/>
          <w:sz w:val="26"/>
          <w:szCs w:val="26"/>
          <w:lang w:val="it-IT"/>
        </w:rPr>
        <w:t>ọc bổng KKHT sẽ được chuyển vào tài khoản của sinh viên.</w:t>
      </w:r>
    </w:p>
    <w:p>
      <w:pPr>
        <w:pStyle w:val="Normal"/>
        <w:shd w:val="clear" w:fill="FFFFFF"/>
        <w:spacing w:lineRule="auto" w:line="288" w:before="0" w:after="120"/>
        <w:ind w:firstLine="720" w:end="0"/>
        <w:jc w:val="both"/>
        <w:rPr/>
      </w:pPr>
      <w:r>
        <w:rPr>
          <w:rFonts w:cs="Times New Roman" w:ascii="Times New Roman" w:hAnsi="Times New Roman"/>
          <w:sz w:val="26"/>
          <w:szCs w:val="26"/>
        </w:rPr>
        <w:t>5. Phân hiệu Miền Nam chủ động triển khai xét, cấp học bổng KKHT trên cơ sở tuân thủ theo đúng Quy định này.</w:t>
      </w:r>
    </w:p>
    <w:p>
      <w:pPr>
        <w:pStyle w:val="Normal"/>
        <w:shd w:val="clear" w:fill="FFFFFF"/>
        <w:spacing w:lineRule="auto" w:line="288" w:before="0" w:after="120"/>
        <w:ind w:hanging="0" w:end="0"/>
        <w:jc w:val="center"/>
        <w:rPr/>
      </w:pPr>
      <w:r>
        <w:rPr/>
      </w:r>
    </w:p>
    <w:p>
      <w:pPr>
        <w:pStyle w:val="NormalWeb"/>
        <w:shd w:val="clear" w:fill="FFFFFF"/>
        <w:spacing w:lineRule="auto" w:line="288" w:before="0" w:after="120"/>
        <w:ind w:firstLine="720" w:end="0"/>
        <w:jc w:val="both"/>
        <w:rPr>
          <w:b/>
          <w:sz w:val="26"/>
          <w:szCs w:val="26"/>
        </w:rPr>
      </w:pPr>
      <w:r>
        <w:rPr>
          <w:b/>
          <w:sz w:val="26"/>
          <w:szCs w:val="26"/>
        </w:rPr>
        <w:t>Điều 7. Đối tượng áp dụng chế độ Học bổng chính sách</w:t>
      </w:r>
    </w:p>
    <w:p>
      <w:pPr>
        <w:pStyle w:val="BodyTextIndent"/>
        <w:spacing w:lineRule="auto" w:line="288"/>
        <w:ind w:firstLine="720" w:start="0" w:end="0"/>
        <w:jc w:val="both"/>
        <w:rPr>
          <w:rFonts w:ascii="Times New Roman" w:hAnsi="Times New Roman" w:cs="Times New Roman"/>
          <w:sz w:val="26"/>
          <w:szCs w:val="26"/>
        </w:rPr>
      </w:pPr>
      <w:r>
        <w:rPr>
          <w:rFonts w:cs="Times New Roman" w:ascii="Times New Roman" w:hAnsi="Times New Roman"/>
          <w:sz w:val="26"/>
          <w:szCs w:val="26"/>
        </w:rPr>
        <w:t>Sinh viên theo chế độ cử tuyển đang học tại trường Đại học Thủy lợi.</w:t>
      </w:r>
    </w:p>
    <w:p>
      <w:pPr>
        <w:pStyle w:val="NormalWeb"/>
        <w:shd w:val="clear" w:fill="FFFFFF"/>
        <w:spacing w:lineRule="auto" w:line="288" w:before="0" w:after="120"/>
        <w:ind w:firstLine="720" w:end="0"/>
        <w:jc w:val="both"/>
        <w:rPr>
          <w:b/>
          <w:sz w:val="26"/>
          <w:szCs w:val="26"/>
        </w:rPr>
      </w:pPr>
      <w:r>
        <w:rPr>
          <w:b/>
          <w:sz w:val="26"/>
          <w:szCs w:val="26"/>
        </w:rPr>
        <w:t>Điều 8. Mức và nguyên tắc hưởng học bổng chính sách</w:t>
      </w:r>
    </w:p>
    <w:p>
      <w:pPr>
        <w:pStyle w:val="Footer"/>
        <w:tabs>
          <w:tab w:val="clear" w:pos="4320"/>
          <w:tab w:val="clear" w:pos="8640"/>
        </w:tabs>
        <w:spacing w:lineRule="auto" w:line="288" w:before="0" w:after="120"/>
        <w:jc w:val="both"/>
        <w:rPr>
          <w:b/>
          <w:sz w:val="26"/>
          <w:szCs w:val="26"/>
          <w:lang w:val="en-US"/>
        </w:rPr>
      </w:pPr>
      <w:r>
        <w:rPr>
          <w:b/>
          <w:bCs/>
          <w:sz w:val="26"/>
          <w:szCs w:val="26"/>
          <w:lang w:val="en-US"/>
        </w:rPr>
        <w:tab/>
        <w:t xml:space="preserve">1. </w:t>
      </w:r>
      <w:r>
        <w:rPr>
          <w:b/>
          <w:sz w:val="26"/>
          <w:szCs w:val="26"/>
          <w:lang w:val="en-US"/>
        </w:rPr>
        <w:t>Mức học bổng chính sách</w:t>
      </w:r>
    </w:p>
    <w:p>
      <w:pPr>
        <w:pStyle w:val="Footer"/>
        <w:tabs>
          <w:tab w:val="clear" w:pos="4320"/>
          <w:tab w:val="clear" w:pos="8640"/>
        </w:tabs>
        <w:spacing w:lineRule="auto" w:line="288" w:before="0" w:after="120"/>
        <w:ind w:firstLine="720" w:end="0"/>
        <w:jc w:val="both"/>
        <w:rPr>
          <w:sz w:val="26"/>
          <w:szCs w:val="26"/>
        </w:rPr>
      </w:pPr>
      <w:r>
        <w:rPr>
          <w:sz w:val="26"/>
          <w:szCs w:val="26"/>
          <w:lang w:val="en-US"/>
        </w:rPr>
        <w:t xml:space="preserve">Mức học bổng chính sách 01 tháng (một tháng) </w:t>
      </w:r>
      <w:r>
        <w:rPr>
          <w:sz w:val="26"/>
          <w:szCs w:val="26"/>
        </w:rPr>
        <w:t>bằng 80% (tám mươi phần trăm) mức lương cơ sở.</w:t>
      </w:r>
    </w:p>
    <w:p>
      <w:pPr>
        <w:pStyle w:val="BodyText"/>
        <w:tabs>
          <w:tab w:val="clear" w:pos="720"/>
          <w:tab w:val="left" w:pos="1340" w:leader="none"/>
        </w:tabs>
        <w:spacing w:lineRule="auto" w:line="288"/>
        <w:ind w:firstLine="720" w:end="0"/>
        <w:jc w:val="both"/>
        <w:rPr>
          <w:rFonts w:ascii="Times New Roman" w:hAnsi="Times New Roman" w:cs="Times New Roman"/>
          <w:b/>
          <w:color w:val="000000"/>
          <w:sz w:val="26"/>
          <w:szCs w:val="26"/>
          <w:lang w:val="en-US"/>
        </w:rPr>
      </w:pPr>
      <w:r>
        <w:rPr>
          <w:rStyle w:val="BodyTextChar1"/>
          <w:b/>
          <w:color w:val="000000"/>
          <w:sz w:val="26"/>
          <w:szCs w:val="26"/>
          <w:lang w:val="en-US" w:eastAsia="vi-VN"/>
        </w:rPr>
        <w:t xml:space="preserve">2. </w:t>
      </w:r>
      <w:r>
        <w:rPr>
          <w:rStyle w:val="BodyTextChar1"/>
          <w:b/>
          <w:color w:val="000000"/>
          <w:sz w:val="26"/>
          <w:szCs w:val="26"/>
          <w:lang w:eastAsia="vi-VN"/>
        </w:rPr>
        <w:t>Nguyên tắc hưởng</w:t>
      </w:r>
    </w:p>
    <w:p>
      <w:pPr>
        <w:pStyle w:val="BodyText"/>
        <w:tabs>
          <w:tab w:val="clear" w:pos="720"/>
          <w:tab w:val="left" w:pos="1355" w:leader="none"/>
        </w:tabs>
        <w:spacing w:lineRule="auto" w:line="288"/>
        <w:ind w:firstLine="720" w:end="0"/>
        <w:jc w:val="both"/>
        <w:rPr>
          <w:rFonts w:ascii="Times New Roman" w:hAnsi="Times New Roman" w:cs="Times New Roman"/>
          <w:color w:val="000000"/>
          <w:sz w:val="26"/>
          <w:szCs w:val="26"/>
        </w:rPr>
      </w:pPr>
      <w:r>
        <w:rPr>
          <w:rStyle w:val="BodyTextChar1"/>
          <w:color w:val="000000"/>
          <w:sz w:val="26"/>
          <w:szCs w:val="26"/>
          <w:lang w:val="en-US" w:eastAsia="vi-VN"/>
        </w:rPr>
        <w:t xml:space="preserve">a) </w:t>
      </w:r>
      <w:r>
        <w:rPr>
          <w:rStyle w:val="BodyTextChar1"/>
          <w:color w:val="000000"/>
          <w:sz w:val="26"/>
          <w:szCs w:val="26"/>
          <w:lang w:eastAsia="vi-VN"/>
        </w:rPr>
        <w:t xml:space="preserve">Đối tượng quy định tại Điều </w:t>
      </w:r>
      <w:r>
        <w:rPr>
          <w:rStyle w:val="BodyTextChar1"/>
          <w:color w:val="000000"/>
          <w:sz w:val="26"/>
          <w:szCs w:val="26"/>
          <w:lang w:val="en-US" w:eastAsia="vi-VN"/>
        </w:rPr>
        <w:t xml:space="preserve">5 </w:t>
      </w:r>
      <w:r>
        <w:rPr>
          <w:rStyle w:val="BodyTextChar1"/>
          <w:color w:val="000000"/>
          <w:sz w:val="26"/>
          <w:szCs w:val="26"/>
          <w:lang w:eastAsia="vi-VN"/>
        </w:rPr>
        <w:t>chỉ được hưởng chế độ học</w:t>
      </w:r>
      <w:r>
        <w:rPr>
          <w:rStyle w:val="BodyTextChar1"/>
          <w:color w:val="000000"/>
          <w:sz w:val="26"/>
          <w:szCs w:val="26"/>
          <w:lang w:val="en-US" w:eastAsia="vi-VN"/>
        </w:rPr>
        <w:t xml:space="preserve"> </w:t>
      </w:r>
      <w:r>
        <w:rPr>
          <w:rStyle w:val="BodyTextChar1"/>
          <w:color w:val="000000"/>
          <w:sz w:val="26"/>
          <w:szCs w:val="26"/>
          <w:lang w:eastAsia="vi-VN"/>
        </w:rPr>
        <w:t>bổng chính sách một lần trong cả quá trình học;</w:t>
      </w:r>
    </w:p>
    <w:p>
      <w:pPr>
        <w:pStyle w:val="BodyText"/>
        <w:tabs>
          <w:tab w:val="clear" w:pos="720"/>
          <w:tab w:val="left" w:pos="1380" w:leader="none"/>
        </w:tabs>
        <w:spacing w:lineRule="auto" w:line="288"/>
        <w:ind w:firstLine="720" w:end="0"/>
        <w:jc w:val="both"/>
        <w:rPr>
          <w:rFonts w:ascii="Times New Roman" w:hAnsi="Times New Roman" w:cs="Times New Roman"/>
          <w:color w:val="000000"/>
          <w:sz w:val="26"/>
          <w:szCs w:val="26"/>
        </w:rPr>
      </w:pPr>
      <w:r>
        <w:rPr>
          <w:rStyle w:val="BodyTextChar1"/>
          <w:color w:val="000000"/>
          <w:sz w:val="26"/>
          <w:szCs w:val="26"/>
          <w:lang w:val="en-US" w:eastAsia="vi-VN"/>
        </w:rPr>
        <w:t xml:space="preserve">b) </w:t>
      </w:r>
      <w:r>
        <w:rPr>
          <w:rStyle w:val="BodyTextChar1"/>
          <w:color w:val="000000"/>
          <w:sz w:val="26"/>
          <w:szCs w:val="26"/>
          <w:lang w:eastAsia="vi-VN"/>
        </w:rPr>
        <w:t xml:space="preserve">Trường hợp sinh viên thuộc </w:t>
      </w:r>
      <w:r>
        <w:rPr>
          <w:rStyle w:val="BodyTextChar1"/>
          <w:color w:val="000000"/>
          <w:sz w:val="26"/>
          <w:szCs w:val="26"/>
          <w:lang w:val="en-US" w:eastAsia="vi-VN"/>
        </w:rPr>
        <w:t>đối</w:t>
      </w:r>
      <w:r>
        <w:rPr>
          <w:rStyle w:val="BodyTextChar1"/>
          <w:color w:val="000000"/>
          <w:sz w:val="26"/>
          <w:szCs w:val="26"/>
          <w:lang w:eastAsia="vi-VN"/>
        </w:rPr>
        <w:t xml:space="preserve"> tượng được hưởng nhiều chính sách cùng lúc thì chỉ được hưởng một chính </w:t>
      </w:r>
      <w:r>
        <w:rPr>
          <w:rStyle w:val="BodyTextChar1"/>
          <w:color w:val="000000"/>
          <w:sz w:val="26"/>
          <w:szCs w:val="26"/>
          <w:lang w:val="en-US"/>
        </w:rPr>
        <w:t xml:space="preserve">sách cao </w:t>
      </w:r>
      <w:r>
        <w:rPr>
          <w:rStyle w:val="BodyTextChar1"/>
          <w:color w:val="000000"/>
          <w:sz w:val="26"/>
          <w:szCs w:val="26"/>
          <w:lang w:eastAsia="vi-VN"/>
        </w:rPr>
        <w:t>nhất hoặc học đồng thời nhiều ngành, nhiều cơ sở giáo dục thì chỉ được hưởng chính sách ở một ngành tại một cơ sở giáo dục;</w:t>
      </w:r>
    </w:p>
    <w:p>
      <w:pPr>
        <w:pStyle w:val="BodyText"/>
        <w:tabs>
          <w:tab w:val="clear" w:pos="720"/>
          <w:tab w:val="left" w:pos="1380" w:leader="none"/>
        </w:tabs>
        <w:spacing w:lineRule="auto" w:line="288"/>
        <w:ind w:firstLine="720" w:end="0"/>
        <w:jc w:val="both"/>
        <w:rPr>
          <w:rFonts w:ascii="Times New Roman" w:hAnsi="Times New Roman" w:cs="Times New Roman"/>
          <w:color w:val="000000"/>
          <w:sz w:val="26"/>
          <w:szCs w:val="26"/>
        </w:rPr>
      </w:pPr>
      <w:r>
        <w:rPr>
          <w:rStyle w:val="BodyTextChar1"/>
          <w:color w:val="000000"/>
          <w:sz w:val="26"/>
          <w:szCs w:val="26"/>
          <w:lang w:val="en-US" w:eastAsia="vi-VN"/>
        </w:rPr>
        <w:t>c) S</w:t>
      </w:r>
      <w:r>
        <w:rPr>
          <w:rStyle w:val="BodyTextChar1"/>
          <w:color w:val="000000"/>
          <w:sz w:val="26"/>
          <w:szCs w:val="26"/>
          <w:lang w:eastAsia="vi-VN"/>
        </w:rPr>
        <w:t>inh viên là đối tượng được hưởng chính sách theo quy định nhưng thuộc đối tượng được hưởng chính sách trợ cấp ưu đãi, trợ cấp xã hội, học bổn</w:t>
      </w:r>
      <w:r>
        <w:rPr>
          <w:rStyle w:val="BodyTextChar1"/>
          <w:color w:val="000000"/>
          <w:sz w:val="26"/>
          <w:szCs w:val="26"/>
          <w:lang w:val="en-US" w:eastAsia="vi-VN"/>
        </w:rPr>
        <w:t>g KKHT</w:t>
      </w:r>
      <w:r>
        <w:rPr>
          <w:rStyle w:val="BodyTextChar1"/>
          <w:color w:val="000000"/>
          <w:sz w:val="26"/>
          <w:szCs w:val="26"/>
          <w:lang w:eastAsia="vi-VN"/>
        </w:rPr>
        <w:t xml:space="preserve"> thì vẫn được hưởng các chính sách này theo quy định;</w:t>
      </w:r>
    </w:p>
    <w:p>
      <w:pPr>
        <w:pStyle w:val="BodyText"/>
        <w:tabs>
          <w:tab w:val="clear" w:pos="720"/>
          <w:tab w:val="left" w:pos="1385" w:leader="none"/>
        </w:tabs>
        <w:spacing w:lineRule="auto" w:line="288"/>
        <w:ind w:firstLine="720" w:end="0"/>
        <w:jc w:val="both"/>
        <w:rPr>
          <w:rFonts w:ascii="Times New Roman" w:hAnsi="Times New Roman" w:cs="Times New Roman"/>
          <w:color w:val="000000"/>
          <w:sz w:val="26"/>
          <w:szCs w:val="26"/>
        </w:rPr>
      </w:pPr>
      <w:r>
        <w:rPr>
          <w:rStyle w:val="BodyTextChar1"/>
          <w:color w:val="000000"/>
          <w:sz w:val="26"/>
          <w:szCs w:val="26"/>
          <w:lang w:val="en-US" w:eastAsia="vi-VN"/>
        </w:rPr>
        <w:t>d) S</w:t>
      </w:r>
      <w:r>
        <w:rPr>
          <w:rStyle w:val="BodyTextChar1"/>
          <w:color w:val="000000"/>
          <w:sz w:val="26"/>
          <w:szCs w:val="26"/>
          <w:lang w:eastAsia="vi-VN"/>
        </w:rPr>
        <w:t>inh viên bị kỷ luật buộc thôi học hoặc bị đình chỉ học tập thì không được hưởng các chính sách quy định kể từ thời điểm quyết định kỷ luật có hiệu lực hoặc trong thời gian bị đình chỉ;</w:t>
      </w:r>
    </w:p>
    <w:p>
      <w:pPr>
        <w:pStyle w:val="BodyText"/>
        <w:spacing w:lineRule="auto" w:line="288"/>
        <w:ind w:firstLine="720" w:end="0"/>
        <w:jc w:val="both"/>
        <w:rPr>
          <w:rFonts w:ascii="Times New Roman" w:hAnsi="Times New Roman" w:cs="Times New Roman"/>
          <w:color w:val="000000"/>
          <w:sz w:val="26"/>
          <w:szCs w:val="26"/>
        </w:rPr>
      </w:pPr>
      <w:r>
        <w:rPr>
          <w:rStyle w:val="BodyTextChar1"/>
          <w:color w:val="000000"/>
          <w:sz w:val="26"/>
          <w:szCs w:val="26"/>
          <w:lang w:eastAsia="vi-VN"/>
        </w:rPr>
        <w:t>đ) Học bổng chính sách được cấp đủ 12 tháng/năm, số năm học được hưởng chính sách không được vượt quá số năm hoặc số học kỳ tối đa để hoàn thành chương trình đào tạo tương ứng với các ngành học theo quy định. Riêng đối với năm học cuối được hưởng theo số tháng thực học.</w:t>
      </w:r>
    </w:p>
    <w:p>
      <w:pPr>
        <w:pStyle w:val="BodyText"/>
        <w:spacing w:lineRule="auto" w:line="288"/>
        <w:ind w:firstLine="720" w:end="0"/>
        <w:jc w:val="both"/>
        <w:rPr>
          <w:rFonts w:ascii="Times New Roman" w:hAnsi="Times New Roman" w:cs="Times New Roman"/>
          <w:color w:val="000000"/>
          <w:sz w:val="26"/>
          <w:szCs w:val="26"/>
        </w:rPr>
      </w:pPr>
      <w:r>
        <w:rPr>
          <w:rStyle w:val="BodyTextChar1"/>
          <w:color w:val="000000"/>
          <w:sz w:val="26"/>
          <w:szCs w:val="26"/>
          <w:lang w:val="en-US" w:eastAsia="vi-VN"/>
        </w:rPr>
        <w:t>e</w:t>
      </w:r>
      <w:r>
        <w:rPr>
          <w:rStyle w:val="BodyTextChar1"/>
          <w:color w:val="000000"/>
          <w:sz w:val="26"/>
          <w:szCs w:val="26"/>
          <w:lang w:eastAsia="vi-VN"/>
        </w:rPr>
        <w:t>) Không áp dụng học bổng chính sách đối với sinh viên học văn bằng hai, đào tạo theo địa chỉ, hình thức đào tạo từ xa, liên kết đào tạo và vừa làm vừa học.</w:t>
      </w:r>
    </w:p>
    <w:p>
      <w:pPr>
        <w:pStyle w:val="NormalWeb"/>
        <w:shd w:val="clear" w:fill="FFFFFF"/>
        <w:spacing w:lineRule="auto" w:line="288" w:before="0" w:after="120"/>
        <w:ind w:firstLine="720" w:end="0"/>
        <w:jc w:val="both"/>
        <w:rPr/>
      </w:pPr>
      <w:r>
        <w:rPr>
          <w:b/>
          <w:sz w:val="26"/>
          <w:szCs w:val="26"/>
        </w:rPr>
        <w:t>Điều 9. Phương thức chi trả học bổng chính sách</w:t>
      </w:r>
    </w:p>
    <w:p>
      <w:pPr>
        <w:pStyle w:val="Footer"/>
        <w:tabs>
          <w:tab w:val="clear" w:pos="4320"/>
          <w:tab w:val="clear" w:pos="8640"/>
        </w:tabs>
        <w:spacing w:lineRule="auto" w:line="288" w:before="0" w:after="120"/>
        <w:ind w:firstLine="720" w:end="0"/>
        <w:jc w:val="both"/>
        <w:rPr>
          <w:sz w:val="26"/>
          <w:szCs w:val="26"/>
          <w:lang w:val="sv-SE"/>
        </w:rPr>
      </w:pPr>
      <w:r>
        <w:rPr>
          <w:sz w:val="26"/>
          <w:szCs w:val="26"/>
          <w:lang w:val="sv-SE"/>
        </w:rPr>
        <w:t xml:space="preserve">1. Sinh viên theo chế độ cử tuyển đang theo học bình thường tại trường: </w:t>
      </w:r>
    </w:p>
    <w:p>
      <w:pPr>
        <w:pStyle w:val="Footer"/>
        <w:tabs>
          <w:tab w:val="clear" w:pos="4320"/>
          <w:tab w:val="clear" w:pos="8640"/>
        </w:tabs>
        <w:spacing w:lineRule="auto" w:line="288" w:before="0" w:after="120"/>
        <w:ind w:firstLine="720" w:end="0"/>
        <w:jc w:val="both"/>
        <w:rPr/>
      </w:pPr>
      <w:r>
        <w:rPr>
          <w:sz w:val="26"/>
          <w:szCs w:val="26"/>
          <w:lang w:val="sv-SE"/>
        </w:rPr>
        <w:t xml:space="preserve">Học bổng chính sách được </w:t>
      </w:r>
      <w:r>
        <w:rPr>
          <w:sz w:val="26"/>
          <w:szCs w:val="26"/>
          <w:lang w:val="it-IT"/>
        </w:rPr>
        <w:t>được chuyển vào tài khoản của sinh viên</w:t>
      </w:r>
      <w:r>
        <w:rPr>
          <w:sz w:val="26"/>
          <w:szCs w:val="26"/>
          <w:lang w:val="sv-SE"/>
        </w:rPr>
        <w:t xml:space="preserve"> và được cấp hai lần trong năm, mỗi lần cấp 6 tháng, cụ thể như sau:</w:t>
      </w:r>
    </w:p>
    <w:p>
      <w:pPr>
        <w:pStyle w:val="Footer"/>
        <w:tabs>
          <w:tab w:val="clear" w:pos="4320"/>
          <w:tab w:val="clear" w:pos="8640"/>
        </w:tabs>
        <w:spacing w:lineRule="auto" w:line="288" w:before="0" w:after="120"/>
        <w:ind w:firstLine="720" w:end="0"/>
        <w:jc w:val="both"/>
        <w:rPr>
          <w:i/>
          <w:i/>
          <w:sz w:val="26"/>
          <w:szCs w:val="26"/>
          <w:lang w:val="sv-SE"/>
        </w:rPr>
      </w:pPr>
      <w:r>
        <w:rPr>
          <w:sz w:val="26"/>
          <w:szCs w:val="26"/>
          <w:lang w:val="sv-SE"/>
        </w:rPr>
        <w:t xml:space="preserve">+ Lần thứ nhất cấp vào tháng 10 hàng năm </w:t>
      </w:r>
      <w:r>
        <w:rPr>
          <w:i/>
          <w:sz w:val="26"/>
          <w:szCs w:val="26"/>
          <w:lang w:val="sv-SE"/>
        </w:rPr>
        <w:t>(sau 10 ngày kể từ khi có kết quả xét học vụ của học kỳ 2 liền trước);</w:t>
      </w:r>
    </w:p>
    <w:p>
      <w:pPr>
        <w:pStyle w:val="Footer"/>
        <w:tabs>
          <w:tab w:val="clear" w:pos="4320"/>
          <w:tab w:val="clear" w:pos="8640"/>
        </w:tabs>
        <w:spacing w:lineRule="auto" w:line="288" w:before="0" w:after="120"/>
        <w:ind w:firstLine="720" w:end="0"/>
        <w:jc w:val="both"/>
        <w:rPr>
          <w:i/>
          <w:i/>
          <w:sz w:val="26"/>
          <w:szCs w:val="26"/>
          <w:lang w:val="sv-SE"/>
        </w:rPr>
      </w:pPr>
      <w:r>
        <w:rPr>
          <w:sz w:val="26"/>
          <w:szCs w:val="26"/>
          <w:lang w:val="sv-SE"/>
        </w:rPr>
        <w:t xml:space="preserve">+ Lần thứ hai cấp vào tháng 3 hàng năm </w:t>
      </w:r>
      <w:r>
        <w:rPr>
          <w:i/>
          <w:sz w:val="26"/>
          <w:szCs w:val="26"/>
          <w:lang w:val="sv-SE"/>
        </w:rPr>
        <w:t>(sau 10 ngày kể từ khi có kết quả xét học vụ của học kỳ 1 liền trước).</w:t>
      </w:r>
    </w:p>
    <w:p>
      <w:pPr>
        <w:pStyle w:val="Footer"/>
        <w:tabs>
          <w:tab w:val="clear" w:pos="4320"/>
          <w:tab w:val="clear" w:pos="8640"/>
        </w:tabs>
        <w:spacing w:lineRule="auto" w:line="288" w:before="0" w:after="120"/>
        <w:ind w:firstLine="720" w:end="0"/>
        <w:jc w:val="both"/>
        <w:rPr/>
      </w:pPr>
      <w:r>
        <w:rPr>
          <w:sz w:val="26"/>
          <w:szCs w:val="26"/>
          <w:lang w:val="sv-SE"/>
        </w:rPr>
        <w:t>Riêng đối với sinh viên mới nhập học, lần cấp thứ nhất của khóa học sẽ cấp vào tháng 3 của năm liền sau.</w:t>
      </w:r>
    </w:p>
    <w:p>
      <w:pPr>
        <w:pStyle w:val="BodyText"/>
        <w:tabs>
          <w:tab w:val="clear" w:pos="720"/>
          <w:tab w:val="left" w:pos="895" w:leader="none"/>
        </w:tabs>
        <w:spacing w:lineRule="auto" w:line="288"/>
        <w:ind w:firstLine="720" w:end="0"/>
        <w:jc w:val="both"/>
        <w:rPr>
          <w:rFonts w:ascii="Times New Roman" w:hAnsi="Times New Roman" w:cs="Times New Roman"/>
          <w:color w:val="000000"/>
          <w:sz w:val="26"/>
          <w:szCs w:val="26"/>
        </w:rPr>
      </w:pPr>
      <w:r>
        <w:rPr>
          <w:rStyle w:val="BodyTextChar1"/>
          <w:color w:val="000000"/>
          <w:sz w:val="26"/>
          <w:szCs w:val="26"/>
          <w:lang w:val="en-US" w:eastAsia="vi-VN"/>
        </w:rPr>
        <w:t xml:space="preserve">2. </w:t>
      </w:r>
      <w:r>
        <w:rPr>
          <w:rStyle w:val="BodyTextChar1"/>
          <w:color w:val="000000"/>
          <w:sz w:val="26"/>
          <w:szCs w:val="26"/>
          <w:lang w:eastAsia="vi-VN"/>
        </w:rPr>
        <w:t>Sinh viên theo chế độ cử tuyển tự thôi học hoặc bị kỷ luật buộc thôi học thì phải bồi hoàn toàn bộ số tiền học bổng đã nhận cho cơ quan cấp học bổng, trừ các trường hợp tự thôi học do bất khả kháng.</w:t>
      </w:r>
    </w:p>
    <w:p>
      <w:pPr>
        <w:pStyle w:val="Normal"/>
        <w:shd w:val="clear" w:fill="FFFFFF"/>
        <w:spacing w:lineRule="auto" w:line="288" w:before="240" w:after="360"/>
        <w:ind w:firstLine="720" w:end="0"/>
        <w:jc w:val="center"/>
        <w:rPr>
          <w:rFonts w:ascii="Times New Roman" w:hAnsi="Times New Roman" w:cs="Times New Roman"/>
          <w:b/>
          <w:color w:val="000000"/>
          <w:sz w:val="26"/>
          <w:szCs w:val="26"/>
          <w:lang w:val="de-DE"/>
        </w:rPr>
      </w:pPr>
      <w:r>
        <w:rPr>
          <w:rFonts w:cs="Times New Roman" w:ascii="Times New Roman" w:hAnsi="Times New Roman"/>
          <w:b/>
          <w:color w:val="000000"/>
          <w:sz w:val="26"/>
          <w:szCs w:val="26"/>
          <w:lang w:val="de-DE"/>
        </w:rPr>
      </w:r>
    </w:p>
    <w:p>
      <w:pPr>
        <w:pStyle w:val="Normal"/>
        <w:shd w:val="clear" w:fill="FFFFFF"/>
        <w:spacing w:lineRule="auto" w:line="288" w:before="240" w:after="360"/>
        <w:ind w:firstLine="720" w:end="0"/>
        <w:jc w:val="center"/>
        <w:rPr>
          <w:rFonts w:ascii="Times New Roman" w:hAnsi="Times New Roman" w:cs="Times New Roman"/>
          <w:b/>
          <w:sz w:val="26"/>
          <w:szCs w:val="26"/>
          <w:lang w:val="de-DE"/>
        </w:rPr>
      </w:pPr>
      <w:r>
        <w:rPr>
          <w:rFonts w:cs="Times New Roman" w:ascii="Times New Roman" w:hAnsi="Times New Roman"/>
          <w:b/>
          <w:sz w:val="26"/>
          <w:szCs w:val="26"/>
          <w:lang w:val="de-DE"/>
        </w:rPr>
      </w:r>
    </w:p>
    <w:p>
      <w:pPr>
        <w:pStyle w:val="Normal"/>
        <w:spacing w:lineRule="auto" w:line="288" w:before="0" w:after="120"/>
        <w:ind w:firstLine="720" w:end="0"/>
        <w:rPr>
          <w:rFonts w:ascii="Times New Roman" w:hAnsi="Times New Roman" w:cs="Times New Roman"/>
          <w:b/>
          <w:bCs/>
          <w:sz w:val="26"/>
          <w:szCs w:val="26"/>
          <w:lang w:val="de-DE"/>
        </w:rPr>
      </w:pPr>
      <w:r>
        <w:rPr>
          <w:rFonts w:cs="Times New Roman" w:ascii="Times New Roman" w:hAnsi="Times New Roman"/>
          <w:b/>
          <w:bCs/>
          <w:sz w:val="26"/>
          <w:szCs w:val="26"/>
          <w:lang w:val="de-DE"/>
        </w:rPr>
        <w:t>Điều 10. Điều khoản thi hành</w:t>
      </w:r>
    </w:p>
    <w:p>
      <w:pPr>
        <w:pStyle w:val="Normal"/>
        <w:spacing w:lineRule="auto" w:line="288" w:before="0" w:after="120"/>
        <w:ind w:firstLine="720" w:end="0"/>
        <w:jc w:val="both"/>
        <w:rPr>
          <w:rFonts w:ascii="Times New Roman" w:hAnsi="Times New Roman" w:cs="Times New Roman"/>
          <w:sz w:val="26"/>
          <w:szCs w:val="26"/>
          <w:lang w:val="de-DE"/>
        </w:rPr>
      </w:pPr>
      <w:r>
        <w:rPr>
          <w:rFonts w:cs="Times New Roman" w:ascii="Times New Roman" w:hAnsi="Times New Roman"/>
          <w:sz w:val="26"/>
          <w:szCs w:val="26"/>
          <w:lang w:val="de-DE"/>
        </w:rPr>
        <w:t>1. Quy định này có hiệu lực thi hành từ học kỳ 2 năm học 2020 – 2021.</w:t>
      </w:r>
    </w:p>
    <w:p>
      <w:pPr>
        <w:pStyle w:val="Normal"/>
        <w:spacing w:lineRule="auto" w:line="288" w:before="0" w:after="120"/>
        <w:ind w:firstLine="720" w:end="0"/>
        <w:jc w:val="both"/>
        <w:rPr>
          <w:rFonts w:ascii="Times New Roman" w:hAnsi="Times New Roman" w:cs="Times New Roman"/>
          <w:sz w:val="26"/>
          <w:szCs w:val="26"/>
          <w:lang w:val="de-DE"/>
        </w:rPr>
      </w:pPr>
      <w:r>
        <w:rPr>
          <w:rFonts w:cs="Times New Roman" w:ascii="Times New Roman" w:hAnsi="Times New Roman"/>
          <w:sz w:val="26"/>
          <w:szCs w:val="26"/>
          <w:lang w:val="de-DE"/>
        </w:rPr>
        <w:t>2. Trong quá trình thực hiện, nếu có vướng mắc, phát sinh cần điều chỉnh, bổ sung các điều khoản của Quy định này, các đơn vị, cá nhân gửi ý kiến đóng góp bằng văn bản về trường thông qua Phòng Chính trị &amp; Công tác sinh viên để trình Hiệu trưởng xem xét, quyết định.</w:t>
      </w:r>
    </w:p>
    <w:p>
      <w:pPr>
        <w:pStyle w:val="Normal"/>
        <w:spacing w:lineRule="auto" w:line="288" w:before="0" w:after="120"/>
        <w:ind w:firstLine="720" w:end="0"/>
        <w:rPr>
          <w:rFonts w:ascii="Times New Roman" w:hAnsi="Times New Roman" w:cs="Times New Roman"/>
          <w:b/>
          <w:bCs/>
          <w:sz w:val="26"/>
          <w:szCs w:val="26"/>
          <w:lang w:val="de-DE"/>
        </w:rPr>
      </w:pPr>
      <w:r>
        <w:rPr>
          <w:rFonts w:cs="Times New Roman" w:ascii="Times New Roman" w:hAnsi="Times New Roman"/>
          <w:b/>
          <w:bCs/>
          <w:sz w:val="26"/>
          <w:szCs w:val="26"/>
          <w:lang w:val="de-DE"/>
        </w:rPr>
        <w:t>Điều 11. Trách nhiệm thi hành</w:t>
      </w:r>
    </w:p>
    <w:p>
      <w:pPr>
        <w:pStyle w:val="Normal"/>
        <w:spacing w:lineRule="auto" w:line="288" w:before="0" w:after="120"/>
        <w:ind w:firstLine="720" w:end="0"/>
        <w:jc w:val="both"/>
        <w:rPr>
          <w:rFonts w:ascii="Times New Roman" w:hAnsi="Times New Roman" w:cs="Times New Roman"/>
          <w:sz w:val="26"/>
          <w:szCs w:val="26"/>
          <w:lang w:val="de-DE"/>
        </w:rPr>
      </w:pPr>
      <w:r>
        <w:rPr>
          <w:rFonts w:cs="Times New Roman" w:ascii="Times New Roman" w:hAnsi="Times New Roman"/>
          <w:sz w:val="26"/>
          <w:szCs w:val="26"/>
          <w:lang w:val="de-DE"/>
        </w:rPr>
        <w:t xml:space="preserve">Các đơn vị, cá nhân có liên quan và sinh viên đang học tại Trường Đại học Thủy lợi chịu trách nhiệm thi hành Quyết định này./. </w:t>
      </w:r>
    </w:p>
    <w:p>
      <w:pPr>
        <w:pStyle w:val="Normal"/>
        <w:spacing w:lineRule="auto" w:line="288"/>
        <w:ind w:firstLine="720" w:end="0"/>
        <w:jc w:val="both"/>
        <w:rPr/>
      </w:pPr>
      <w:r>
        <w:rPr/>
      </w:r>
    </w:p>
    <w:sectPr>
      <w:type w:val="nextPage"/>
      <w:pgSz w:w="11906" w:h="16838"/>
      <w:pgMar w:left="1699" w:right="1138" w:gutter="0" w:header="0" w:top="1440" w:footer="0" w:bottom="1440"/>
      <w:pgNumType w:start="0"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
    <w:charset w:val="01" w:characterSet="utf-8"/>
    <w:family w:val="roman"/>
    <w:pitch w:val="variable"/>
  </w:font>
  <w:font w:name="Arial">
    <w:charset w:val="01" w:characterSet="utf-8"/>
    <w:family w:val="roman"/>
    <w:pitch w:val="variable"/>
  </w:font>
  <w:font w:name="Times New Roman">
    <w:charset w:val="01" w:characterSet="utf-8"/>
    <w:family w:val="roman"/>
    <w:pitch w:val="variable"/>
  </w:font>
  <w:font w:name="Tahoma">
    <w:charset w:val="01" w:characterSet="utf-8"/>
    <w:family w:val="roman"/>
    <w:pitch w:val="variable"/>
  </w:font>
  <w:font w:name="Liberation Sans">
    <w:altName w:val="Arial"/>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VnTime" w:hAnsi=".VnTime" w:eastAsia="Times New Roman" w:cs=".VnTime"/>
      <w:color w:val="auto"/>
      <w:kern w:val="0"/>
      <w:sz w:val="24"/>
      <w:szCs w:val="24"/>
      <w:lang w:val="en-US" w:eastAsia="zh-CN" w:bidi="ar-SA"/>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bCs/>
      <w:kern w:val="2"/>
      <w:sz w:val="32"/>
      <w:szCs w:val="32"/>
      <w:lang w:val="en-US"/>
    </w:rPr>
  </w:style>
  <w:style w:type="character" w:styleId="WW8Num1z0">
    <w:name w:val="WW8Num1z0"/>
    <w:qFormat/>
    <w:rPr>
      <w:rFonts w:ascii="Times New Roman" w:hAnsi="Times New Roman" w:cs="Times New Roman"/>
    </w:rPr>
  </w:style>
  <w:style w:type="character" w:styleId="DefaultParagraphFont">
    <w:name w:val="Default Paragraph Font"/>
    <w:qFormat/>
    <w:rPr/>
  </w:style>
  <w:style w:type="character" w:styleId="Strong">
    <w:name w:val="Strong"/>
    <w:qFormat/>
    <w:rPr>
      <w:b/>
      <w:bCs/>
    </w:rPr>
  </w:style>
  <w:style w:type="character" w:styleId="Emphasis">
    <w:name w:val="Emphasis"/>
    <w:qFormat/>
    <w:rPr>
      <w:i/>
      <w:iCs/>
    </w:rPr>
  </w:style>
  <w:style w:type="character" w:styleId="BodyText2Char">
    <w:name w:val="Body Text 2 Char"/>
    <w:qFormat/>
    <w:rPr>
      <w:rFonts w:ascii=".VnTime" w:hAnsi=".VnTime" w:cs=".VnTime"/>
      <w:sz w:val="28"/>
    </w:rPr>
  </w:style>
  <w:style w:type="character" w:styleId="BodyTextChar">
    <w:name w:val="Body Text Char"/>
    <w:qFormat/>
    <w:rPr>
      <w:rFonts w:ascii=".VnTime" w:hAnsi=".VnTime" w:cs=".VnTime"/>
      <w:sz w:val="24"/>
      <w:szCs w:val="24"/>
    </w:rPr>
  </w:style>
  <w:style w:type="character" w:styleId="CommentReference">
    <w:name w:val="Comment Reference"/>
    <w:qFormat/>
    <w:rPr>
      <w:sz w:val="16"/>
      <w:szCs w:val="16"/>
    </w:rPr>
  </w:style>
  <w:style w:type="character" w:styleId="CommentTextChar">
    <w:name w:val="Comment Text Char"/>
    <w:qFormat/>
    <w:rPr>
      <w:rFonts w:ascii=".VnTime" w:hAnsi=".VnTime" w:cs=".VnTime"/>
    </w:rPr>
  </w:style>
  <w:style w:type="character" w:styleId="CommentSubjectChar">
    <w:name w:val="Comment Subject Char"/>
    <w:qFormat/>
    <w:rPr>
      <w:rFonts w:ascii=".VnTime" w:hAnsi=".VnTime" w:cs=".VnTime"/>
      <w:b/>
      <w:bCs/>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cs="Arial"/>
      <w:b/>
      <w:bCs/>
      <w:kern w:val="2"/>
      <w:sz w:val="32"/>
      <w:szCs w:val="32"/>
    </w:rPr>
  </w:style>
  <w:style w:type="character" w:styleId="PageNumber">
    <w:name w:val="Page Number"/>
    <w:basedOn w:val="DefaultParagraphFont"/>
    <w:rPr/>
  </w:style>
  <w:style w:type="character" w:styleId="Bodytext3">
    <w:name w:val="Body text (3)_"/>
    <w:qFormat/>
    <w:rPr>
      <w:sz w:val="22"/>
      <w:szCs w:val="22"/>
      <w:shd w:fill="FFFFFF" w:val="clear"/>
    </w:rPr>
  </w:style>
  <w:style w:type="character" w:styleId="Bodytext2">
    <w:name w:val="Body text (2)_"/>
    <w:qFormat/>
    <w:rPr>
      <w:sz w:val="26"/>
      <w:szCs w:val="26"/>
      <w:shd w:fill="FFFFFF" w:val="clear"/>
    </w:rPr>
  </w:style>
  <w:style w:type="character" w:styleId="BodyTextChar1">
    <w:name w:val="Body Text Char1"/>
    <w:qFormat/>
    <w:rPr>
      <w:rFonts w:ascii="Times New Roman" w:hAnsi="Times New Roman" w:cs="Times New Roman"/>
      <w:sz w:val="28"/>
      <w:szCs w:val="28"/>
      <w:u w: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20"/>
    </w:pPr>
    <w:rPr>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basedOn w:val="Normal"/>
    <w:qFormat/>
    <w:pPr>
      <w:spacing w:before="100" w:after="300"/>
    </w:pPr>
    <w:rPr>
      <w:rFonts w:ascii="Times New Roman" w:hAnsi="Times New Roman" w:cs="Times New Roman"/>
    </w:rPr>
  </w:style>
  <w:style w:type="paragraph" w:styleId="Char">
    <w:name w:val=" Char"/>
    <w:basedOn w:val="Normal"/>
    <w:qFormat/>
    <w:pPr>
      <w:spacing w:before="280" w:after="280"/>
    </w:pPr>
    <w:rPr>
      <w:rFonts w:ascii="Tahoma" w:hAnsi="Tahoma" w:cs="Tahoma"/>
      <w:sz w:val="20"/>
      <w:szCs w:val="20"/>
    </w:rPr>
  </w:style>
  <w:style w:type="paragraph" w:styleId="BodyText21">
    <w:name w:val="Body Text 2"/>
    <w:basedOn w:val="Normal"/>
    <w:qFormat/>
    <w:pPr>
      <w:spacing w:lineRule="auto" w:line="480" w:before="0" w:after="120"/>
    </w:pPr>
    <w:rPr>
      <w:sz w:val="28"/>
      <w:szCs w:val="20"/>
      <w:lang w:val="en-US"/>
    </w:rPr>
  </w:style>
  <w:style w:type="paragraph" w:styleId="BodyTextIndent">
    <w:name w:val="Body Text Indent"/>
    <w:basedOn w:val="Normal"/>
    <w:pPr>
      <w:spacing w:before="0" w:after="120"/>
      <w:ind w:hanging="0" w:start="36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rFonts w:ascii="Times New Roman" w:hAnsi="Times New Roman" w:cs="Times New Roman"/>
      <w:sz w:val="28"/>
      <w:szCs w:val="28"/>
      <w:lang w:val="en-GB"/>
    </w:rPr>
  </w:style>
  <w:style w:type="paragraph" w:styleId="CommentText">
    <w:name w:val="Comment Text"/>
    <w:basedOn w:val="Normal"/>
    <w:qFormat/>
    <w:pPr/>
    <w:rPr>
      <w:sz w:val="20"/>
      <w:szCs w:val="20"/>
      <w:lang w:val="en-US"/>
    </w:rPr>
  </w:style>
  <w:style w:type="paragraph" w:styleId="CommentSubject">
    <w:name w:val="Comment Subject"/>
    <w:basedOn w:val="CommentText"/>
    <w:next w:val="CommentText"/>
    <w:qFormat/>
    <w:pPr/>
    <w:rPr>
      <w:b/>
      <w:bCs/>
    </w:rPr>
  </w:style>
  <w:style w:type="paragraph" w:styleId="BalloonText">
    <w:name w:val="Balloon Text"/>
    <w:basedOn w:val="Normal"/>
    <w:qFormat/>
    <w:pPr/>
    <w:rPr>
      <w:rFonts w:ascii="Tahoma" w:hAnsi="Tahoma" w:cs="Tahoma"/>
      <w:sz w:val="16"/>
      <w:szCs w:val="16"/>
      <w:lang w:val="en-US"/>
    </w:rPr>
  </w:style>
  <w:style w:type="paragraph" w:styleId="Header">
    <w:name w:val="Header"/>
    <w:basedOn w:val="Normal"/>
    <w:pPr>
      <w:tabs>
        <w:tab w:val="clear" w:pos="720"/>
        <w:tab w:val="center" w:pos="4320" w:leader="none"/>
        <w:tab w:val="right" w:pos="8640" w:leader="none"/>
      </w:tabs>
    </w:pPr>
    <w:rPr/>
  </w:style>
  <w:style w:type="paragraph" w:styleId="Default">
    <w:name w:val="Default"/>
    <w:qFormat/>
    <w:pPr>
      <w:widowControl/>
      <w:suppressAutoHyphens w:val="true"/>
      <w:bidi w:val="0"/>
      <w:spacing w:before="0" w:after="0"/>
      <w:jc w:val="start"/>
    </w:pPr>
    <w:rPr>
      <w:rFonts w:ascii="Times New Roman" w:hAnsi="Times New Roman" w:eastAsia="Calibri" w:cs="Times New Roman"/>
      <w:color w:val="000000"/>
      <w:kern w:val="0"/>
      <w:sz w:val="24"/>
      <w:szCs w:val="24"/>
      <w:lang w:val="en-US" w:eastAsia="zh-CN" w:bidi="ar-SA"/>
    </w:rPr>
  </w:style>
  <w:style w:type="paragraph" w:styleId="Bodytext31">
    <w:name w:val="Body text (3)"/>
    <w:basedOn w:val="Normal"/>
    <w:qFormat/>
    <w:pPr>
      <w:widowControl w:val="false"/>
      <w:shd w:val="clear" w:fill="FFFFFF"/>
      <w:ind w:firstLine="400" w:start="0" w:end="0"/>
    </w:pPr>
    <w:rPr>
      <w:rFonts w:ascii="Times New Roman" w:hAnsi="Times New Roman" w:cs="Times New Roman"/>
      <w:sz w:val="22"/>
      <w:szCs w:val="22"/>
      <w:lang w:val="en-US"/>
    </w:rPr>
  </w:style>
  <w:style w:type="paragraph" w:styleId="Bodytext22">
    <w:name w:val="Body text (2)"/>
    <w:basedOn w:val="Normal"/>
    <w:qFormat/>
    <w:pPr>
      <w:widowControl w:val="false"/>
      <w:shd w:val="clear" w:fill="FFFFFF"/>
      <w:spacing w:lineRule="auto" w:line="280" w:before="0" w:after="60"/>
      <w:ind w:firstLine="580" w:start="0" w:end="0"/>
    </w:pPr>
    <w:rPr>
      <w:rFonts w:ascii="Times New Roman" w:hAnsi="Times New Roman" w:cs="Times New Roman"/>
      <w:sz w:val="26"/>
      <w:szCs w:val="26"/>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Normal_x005F_x0000_</Template>
  <TotalTime>92</TotalTime>
  <Application>LibreOffice/24.2.7.2$Linux_X86_64 LibreOffice_project/420$Build-2</Application>
  <AppVersion>15.0000</AppVersion>
  <Pages>5</Pages>
  <Words>1922</Words>
  <Characters>6662</Characters>
  <CharactersWithSpaces>8535</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2021-05-13T16:14:00Z</dcterms:created>
  <dc:creator>Microsoft Cop.</dc:creator>
  <dc:description/>
  <dc:language>en-US</dc:language>
  <cp:lastModifiedBy/>
  <cp:lastPrinted>2013-06-15T11:35:00Z</cp:lastPrinted>
  <dcterms:modified xsi:type="dcterms:W3CDTF">2026-03-23T21:04:58Z</dcterms:modified>
  <cp:revision>13</cp:revision>
  <dc:subject/>
  <dc:title>BỘ NÔNG NGHIỆP VÀ PTNT</dc:title>
</cp:coreProperties>
</file>

<file path=docProps/custom.xml><?xml version="1.0" encoding="utf-8"?>
<Properties xmlns="http://schemas.openxmlformats.org/officeDocument/2006/custom-properties" xmlns:vt="http://schemas.openxmlformats.org/officeDocument/2006/docPropsVTypes"/>
</file>