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360" w:leader="none"/>
        </w:tabs>
        <w:spacing w:before="0" w:after="120"/>
        <w:jc w:val="center"/>
        <w:rPr>
          <w:b/>
          <w:sz w:val="28"/>
          <w:szCs w:val="28"/>
        </w:rPr>
      </w:pPr>
      <w:r>
        <w:rPr>
          <w:b/>
          <w:bCs/>
          <w:sz w:val="26"/>
          <w:szCs w:val="26"/>
        </w:rPr>
      </w:r>
    </w:p>
    <w:p>
      <w:pPr>
        <w:pStyle w:val="Normal"/>
        <w:spacing w:before="0" w:after="120"/>
        <w:contextualSpacing/>
        <w:jc w:val="center"/>
        <w:rPr>
          <w:b/>
          <w:bCs/>
          <w:sz w:val="26"/>
          <w:szCs w:val="26"/>
        </w:rPr>
      </w:pPr>
      <w:r>
        <w:rPr/>
      </w:r>
    </w:p>
    <w:p>
      <w:pPr>
        <w:pStyle w:val="Normal"/>
        <w:spacing w:before="0" w:after="120"/>
        <w:ind w:firstLine="720" w:end="0"/>
        <w:contextualSpacing/>
        <w:rPr>
          <w:b/>
          <w:bCs/>
          <w:sz w:val="26"/>
          <w:szCs w:val="26"/>
        </w:rPr>
      </w:pPr>
      <w:r>
        <w:rPr>
          <w:b/>
          <w:bCs/>
          <w:sz w:val="26"/>
          <w:szCs w:val="26"/>
        </w:rPr>
        <w:t>Điều 2. Phạm vi điều chỉnh</w:t>
      </w:r>
      <w:r>
        <w:rPr>
          <w:b/>
          <w:sz w:val="26"/>
          <w:szCs w:val="26"/>
        </w:rPr>
        <w:t xml:space="preserve"> và đối tượng áp dụng</w:t>
      </w:r>
    </w:p>
    <w:p>
      <w:pPr>
        <w:pStyle w:val="Normal"/>
        <w:spacing w:before="0" w:after="120"/>
        <w:ind w:firstLine="697" w:start="23" w:end="0"/>
        <w:jc w:val="both"/>
        <w:rPr/>
      </w:pPr>
      <w:r>
        <w:rPr>
          <w:sz w:val="26"/>
          <w:szCs w:val="26"/>
        </w:rPr>
        <w:t>1. Quy định này quy định về học phí; đối tượng, mức và quy trình thực hiện miễn giảm học phí, hỗ trợ chi phí học tập, hỗ trợ học tập và trợ cấp xã hội đối với sinh viên đang học tại Trường Đại học Thủy lợi.</w:t>
      </w:r>
    </w:p>
    <w:p>
      <w:pPr>
        <w:pStyle w:val="Normal"/>
        <w:spacing w:before="0" w:after="120"/>
        <w:ind w:firstLine="697" w:start="23" w:end="0"/>
        <w:jc w:val="both"/>
        <w:rPr>
          <w:sz w:val="26"/>
          <w:szCs w:val="26"/>
        </w:rPr>
      </w:pPr>
      <w:r>
        <w:rPr>
          <w:sz w:val="26"/>
          <w:szCs w:val="26"/>
        </w:rPr>
        <w:t>2. Quy định này áp dụng đối với sinh viên đại học và liên thông cao đẳng lên đại học đang học tại Trường Đại học Thủy lợi.</w:t>
      </w:r>
    </w:p>
    <w:p>
      <w:pPr>
        <w:pStyle w:val="Normal"/>
        <w:spacing w:before="0" w:after="120"/>
        <w:contextualSpacing/>
        <w:jc w:val="center"/>
        <w:rPr>
          <w:b/>
          <w:bCs/>
          <w:sz w:val="26"/>
          <w:szCs w:val="26"/>
        </w:rPr>
      </w:pPr>
      <w:r>
        <w:rPr>
          <w:b/>
          <w:bCs/>
          <w:sz w:val="26"/>
          <w:szCs w:val="26"/>
        </w:rPr>
      </w:r>
    </w:p>
    <w:p>
      <w:pPr>
        <w:pStyle w:val="Normal"/>
        <w:spacing w:before="0" w:after="120"/>
        <w:ind w:firstLine="720" w:end="0"/>
        <w:jc w:val="both"/>
        <w:rPr>
          <w:b/>
          <w:sz w:val="26"/>
          <w:szCs w:val="26"/>
        </w:rPr>
      </w:pPr>
      <w:r>
        <w:rPr>
          <w:b/>
          <w:sz w:val="26"/>
          <w:szCs w:val="26"/>
        </w:rPr>
        <w:t>Điều 3. Quy định về thu học phí</w:t>
      </w:r>
    </w:p>
    <w:p>
      <w:pPr>
        <w:pStyle w:val="Normal"/>
        <w:spacing w:before="0" w:after="120"/>
        <w:ind w:firstLine="720" w:end="0"/>
        <w:jc w:val="both"/>
        <w:rPr>
          <w:b/>
          <w:sz w:val="26"/>
          <w:szCs w:val="26"/>
        </w:rPr>
      </w:pPr>
      <w:r>
        <w:rPr>
          <w:b/>
          <w:i/>
          <w:sz w:val="26"/>
          <w:szCs w:val="26"/>
        </w:rPr>
        <w:t>1. Thời gian thu học phí</w:t>
      </w:r>
    </w:p>
    <w:p>
      <w:pPr>
        <w:pStyle w:val="Normal"/>
        <w:spacing w:before="0" w:after="120"/>
        <w:ind w:firstLine="720" w:end="0"/>
        <w:jc w:val="both"/>
        <w:rPr/>
      </w:pPr>
      <w:r>
        <w:rPr>
          <w:color w:val="000000"/>
          <w:sz w:val="26"/>
          <w:szCs w:val="26"/>
          <w:lang w:val="nl-NL"/>
        </w:rPr>
        <w:t xml:space="preserve">- Học phí của học kỳ chính và học kỳ thực hiện Học phần tốt nghiệp được thu một lần vào tuần học thứ tư của mỗi giai đoạn học. </w:t>
      </w:r>
    </w:p>
    <w:p>
      <w:pPr>
        <w:pStyle w:val="Normal"/>
        <w:spacing w:before="0" w:after="120"/>
        <w:ind w:firstLine="720" w:end="0"/>
        <w:jc w:val="both"/>
        <w:rPr>
          <w:color w:val="000000"/>
          <w:sz w:val="26"/>
          <w:szCs w:val="26"/>
          <w:lang w:val="nl-NL"/>
        </w:rPr>
      </w:pPr>
      <w:r>
        <w:rPr>
          <w:color w:val="000000"/>
          <w:sz w:val="26"/>
          <w:szCs w:val="26"/>
          <w:lang w:val="nl-NL"/>
        </w:rPr>
        <w:t>- Học phí của học kỳ song song với học kỳ chính, học kỳ hè được thu vào tuần học thứ hai của mỗi kỳ học.</w:t>
      </w:r>
    </w:p>
    <w:p>
      <w:pPr>
        <w:pStyle w:val="Normal"/>
        <w:spacing w:before="0" w:after="120"/>
        <w:ind w:firstLine="720" w:end="0"/>
        <w:jc w:val="both"/>
        <w:rPr>
          <w:b/>
          <w:i/>
          <w:i/>
          <w:color w:val="000000"/>
          <w:sz w:val="26"/>
          <w:szCs w:val="26"/>
          <w:lang w:val="nl-NL"/>
        </w:rPr>
      </w:pPr>
      <w:r>
        <w:rPr>
          <w:b/>
          <w:i/>
          <w:color w:val="000000"/>
          <w:sz w:val="26"/>
          <w:szCs w:val="26"/>
          <w:lang w:val="nl-NL"/>
        </w:rPr>
        <w:t>2. Mức thu học phí</w:t>
      </w:r>
    </w:p>
    <w:p>
      <w:pPr>
        <w:pStyle w:val="Normal"/>
        <w:spacing w:before="0" w:after="120"/>
        <w:ind w:firstLine="720" w:end="0"/>
        <w:jc w:val="both"/>
        <w:rPr>
          <w:sz w:val="26"/>
          <w:szCs w:val="26"/>
        </w:rPr>
      </w:pPr>
      <w:r>
        <w:rPr>
          <w:sz w:val="26"/>
          <w:szCs w:val="26"/>
        </w:rPr>
        <w:t>2.1. Học phí của trường được xác định cho từng năm học và căn cứ vào khung học phí quy định của Thủ tướng Chính phủ tại Nghị định số 81/2021/NĐ-CP ngày 27/8/2021.</w:t>
      </w:r>
    </w:p>
    <w:p>
      <w:pPr>
        <w:pStyle w:val="Normal"/>
        <w:spacing w:before="0" w:after="120"/>
        <w:ind w:firstLine="720" w:end="0"/>
        <w:jc w:val="both"/>
        <w:rPr>
          <w:sz w:val="26"/>
          <w:szCs w:val="26"/>
        </w:rPr>
      </w:pPr>
      <w:r>
        <w:rPr>
          <w:sz w:val="26"/>
          <w:szCs w:val="26"/>
        </w:rPr>
        <w:t>Học phí được thông báo công khai trước mỗi năm học và nhằm khuyến khích sinh viên thực hiện kế hoạch học tập đúng thời hạn quy định.</w:t>
      </w:r>
    </w:p>
    <w:p>
      <w:pPr>
        <w:pStyle w:val="Normal"/>
        <w:spacing w:before="0" w:after="120"/>
        <w:ind w:firstLine="696" w:start="24" w:end="0"/>
        <w:jc w:val="both"/>
        <w:rPr>
          <w:sz w:val="26"/>
          <w:szCs w:val="26"/>
        </w:rPr>
      </w:pPr>
      <w:r>
        <w:rPr>
          <w:sz w:val="26"/>
          <w:szCs w:val="26"/>
        </w:rPr>
        <w:t>Học phí được xác định căn cứ theo số học phần mà sinh viên đăng ký học trong mỗi kỳ và bằng tổng số tín chỉ quy định cho các học phần đó nhân với mức tiền học phí của 1 tín chỉ. Riêng với sinh viên học theo chương trình tiên tiến, học phí xác định như sau:</w:t>
      </w:r>
    </w:p>
    <w:p>
      <w:pPr>
        <w:pStyle w:val="Normal"/>
        <w:spacing w:before="0" w:after="120"/>
        <w:ind w:firstLine="696" w:start="24" w:end="0"/>
        <w:jc w:val="both"/>
        <w:rPr>
          <w:sz w:val="26"/>
          <w:szCs w:val="26"/>
        </w:rPr>
      </w:pPr>
      <w:r>
        <w:rPr>
          <w:sz w:val="26"/>
          <w:szCs w:val="26"/>
        </w:rPr>
        <w:t xml:space="preserve">- Đối với các môn học Lý luận chính trị, Giáo dục Thể chất, Giáo dục Quốc phòng: Học phí được xác định căn cứ theo số học phần mà sinh viên đăng ký học và bằng tổng số tín chỉ quy định cho các học phần đó nhân với mức tiền học phí của 1 tín chỉ quy định cho chương trình đại học khối kỹ thuật. </w:t>
      </w:r>
    </w:p>
    <w:p>
      <w:pPr>
        <w:pStyle w:val="Normal"/>
        <w:spacing w:before="0" w:after="120"/>
        <w:ind w:firstLine="720" w:end="0"/>
        <w:jc w:val="both"/>
        <w:rPr/>
      </w:pPr>
      <w:r>
        <w:rPr>
          <w:sz w:val="26"/>
          <w:szCs w:val="26"/>
        </w:rPr>
        <w:t xml:space="preserve">- Các môn học bằng tiếng Anh (theo chương trình của trường đối tác) và môn học tiếng Anh: Học phí được xác định căn cứ theo số học phần mà sinh viên đăng ký học và bằng tổng số tín chỉ quy định cho các học phần đó nhân với mức tiền học phí của 1 tín chỉ quy định cho chương trình tiên tiến. </w:t>
      </w:r>
    </w:p>
    <w:p>
      <w:pPr>
        <w:pStyle w:val="Normal"/>
        <w:spacing w:before="0" w:after="120"/>
        <w:ind w:firstLine="720" w:end="0"/>
        <w:jc w:val="both"/>
        <w:rPr/>
      </w:pPr>
      <w:r>
        <w:rPr>
          <w:sz w:val="26"/>
          <w:szCs w:val="26"/>
        </w:rPr>
        <w:t xml:space="preserve">2.2. Đối với các môn học, sinh viên được Nhà trường cho phép miễn hoặc không phải học: không phải nộp học phí. </w:t>
      </w:r>
    </w:p>
    <w:p>
      <w:pPr>
        <w:pStyle w:val="Normal"/>
        <w:spacing w:before="0" w:after="120"/>
        <w:ind w:firstLine="720" w:end="0"/>
        <w:jc w:val="both"/>
        <w:rPr>
          <w:sz w:val="26"/>
          <w:szCs w:val="26"/>
        </w:rPr>
      </w:pPr>
      <w:r>
        <w:rPr>
          <w:sz w:val="26"/>
          <w:szCs w:val="26"/>
        </w:rPr>
        <w:t>2.3. Đối với sinh viên được Nhà trường cho phép ngừng học, thôi học trong học kỳ hoặc dừng thực hiện học phần tốt nghiệp (HPTN), học phí phải nộp như sau:</w:t>
      </w:r>
    </w:p>
    <w:p>
      <w:pPr>
        <w:pStyle w:val="Normal"/>
        <w:spacing w:before="0" w:after="120"/>
        <w:jc w:val="both"/>
        <w:rPr/>
      </w:pPr>
      <w:r>
        <w:rPr>
          <w:i/>
          <w:sz w:val="26"/>
          <w:szCs w:val="26"/>
        </w:rPr>
        <w:t>- Học phí phải nộp tính dựa trên số tín chỉ sinh viên đã học theo thời gian tính từ khi tín chỉ bắt đầu học trong học kỳ đó cho đến thời điểm ngừng học, thôi học hoặc dừng thực hiện HPTN theo Quyết định của Nhà trường;</w:t>
      </w:r>
    </w:p>
    <w:p>
      <w:pPr>
        <w:pStyle w:val="Normal"/>
        <w:spacing w:before="0" w:after="120"/>
        <w:jc w:val="both"/>
        <w:rPr>
          <w:i/>
          <w:i/>
          <w:sz w:val="26"/>
          <w:szCs w:val="26"/>
        </w:rPr>
      </w:pPr>
      <w:r>
        <w:rPr>
          <w:i/>
          <w:sz w:val="26"/>
          <w:szCs w:val="26"/>
        </w:rPr>
        <w:t>- Số ngày tính nộp học phí xác định theo ngày làm việc (không bao gồm ngày nghỉ, ngày Lễ Tết).</w:t>
      </w:r>
    </w:p>
    <w:p>
      <w:pPr>
        <w:pStyle w:val="Normal"/>
        <w:spacing w:before="0" w:after="120"/>
        <w:ind w:firstLine="720" w:end="0"/>
        <w:jc w:val="both"/>
        <w:rPr>
          <w:b/>
          <w:i/>
          <w:i/>
          <w:sz w:val="26"/>
          <w:szCs w:val="26"/>
        </w:rPr>
      </w:pPr>
      <w:r>
        <w:rPr>
          <w:b/>
          <w:i/>
          <w:sz w:val="26"/>
          <w:szCs w:val="26"/>
        </w:rPr>
      </w:r>
    </w:p>
    <w:p>
      <w:pPr>
        <w:pStyle w:val="Normal"/>
        <w:spacing w:before="0" w:after="120"/>
        <w:ind w:firstLine="720" w:end="0"/>
        <w:jc w:val="both"/>
        <w:rPr>
          <w:b/>
          <w:sz w:val="26"/>
          <w:szCs w:val="26"/>
        </w:rPr>
      </w:pPr>
      <w:r>
        <w:rPr>
          <w:b/>
          <w:sz w:val="26"/>
          <w:szCs w:val="26"/>
        </w:rPr>
        <w:t>Điều 4. Xử lý sinh viên đóng học phí không đúng hạn</w:t>
      </w:r>
    </w:p>
    <w:p>
      <w:pPr>
        <w:pStyle w:val="Normal"/>
        <w:spacing w:before="0" w:after="120"/>
        <w:ind w:firstLine="720" w:end="0"/>
        <w:jc w:val="both"/>
        <w:rPr>
          <w:sz w:val="26"/>
          <w:szCs w:val="26"/>
        </w:rPr>
      </w:pPr>
      <w:r>
        <w:rPr>
          <w:sz w:val="26"/>
          <w:szCs w:val="26"/>
        </w:rPr>
        <w:t>1. Sinh viên thực hiện không theo đúng quy định về nộp học phí tại khoản 1 Điều 3 của Quy định này, sinh viên sẽ bị xử lý như sau:</w:t>
      </w:r>
    </w:p>
    <w:p>
      <w:pPr>
        <w:pStyle w:val="Normal"/>
        <w:spacing w:before="0" w:after="120"/>
        <w:ind w:firstLine="720" w:end="0"/>
        <w:jc w:val="both"/>
        <w:rPr/>
      </w:pPr>
      <w:r>
        <w:rPr>
          <w:sz w:val="26"/>
          <w:szCs w:val="26"/>
        </w:rPr>
        <w:t>- Đối với sinh viên đang học các môn học: Khóa tài khoản đăng ký học ít nhất 01 học kỳ cho đến khi sinh viên hoàn thành học phí;</w:t>
      </w:r>
    </w:p>
    <w:p>
      <w:pPr>
        <w:pStyle w:val="Normal"/>
        <w:spacing w:before="0" w:after="120"/>
        <w:ind w:firstLine="720" w:end="0"/>
        <w:jc w:val="both"/>
        <w:rPr/>
      </w:pPr>
      <w:r>
        <w:rPr>
          <w:sz w:val="26"/>
          <w:szCs w:val="26"/>
        </w:rPr>
        <w:t xml:space="preserve">- Đối với sinh viên đang trong thời gian thực hiện Học phần tốt nghiệp: Sinh viên không được bảo vệ Học phần tốt nghiệp. Sinh viên chỉ được bảo vệ Học phần tốt nghiệp cùng với các đợt sau (theo kế hoạch trường tổ chức) nếu đã hoàn thành học phí. </w:t>
      </w:r>
    </w:p>
    <w:p>
      <w:pPr>
        <w:pStyle w:val="Normal"/>
        <w:spacing w:before="0" w:after="120"/>
        <w:ind w:firstLine="720" w:end="0"/>
        <w:jc w:val="both"/>
        <w:rPr>
          <w:sz w:val="26"/>
          <w:szCs w:val="26"/>
        </w:rPr>
      </w:pPr>
      <w:r>
        <w:rPr>
          <w:sz w:val="26"/>
          <w:szCs w:val="26"/>
        </w:rPr>
        <w:t>2. Sau khi hoàn thành đầy đủ nghĩa vụ về học phí, sinh viên làm đơn nộp về phòng Chính trí và Công tác sinh viên để được xem xét mở tài khoản đăng ký học hoặc được bảo vệ Học phần tốt nghiệp ở các đợt sau theo kế hoạch của Nhà trường.</w:t>
      </w:r>
    </w:p>
    <w:p>
      <w:pPr>
        <w:pStyle w:val="Normal"/>
        <w:spacing w:before="120" w:after="120"/>
        <w:ind w:firstLine="720" w:end="0"/>
        <w:jc w:val="both"/>
        <w:rPr>
          <w:sz w:val="26"/>
          <w:szCs w:val="26"/>
        </w:rPr>
      </w:pPr>
      <w:r>
        <w:rPr>
          <w:sz w:val="26"/>
          <w:szCs w:val="26"/>
        </w:rPr>
        <w:t>3. Trong trường hợp đặc biệt, sinh viên muốn nộp chậm học phí, phải làm đơn nộp về Nhà trường (qua phòng Chính trị &amp; Công tác sinh viên) trước thời hạn thu học phí để được xem xét giải quyết.</w:t>
      </w:r>
    </w:p>
    <w:p>
      <w:pPr>
        <w:pStyle w:val="BodyText"/>
        <w:spacing w:before="0" w:after="120"/>
        <w:rPr/>
      </w:pPr>
      <w:r>
        <w:rPr>
          <w:rFonts w:cs="Times New Roman" w:ascii="Times New Roman" w:hAnsi="Times New Roman"/>
          <w:b/>
          <w:sz w:val="26"/>
          <w:szCs w:val="26"/>
        </w:rPr>
        <w:t>Điều 5. Đối tượng được miễn học phí</w:t>
      </w:r>
    </w:p>
    <w:p>
      <w:pPr>
        <w:pStyle w:val="NormalWeb"/>
        <w:spacing w:lineRule="auto" w:line="240" w:before="0" w:after="120"/>
        <w:jc w:val="both"/>
        <w:rPr>
          <w:sz w:val="26"/>
          <w:szCs w:val="26"/>
        </w:rPr>
      </w:pPr>
      <w:r>
        <w:rPr>
          <w:b/>
          <w:i/>
          <w:sz w:val="26"/>
          <w:szCs w:val="26"/>
          <w:lang w:val="vi-VN"/>
        </w:rPr>
        <w:t>a)</w:t>
      </w:r>
      <w:r>
        <w:rPr>
          <w:b/>
          <w:i/>
          <w:sz w:val="26"/>
          <w:szCs w:val="26"/>
        </w:rPr>
        <w:t xml:space="preserve"> Đối tượng 1:</w:t>
      </w:r>
      <w:r>
        <w:rPr>
          <w:sz w:val="26"/>
          <w:szCs w:val="26"/>
          <w:lang w:val="vi-VN"/>
        </w:rPr>
        <w:t xml:space="preserve"> </w:t>
      </w:r>
      <w:r>
        <w:rPr>
          <w:sz w:val="26"/>
          <w:szCs w:val="26"/>
        </w:rPr>
        <w:t xml:space="preserve">Sinh viên thuộc đối tượng </w:t>
      </w:r>
      <w:r>
        <w:rPr>
          <w:rStyle w:val="BodyTextChar1"/>
          <w:rFonts w:cs="Times New Roman"/>
          <w:color w:val="000000"/>
          <w:sz w:val="26"/>
          <w:szCs w:val="26"/>
          <w:lang w:eastAsia="vi-VN"/>
        </w:rPr>
        <w:t>theo quy định tại Pháp lệnh Ưu đãi người có công với cách mạng.</w:t>
      </w:r>
      <w:r>
        <w:rPr>
          <w:sz w:val="26"/>
          <w:szCs w:val="26"/>
          <w:lang w:val="vi-VN"/>
        </w:rPr>
        <w:t xml:space="preserve"> Cụ thể:</w:t>
      </w:r>
    </w:p>
    <w:p>
      <w:pPr>
        <w:pStyle w:val="NormalWeb"/>
        <w:shd w:val="clear" w:fill="FFFFFF"/>
        <w:spacing w:lineRule="auto" w:line="240" w:before="0" w:after="120"/>
        <w:jc w:val="both"/>
        <w:rPr>
          <w:sz w:val="26"/>
          <w:szCs w:val="26"/>
        </w:rPr>
      </w:pPr>
      <w:r>
        <w:rPr>
          <w:sz w:val="26"/>
          <w:szCs w:val="26"/>
          <w:lang w:val="vi-VN"/>
        </w:rPr>
        <w:t xml:space="preserve">- Con </w:t>
      </w:r>
      <w:r>
        <w:rPr>
          <w:sz w:val="26"/>
          <w:szCs w:val="26"/>
          <w:shd w:fill="FFFFFF" w:val="clear"/>
          <w:lang w:val="vi-VN"/>
        </w:rPr>
        <w:t>của</w:t>
      </w:r>
      <w:r>
        <w:rPr>
          <w:sz w:val="26"/>
          <w:szCs w:val="26"/>
          <w:lang w:val="vi-VN"/>
        </w:rPr>
        <w:t xml:space="preserve"> người hoạt động cách mạng trước ngày 01 tháng 01 năm 1945; con của người hoạt động cách mạng từ ngày 01 tháng 01 năm 1945 đến ngày khởi nghĩa tháng Tám năm 1945; </w:t>
      </w:r>
    </w:p>
    <w:p>
      <w:pPr>
        <w:pStyle w:val="NormalWeb"/>
        <w:shd w:val="clear" w:fill="FFFFFF"/>
        <w:spacing w:lineRule="auto" w:line="240" w:before="0" w:after="120"/>
        <w:jc w:val="both"/>
        <w:rPr>
          <w:sz w:val="26"/>
          <w:szCs w:val="26"/>
        </w:rPr>
      </w:pPr>
      <w:r>
        <w:rPr>
          <w:sz w:val="26"/>
          <w:szCs w:val="26"/>
        </w:rPr>
        <w:t>- C</w:t>
      </w:r>
      <w:r>
        <w:rPr>
          <w:sz w:val="26"/>
          <w:szCs w:val="26"/>
          <w:lang w:val="vi-VN"/>
        </w:rPr>
        <w:t>on của Anh hùng Lực lượng v</w:t>
      </w:r>
      <w:r>
        <w:rPr>
          <w:sz w:val="26"/>
          <w:szCs w:val="26"/>
        </w:rPr>
        <w:t xml:space="preserve">ũ </w:t>
      </w:r>
      <w:r>
        <w:rPr>
          <w:sz w:val="26"/>
          <w:szCs w:val="26"/>
          <w:lang w:val="vi-VN"/>
        </w:rPr>
        <w:t xml:space="preserve">trang nhân dân; </w:t>
      </w:r>
    </w:p>
    <w:p>
      <w:pPr>
        <w:pStyle w:val="NormalWeb"/>
        <w:shd w:val="clear" w:fill="FFFFFF"/>
        <w:spacing w:lineRule="auto" w:line="240" w:before="0" w:after="120"/>
        <w:jc w:val="both"/>
        <w:rPr>
          <w:sz w:val="26"/>
          <w:szCs w:val="26"/>
        </w:rPr>
      </w:pPr>
      <w:r>
        <w:rPr>
          <w:sz w:val="26"/>
          <w:szCs w:val="26"/>
        </w:rPr>
        <w:t>- C</w:t>
      </w:r>
      <w:r>
        <w:rPr>
          <w:sz w:val="26"/>
          <w:szCs w:val="26"/>
          <w:lang w:val="vi-VN"/>
        </w:rPr>
        <w:t>on của Anh hùng Lao động trong thời k</w:t>
      </w:r>
      <w:r>
        <w:rPr>
          <w:sz w:val="26"/>
          <w:szCs w:val="26"/>
        </w:rPr>
        <w:t xml:space="preserve">ỳ </w:t>
      </w:r>
      <w:r>
        <w:rPr>
          <w:sz w:val="26"/>
          <w:szCs w:val="26"/>
          <w:lang w:val="vi-VN"/>
        </w:rPr>
        <w:t xml:space="preserve">kháng chiến; </w:t>
      </w:r>
    </w:p>
    <w:p>
      <w:pPr>
        <w:pStyle w:val="NormalWeb"/>
        <w:shd w:val="clear" w:fill="FFFFFF"/>
        <w:spacing w:lineRule="auto" w:line="240" w:before="0" w:after="120"/>
        <w:jc w:val="both"/>
        <w:rPr>
          <w:sz w:val="26"/>
          <w:szCs w:val="26"/>
        </w:rPr>
      </w:pPr>
      <w:r>
        <w:rPr>
          <w:sz w:val="26"/>
          <w:szCs w:val="26"/>
        </w:rPr>
        <w:t>- C</w:t>
      </w:r>
      <w:r>
        <w:rPr>
          <w:sz w:val="26"/>
          <w:szCs w:val="26"/>
          <w:lang w:val="vi-VN"/>
        </w:rPr>
        <w:t xml:space="preserve">on của liệt sỹ; </w:t>
      </w:r>
    </w:p>
    <w:p>
      <w:pPr>
        <w:pStyle w:val="NormalWeb"/>
        <w:shd w:val="clear" w:fill="FFFFFF"/>
        <w:spacing w:lineRule="auto" w:line="240" w:before="0" w:after="120"/>
        <w:jc w:val="both"/>
        <w:rPr>
          <w:sz w:val="26"/>
          <w:szCs w:val="26"/>
        </w:rPr>
      </w:pPr>
      <w:r>
        <w:rPr>
          <w:sz w:val="26"/>
          <w:szCs w:val="26"/>
        </w:rPr>
        <w:t>- C</w:t>
      </w:r>
      <w:r>
        <w:rPr>
          <w:sz w:val="26"/>
          <w:szCs w:val="26"/>
          <w:lang w:val="vi-VN"/>
        </w:rPr>
        <w:t xml:space="preserve">on </w:t>
      </w:r>
      <w:r>
        <w:rPr>
          <w:sz w:val="26"/>
          <w:szCs w:val="26"/>
          <w:shd w:fill="FFFFFF" w:val="clear"/>
          <w:lang w:val="vi-VN"/>
        </w:rPr>
        <w:t>của</w:t>
      </w:r>
      <w:r>
        <w:rPr>
          <w:sz w:val="26"/>
          <w:szCs w:val="26"/>
          <w:lang w:val="vi-VN"/>
        </w:rPr>
        <w:t xml:space="preserve"> thương binh; con của người hưởng chính sách như thương binh; </w:t>
      </w:r>
    </w:p>
    <w:p>
      <w:pPr>
        <w:pStyle w:val="NormalWeb"/>
        <w:shd w:val="clear" w:fill="FFFFFF"/>
        <w:spacing w:lineRule="auto" w:line="240" w:before="0" w:after="120"/>
        <w:jc w:val="both"/>
        <w:rPr>
          <w:sz w:val="26"/>
          <w:szCs w:val="26"/>
        </w:rPr>
      </w:pPr>
      <w:r>
        <w:rPr>
          <w:sz w:val="26"/>
          <w:szCs w:val="26"/>
        </w:rPr>
        <w:t>- C</w:t>
      </w:r>
      <w:r>
        <w:rPr>
          <w:sz w:val="26"/>
          <w:szCs w:val="26"/>
          <w:lang w:val="vi-VN"/>
        </w:rPr>
        <w:t xml:space="preserve">on </w:t>
      </w:r>
      <w:r>
        <w:rPr>
          <w:sz w:val="26"/>
          <w:szCs w:val="26"/>
          <w:shd w:fill="FFFFFF" w:val="clear"/>
          <w:lang w:val="vi-VN"/>
        </w:rPr>
        <w:t>của</w:t>
      </w:r>
      <w:r>
        <w:rPr>
          <w:sz w:val="26"/>
          <w:szCs w:val="26"/>
          <w:lang w:val="vi-VN"/>
        </w:rPr>
        <w:t xml:space="preserve"> bệnh binh; </w:t>
      </w:r>
    </w:p>
    <w:p>
      <w:pPr>
        <w:pStyle w:val="NormalWeb"/>
        <w:shd w:val="clear" w:fill="FFFFFF"/>
        <w:spacing w:lineRule="auto" w:line="240" w:before="0" w:after="120"/>
        <w:jc w:val="both"/>
        <w:rPr>
          <w:sz w:val="26"/>
          <w:szCs w:val="26"/>
        </w:rPr>
      </w:pPr>
      <w:r>
        <w:rPr>
          <w:sz w:val="26"/>
          <w:szCs w:val="26"/>
        </w:rPr>
        <w:t>- C</w:t>
      </w:r>
      <w:r>
        <w:rPr>
          <w:sz w:val="26"/>
          <w:szCs w:val="26"/>
          <w:lang w:val="vi-VN"/>
        </w:rPr>
        <w:t>on của người hoạt động kháng chiến bị nhiễm chất độc hóa học.</w:t>
      </w:r>
    </w:p>
    <w:p>
      <w:pPr>
        <w:pStyle w:val="NormalWeb"/>
        <w:shd w:val="clear" w:fill="FFFFFF"/>
        <w:spacing w:lineRule="auto" w:line="240" w:before="0" w:after="120"/>
        <w:jc w:val="both"/>
        <w:rPr>
          <w:sz w:val="26"/>
          <w:szCs w:val="26"/>
        </w:rPr>
      </w:pPr>
      <w:r>
        <w:rPr>
          <w:b/>
          <w:i/>
          <w:sz w:val="26"/>
          <w:szCs w:val="26"/>
        </w:rPr>
        <w:t>b) Đối tượng 2:</w:t>
      </w:r>
      <w:r>
        <w:rPr>
          <w:sz w:val="26"/>
          <w:szCs w:val="26"/>
        </w:rPr>
        <w:t xml:space="preserve"> Sinh viên bị khuyết tật.</w:t>
      </w:r>
    </w:p>
    <w:p>
      <w:pPr>
        <w:pStyle w:val="Normal"/>
        <w:spacing w:before="0" w:after="120"/>
        <w:jc w:val="both"/>
        <w:rPr>
          <w:color w:val="333333"/>
          <w:sz w:val="26"/>
          <w:szCs w:val="26"/>
        </w:rPr>
      </w:pPr>
      <w:r>
        <w:rPr>
          <w:b/>
          <w:i/>
          <w:sz w:val="26"/>
          <w:szCs w:val="26"/>
        </w:rPr>
        <w:t>c) Đối tượng 3:</w:t>
      </w:r>
      <w:r>
        <w:rPr>
          <w:sz w:val="26"/>
          <w:szCs w:val="26"/>
        </w:rPr>
        <w:t xml:space="preserve"> </w:t>
      </w:r>
      <w:r>
        <w:rPr>
          <w:sz w:val="26"/>
          <w:szCs w:val="26"/>
          <w:lang w:val="pt-BR"/>
        </w:rPr>
        <w:t>Sinh viên (tuổi không quá 22) không có nguồn nuôi dưỡng thuộc đối tượng hưởng trợ cấp xã hội hàng tháng theo quy định tại khoản 1 và 2 Điều 5 Nghị định số 20/2021/NĐ-CP ngày 15/3/2021 của Chính phủ.</w:t>
      </w:r>
    </w:p>
    <w:p>
      <w:pPr>
        <w:pStyle w:val="NormalWeb"/>
        <w:shd w:val="clear" w:fill="FFFFFF"/>
        <w:spacing w:lineRule="auto" w:line="240" w:before="0" w:after="120"/>
        <w:jc w:val="both"/>
        <w:rPr>
          <w:sz w:val="26"/>
          <w:szCs w:val="26"/>
        </w:rPr>
      </w:pPr>
      <w:r>
        <w:rPr>
          <w:b/>
          <w:i/>
          <w:sz w:val="26"/>
          <w:szCs w:val="26"/>
        </w:rPr>
        <w:t>d) Đối tượng 4:</w:t>
      </w:r>
      <w:r>
        <w:rPr>
          <w:sz w:val="26"/>
          <w:szCs w:val="26"/>
        </w:rPr>
        <w:t xml:space="preserve"> Sinh viên là người dân tộc thiểu </w:t>
      </w:r>
      <w:r>
        <w:rPr>
          <w:sz w:val="26"/>
          <w:szCs w:val="26"/>
          <w:lang w:val="pt-BR"/>
        </w:rPr>
        <w:t xml:space="preserve">có cha hoặc mẹ hoặc cả cha và mẹ hoặc ông bà (trong trường hợp ở với ông bà) thuộc hộ nghèo và hộ cận nghèo </w:t>
      </w:r>
      <w:r>
        <w:rPr>
          <w:rStyle w:val="BodyTextChar1"/>
          <w:rFonts w:cs="Times New Roman"/>
          <w:color w:val="000000"/>
          <w:sz w:val="26"/>
          <w:szCs w:val="26"/>
          <w:lang w:eastAsia="vi-VN"/>
        </w:rPr>
        <w:t>theo quy định của Thủ tướng Chính phủ</w:t>
      </w:r>
      <w:r>
        <w:rPr>
          <w:sz w:val="26"/>
          <w:szCs w:val="26"/>
        </w:rPr>
        <w:t>.</w:t>
      </w:r>
    </w:p>
    <w:p>
      <w:pPr>
        <w:pStyle w:val="NormalWeb"/>
        <w:shd w:val="clear" w:fill="FFFFFF"/>
        <w:spacing w:lineRule="auto" w:line="240" w:before="0" w:after="120"/>
        <w:jc w:val="both"/>
        <w:rPr/>
      </w:pPr>
      <w:r>
        <w:rPr>
          <w:b/>
          <w:i/>
          <w:color w:val="000000"/>
          <w:sz w:val="26"/>
          <w:szCs w:val="26"/>
          <w:shd w:fill="FFFFFF" w:val="clear"/>
        </w:rPr>
        <w:t>e) Đối tượng 5:</w:t>
      </w:r>
      <w:r>
        <w:rPr>
          <w:color w:val="000000"/>
          <w:sz w:val="26"/>
          <w:szCs w:val="26"/>
          <w:shd w:fill="FFFFFF" w:val="clear"/>
        </w:rPr>
        <w:t xml:space="preserve"> Sinh viên người dân tộc thiểu số rất ít người </w:t>
      </w:r>
      <w:r>
        <w:rPr>
          <w:i/>
          <w:color w:val="000000"/>
          <w:sz w:val="26"/>
          <w:szCs w:val="26"/>
          <w:shd w:fill="FFFFFF" w:val="clear"/>
        </w:rPr>
        <w:t>(</w:t>
      </w:r>
      <w:r>
        <w:rPr>
          <w:i/>
          <w:sz w:val="26"/>
          <w:szCs w:val="26"/>
          <w:lang w:val="vi-VN"/>
        </w:rPr>
        <w:t>Cống, Mảng, Pu Péo, Si La, Cờ Lao, Bố Y, La Ha, Ngái, Chứt, Ơ Đu, Brâu, Rơ Măm, Lô Lô, Lự, Pà Thẻn, La Hủ</w:t>
      </w:r>
      <w:r>
        <w:rPr>
          <w:i/>
          <w:sz w:val="26"/>
          <w:szCs w:val="26"/>
        </w:rPr>
        <w:t>)</w:t>
      </w:r>
      <w:r>
        <w:rPr>
          <w:color w:val="000000"/>
          <w:sz w:val="26"/>
          <w:szCs w:val="26"/>
          <w:shd w:fill="FFFFFF" w:val="clear"/>
        </w:rPr>
        <w:t xml:space="preserve"> ở vùng có điều kiện kinh tế - xã hội khó khăn hoặc đặc biệt khó khăn.</w:t>
      </w:r>
    </w:p>
    <w:p>
      <w:pPr>
        <w:pStyle w:val="NormalWeb"/>
        <w:shd w:val="clear" w:fill="FFFFFF"/>
        <w:spacing w:lineRule="auto" w:line="240" w:before="0" w:after="120"/>
        <w:jc w:val="both"/>
        <w:rPr/>
      </w:pPr>
      <w:r>
        <w:rPr>
          <w:b/>
          <w:i/>
          <w:sz w:val="26"/>
          <w:szCs w:val="26"/>
        </w:rPr>
        <w:t>f) Đối tượng 6:</w:t>
      </w:r>
      <w:r>
        <w:rPr>
          <w:sz w:val="26"/>
          <w:szCs w:val="26"/>
        </w:rPr>
        <w:t xml:space="preserve"> Sinh viên hệ cử tuyển.</w:t>
      </w:r>
    </w:p>
    <w:p>
      <w:pPr>
        <w:pStyle w:val="BodyText"/>
        <w:spacing w:before="0" w:after="120"/>
        <w:rPr/>
      </w:pPr>
      <w:r>
        <w:rPr>
          <w:rFonts w:cs="Times New Roman" w:ascii="Times New Roman" w:hAnsi="Times New Roman"/>
          <w:b/>
          <w:sz w:val="26"/>
          <w:szCs w:val="26"/>
        </w:rPr>
        <w:t>Điều 6. Đối tượng được giảm học phí</w:t>
      </w:r>
    </w:p>
    <w:p>
      <w:pPr>
        <w:pStyle w:val="BodyText"/>
        <w:spacing w:before="0" w:after="120"/>
        <w:rPr>
          <w:rFonts w:ascii="Times New Roman" w:hAnsi="Times New Roman" w:cs="Times New Roman"/>
          <w:i/>
          <w:i/>
          <w:sz w:val="26"/>
          <w:szCs w:val="26"/>
        </w:rPr>
      </w:pPr>
      <w:r>
        <w:rPr>
          <w:rFonts w:cs="Times New Roman" w:ascii="Times New Roman" w:hAnsi="Times New Roman"/>
          <w:b/>
          <w:i/>
          <w:sz w:val="26"/>
          <w:szCs w:val="26"/>
        </w:rPr>
        <w:t xml:space="preserve">1. Đối tượng được giảm 70% học phí: </w:t>
      </w:r>
      <w:r>
        <w:rPr>
          <w:rFonts w:cs="Times New Roman" w:ascii="Times New Roman" w:hAnsi="Times New Roman"/>
          <w:color w:val="000000"/>
          <w:sz w:val="26"/>
          <w:szCs w:val="26"/>
          <w:shd w:fill="FFFFFF" w:val="clear"/>
        </w:rPr>
        <w:t xml:space="preserve">Sinh viên người dân tộc thiểu số (không phải là người dân tộc thiểu số rất ít người) </w:t>
      </w:r>
      <w:r>
        <w:rPr>
          <w:rStyle w:val="BodyTextChar1"/>
          <w:rFonts w:cs="Times New Roman" w:ascii="Times New Roman" w:hAnsi="Times New Roman"/>
          <w:color w:val="000000"/>
          <w:sz w:val="26"/>
          <w:szCs w:val="26"/>
          <w:lang w:eastAsia="vi-VN"/>
        </w:rPr>
        <w:t>ở thôn/bản đặc biệt khó khăn, xã khu vực III vùng dân tộc và miền núi, xã đặc biệt khó khăn vùng bãi ngang ven biển hải đảo theo quy định của cơ quan có thẩm quyền</w:t>
      </w:r>
      <w:r>
        <w:rPr>
          <w:rFonts w:cs="Times New Roman" w:ascii="Times New Roman" w:hAnsi="Times New Roman"/>
          <w:color w:val="000000"/>
          <w:sz w:val="26"/>
          <w:szCs w:val="26"/>
          <w:shd w:fill="FFFFFF" w:val="clear"/>
        </w:rPr>
        <w:t>.</w:t>
      </w:r>
    </w:p>
    <w:p>
      <w:pPr>
        <w:pStyle w:val="NormalWeb"/>
        <w:shd w:val="clear" w:fill="FFFFFF"/>
        <w:spacing w:lineRule="auto" w:line="240" w:before="0" w:after="120"/>
        <w:jc w:val="both"/>
        <w:rPr/>
      </w:pPr>
      <w:r>
        <w:rPr>
          <w:b/>
          <w:i/>
          <w:sz w:val="26"/>
          <w:szCs w:val="26"/>
        </w:rPr>
        <w:t xml:space="preserve">2. Đối tượng được giảm 50% học phí: </w:t>
      </w:r>
      <w:r>
        <w:rPr>
          <w:sz w:val="26"/>
          <w:szCs w:val="26"/>
        </w:rPr>
        <w:t xml:space="preserve">Sinh viên là con cán bộ, công chức, viên chức, công nhân mà cha hoặc mẹ bị tai nạn lao động hoặc mắc bệnh nghề nghiệp được hưởng trợ cấp thường xuyên. </w:t>
      </w:r>
    </w:p>
    <w:p>
      <w:pPr>
        <w:pStyle w:val="BodyText2"/>
        <w:spacing w:lineRule="auto" w:line="240" w:before="0" w:after="120"/>
        <w:rPr>
          <w:rFonts w:ascii="Times New Roman" w:hAnsi="Times New Roman" w:cs="Times New Roman"/>
          <w:b/>
          <w:sz w:val="26"/>
          <w:szCs w:val="26"/>
        </w:rPr>
      </w:pPr>
      <w:r>
        <w:rPr>
          <w:rFonts w:cs="Times New Roman" w:ascii="Times New Roman" w:hAnsi="Times New Roman"/>
          <w:b/>
          <w:sz w:val="26"/>
          <w:szCs w:val="26"/>
        </w:rPr>
        <w:t xml:space="preserve">Điều </w:t>
      </w:r>
      <w:r>
        <w:rPr>
          <w:rFonts w:cs="Times New Roman" w:ascii="Times New Roman" w:hAnsi="Times New Roman"/>
          <w:b/>
          <w:sz w:val="26"/>
          <w:szCs w:val="26"/>
          <w:lang w:val="en-US"/>
        </w:rPr>
        <w:t>7</w:t>
      </w:r>
      <w:r>
        <w:rPr>
          <w:rFonts w:cs="Times New Roman" w:ascii="Times New Roman" w:hAnsi="Times New Roman"/>
          <w:b/>
          <w:sz w:val="26"/>
          <w:szCs w:val="26"/>
        </w:rPr>
        <w:t xml:space="preserve">. </w:t>
      </w:r>
      <w:r>
        <w:rPr>
          <w:rFonts w:cs="Times New Roman" w:ascii="Times New Roman" w:hAnsi="Times New Roman"/>
          <w:b/>
          <w:sz w:val="26"/>
          <w:szCs w:val="26"/>
          <w:lang w:val="en-US"/>
        </w:rPr>
        <w:t>Quy trình</w:t>
      </w:r>
      <w:r>
        <w:rPr>
          <w:rFonts w:cs="Times New Roman" w:ascii="Times New Roman" w:hAnsi="Times New Roman"/>
          <w:b/>
          <w:sz w:val="26"/>
          <w:szCs w:val="26"/>
        </w:rPr>
        <w:t xml:space="preserve"> thủ tục </w:t>
      </w:r>
      <w:r>
        <w:rPr>
          <w:rFonts w:cs="Times New Roman" w:ascii="Times New Roman" w:hAnsi="Times New Roman"/>
          <w:b/>
          <w:sz w:val="26"/>
          <w:szCs w:val="26"/>
          <w:lang w:val="en-US"/>
        </w:rPr>
        <w:t xml:space="preserve">thực hiện chính sách </w:t>
      </w:r>
      <w:r>
        <w:rPr>
          <w:rFonts w:cs="Times New Roman" w:ascii="Times New Roman" w:hAnsi="Times New Roman"/>
          <w:b/>
          <w:sz w:val="26"/>
          <w:szCs w:val="26"/>
        </w:rPr>
        <w:t>miễn giảm học phí</w:t>
      </w:r>
    </w:p>
    <w:p>
      <w:pPr>
        <w:pStyle w:val="BodyText"/>
        <w:spacing w:before="0" w:after="120"/>
        <w:rPr>
          <w:rFonts w:ascii="Times New Roman" w:hAnsi="Times New Roman" w:cs="Times New Roman"/>
          <w:b/>
          <w:i/>
          <w:i/>
          <w:sz w:val="26"/>
          <w:szCs w:val="26"/>
          <w:lang w:val="pt-BR"/>
        </w:rPr>
      </w:pPr>
      <w:r>
        <w:rPr>
          <w:rFonts w:cs="Times New Roman" w:ascii="Times New Roman" w:hAnsi="Times New Roman"/>
          <w:b/>
          <w:i/>
          <w:sz w:val="26"/>
          <w:szCs w:val="26"/>
          <w:lang w:val="pt-BR"/>
        </w:rPr>
        <w:t>2. Thủ tục hồ sơ</w:t>
      </w:r>
    </w:p>
    <w:p>
      <w:pPr>
        <w:pStyle w:val="BodyText"/>
        <w:spacing w:before="0" w:after="120"/>
        <w:rPr/>
      </w:pPr>
      <w:r>
        <w:rPr>
          <w:rFonts w:cs="Times New Roman" w:ascii="Times New Roman" w:hAnsi="Times New Roman"/>
          <w:sz w:val="26"/>
          <w:szCs w:val="26"/>
          <w:lang w:val="pt-BR"/>
        </w:rPr>
        <w:t>- Sinh viên thuộc diện miễn giảm học phí phải làm 01 bộ hồ sơ nộp lần đầu cho cả thời gian học tập</w:t>
      </w:r>
      <w:r>
        <w:rPr>
          <w:rFonts w:cs="Times New Roman" w:ascii="Times New Roman" w:hAnsi="Times New Roman"/>
          <w:bCs/>
          <w:sz w:val="26"/>
          <w:szCs w:val="26"/>
        </w:rPr>
        <w:t>, riêng sinh viên thuộc đối tượng 4 tại Điều 5 của Quy định này, phải nộp bổ sung giấy xác nhận hộ nghèo hoặc cận nghèo vào đầu mỗi học kỳ;</w:t>
      </w:r>
    </w:p>
    <w:p>
      <w:pPr>
        <w:pStyle w:val="BodyText"/>
        <w:spacing w:before="0" w:after="120"/>
        <w:rPr>
          <w:rFonts w:ascii="Times New Roman" w:hAnsi="Times New Roman" w:cs="Times New Roman"/>
          <w:sz w:val="26"/>
          <w:szCs w:val="26"/>
          <w:lang w:val="pt-BR"/>
        </w:rPr>
      </w:pPr>
      <w:r>
        <w:rPr>
          <w:rFonts w:cs="Times New Roman" w:ascii="Times New Roman" w:hAnsi="Times New Roman"/>
          <w:bCs/>
          <w:sz w:val="26"/>
          <w:szCs w:val="26"/>
        </w:rPr>
        <w:t xml:space="preserve">- Sinh viên </w:t>
      </w:r>
      <w:r>
        <w:rPr>
          <w:rFonts w:cs="Times New Roman" w:ascii="Times New Roman" w:hAnsi="Times New Roman"/>
          <w:sz w:val="26"/>
          <w:szCs w:val="26"/>
          <w:lang w:val="pt-BR"/>
        </w:rPr>
        <w:t xml:space="preserve">thuộc diện miễn giảm học phí </w:t>
      </w:r>
      <w:r>
        <w:rPr>
          <w:rFonts w:cs="Times New Roman" w:ascii="Times New Roman" w:hAnsi="Times New Roman"/>
          <w:bCs/>
          <w:sz w:val="26"/>
          <w:szCs w:val="26"/>
        </w:rPr>
        <w:t>nộp các b</w:t>
      </w:r>
      <w:r>
        <w:rPr>
          <w:rStyle w:val="BodyTextChar1"/>
          <w:rFonts w:cs="Times New Roman" w:ascii="Times New Roman" w:hAnsi="Times New Roman"/>
          <w:color w:val="000000"/>
          <w:sz w:val="26"/>
          <w:szCs w:val="26"/>
          <w:lang w:eastAsia="vi-VN"/>
        </w:rPr>
        <w:t>ản sao chứng thực hoặc bản sao kèm bản chính để đối chiếu hoặc bản sao từ sổ gốc giấy tờ chứng minh thuộc đối tượng miễn giảm học phí theo quy định tại khoản 1 Điều này.</w:t>
      </w:r>
    </w:p>
    <w:p>
      <w:pPr>
        <w:pStyle w:val="BodyText"/>
        <w:spacing w:before="0" w:after="120"/>
        <w:rPr>
          <w:rFonts w:ascii="Times New Roman" w:hAnsi="Times New Roman" w:cs="Times New Roman"/>
          <w:b/>
          <w:sz w:val="26"/>
          <w:szCs w:val="26"/>
        </w:rPr>
      </w:pPr>
      <w:r>
        <w:rPr>
          <w:rFonts w:cs="Times New Roman" w:ascii="Times New Roman" w:hAnsi="Times New Roman"/>
          <w:b/>
          <w:sz w:val="26"/>
          <w:szCs w:val="26"/>
        </w:rPr>
        <w:t>Điều 8. Cơ chế miễn, giảm học phí</w:t>
      </w:r>
    </w:p>
    <w:p>
      <w:pPr>
        <w:pStyle w:val="BodyText"/>
        <w:spacing w:before="0" w:after="120"/>
        <w:rPr>
          <w:rFonts w:ascii="Times New Roman" w:hAnsi="Times New Roman" w:cs="Times New Roman"/>
          <w:sz w:val="26"/>
          <w:szCs w:val="26"/>
        </w:rPr>
      </w:pPr>
      <w:r>
        <w:rPr>
          <w:rFonts w:cs="Times New Roman" w:ascii="Times New Roman" w:hAnsi="Times New Roman"/>
          <w:sz w:val="26"/>
          <w:szCs w:val="26"/>
        </w:rPr>
        <w:t>1. Đối với sinh viên học theo chương trình truyền thống</w:t>
      </w:r>
    </w:p>
    <w:p>
      <w:pPr>
        <w:pStyle w:val="Normal"/>
        <w:spacing w:before="0" w:after="120"/>
        <w:jc w:val="both"/>
        <w:rPr/>
      </w:pPr>
      <w:r>
        <w:rPr>
          <w:sz w:val="26"/>
          <w:szCs w:val="26"/>
        </w:rPr>
        <w:t>- Những môn học đăng ký học lần đầu: được miễn giảm học phí ở học kỳ chính theo quy định. Trong học kỳ song song với học kỳ chính, học kỳ hè, cũng được xét miễn giảm tương ứng như với học kỳ chính liền kề trước đó.</w:t>
      </w:r>
    </w:p>
    <w:p>
      <w:pPr>
        <w:pStyle w:val="Normal"/>
        <w:spacing w:before="0" w:after="120"/>
        <w:jc w:val="both"/>
        <w:rPr/>
      </w:pPr>
      <w:r>
        <w:rPr>
          <w:sz w:val="26"/>
          <w:szCs w:val="26"/>
        </w:rPr>
        <w:t>- Những môn học đăng ký học lần thứ hai trở đi: đóng 100% học phí theo quy định.</w:t>
      </w:r>
    </w:p>
    <w:p>
      <w:pPr>
        <w:pStyle w:val="Normal"/>
        <w:spacing w:before="0" w:after="120"/>
        <w:jc w:val="both"/>
        <w:rPr>
          <w:sz w:val="26"/>
          <w:szCs w:val="26"/>
        </w:rPr>
      </w:pPr>
      <w:r>
        <w:rPr>
          <w:sz w:val="26"/>
          <w:szCs w:val="26"/>
        </w:rPr>
        <w:t>2. Đối với sinh viên học theo chương trình tiên tiến và sinh viên liên thông cao đẳng lên đại học</w:t>
      </w:r>
    </w:p>
    <w:p>
      <w:pPr>
        <w:pStyle w:val="Normal"/>
        <w:spacing w:before="0" w:after="120"/>
        <w:jc w:val="both"/>
        <w:rPr/>
      </w:pPr>
      <w:r>
        <w:rPr>
          <w:i/>
          <w:sz w:val="26"/>
          <w:szCs w:val="26"/>
        </w:rPr>
        <w:t xml:space="preserve">a/ Sinh viên thuộc diện miễn 100% học phí </w:t>
      </w:r>
    </w:p>
    <w:p>
      <w:pPr>
        <w:pStyle w:val="Normal"/>
        <w:spacing w:before="0" w:after="120"/>
        <w:jc w:val="both"/>
        <w:rPr>
          <w:sz w:val="26"/>
          <w:szCs w:val="26"/>
        </w:rPr>
      </w:pPr>
      <w:r>
        <w:rPr>
          <w:color w:val="000000"/>
          <w:sz w:val="26"/>
          <w:szCs w:val="26"/>
          <w:lang w:val="pt-BR"/>
        </w:rPr>
        <w:t>- Đối với các môn học lần đầu:</w:t>
      </w:r>
      <w:r>
        <w:rPr>
          <w:sz w:val="26"/>
          <w:szCs w:val="26"/>
        </w:rPr>
        <w:t xml:space="preserve"> sinh viên được miễn 100% học phí bằng mức học phí quy định của chương trình truyền thống. Sinh viên phải đóng phần chênh học phí giữa mức học phí của chương trình tiên tiến hoặc chương trình liên thông với mức học phí được miễn.</w:t>
      </w:r>
    </w:p>
    <w:p>
      <w:pPr>
        <w:pStyle w:val="Normal"/>
        <w:spacing w:before="0" w:after="120"/>
        <w:ind w:start="24" w:end="0"/>
        <w:jc w:val="both"/>
        <w:rPr>
          <w:sz w:val="26"/>
          <w:szCs w:val="26"/>
        </w:rPr>
      </w:pPr>
      <w:r>
        <w:rPr>
          <w:sz w:val="26"/>
          <w:szCs w:val="26"/>
        </w:rPr>
        <w:t xml:space="preserve">- Đối với các môn học lần thứ hai trở đi: đóng 100% học phí theo quy định. </w:t>
      </w:r>
    </w:p>
    <w:p>
      <w:pPr>
        <w:pStyle w:val="Normal"/>
        <w:spacing w:before="0" w:after="120"/>
        <w:jc w:val="both"/>
        <w:rPr/>
      </w:pPr>
      <w:r>
        <w:rPr>
          <w:i/>
          <w:sz w:val="26"/>
          <w:szCs w:val="26"/>
        </w:rPr>
        <w:t xml:space="preserve">b/ Sinh viên thuộc diện giảm học phí </w:t>
      </w:r>
    </w:p>
    <w:p>
      <w:pPr>
        <w:pStyle w:val="Normal"/>
        <w:spacing w:before="0" w:after="120"/>
        <w:jc w:val="both"/>
        <w:rPr/>
      </w:pPr>
      <w:r>
        <w:rPr>
          <w:color w:val="000000"/>
          <w:sz w:val="26"/>
          <w:szCs w:val="26"/>
          <w:lang w:val="pt-BR"/>
        </w:rPr>
        <w:t>- Đối với các các môn học lần đầu:</w:t>
      </w:r>
      <w:r>
        <w:rPr>
          <w:sz w:val="26"/>
          <w:szCs w:val="26"/>
        </w:rPr>
        <w:t xml:space="preserve"> sinh viên được giảm học phí bằng 70% hoặc 50% mức học phí quy định của chương trình truyền thống. Sinh viên phải đóng phần chênh học phí giữa mức học phí của chương trình tiên tiến hoặc chương trình liên thông với mức học phí được giảm.</w:t>
      </w:r>
    </w:p>
    <w:p>
      <w:pPr>
        <w:pStyle w:val="Normal"/>
        <w:spacing w:before="0" w:after="120"/>
        <w:ind w:start="24" w:end="0"/>
        <w:jc w:val="both"/>
        <w:rPr/>
      </w:pPr>
      <w:r>
        <w:rPr>
          <w:sz w:val="26"/>
          <w:szCs w:val="26"/>
        </w:rPr>
        <w:t xml:space="preserve">- Đối với các môn học lần thứ hai trở đi: đóng 100% học phí theo quy định. </w:t>
      </w:r>
    </w:p>
    <w:p>
      <w:pPr>
        <w:pStyle w:val="Normal"/>
        <w:spacing w:before="0" w:after="120"/>
        <w:jc w:val="both"/>
        <w:rPr>
          <w:color w:val="000000"/>
          <w:sz w:val="26"/>
          <w:szCs w:val="26"/>
        </w:rPr>
      </w:pPr>
      <w:r>
        <w:rPr>
          <w:color w:val="000000"/>
          <w:sz w:val="26"/>
          <w:szCs w:val="26"/>
        </w:rPr>
        <w:t xml:space="preserve">3. </w:t>
      </w:r>
      <w:r>
        <w:rPr>
          <w:color w:val="000000"/>
          <w:sz w:val="26"/>
          <w:szCs w:val="26"/>
          <w:lang w:val="vi-VN"/>
        </w:rPr>
        <w:t xml:space="preserve">Việc miễn giảm học phí sẽ được thực hiện trong suốt thời gian </w:t>
      </w:r>
      <w:r>
        <w:rPr>
          <w:color w:val="000000"/>
          <w:sz w:val="26"/>
          <w:szCs w:val="26"/>
        </w:rPr>
        <w:t xml:space="preserve">sinh viên </w:t>
      </w:r>
      <w:r>
        <w:rPr>
          <w:color w:val="000000"/>
          <w:sz w:val="26"/>
          <w:szCs w:val="26"/>
          <w:lang w:val="vi-VN"/>
        </w:rPr>
        <w:t>học tập tại trường, trừ trường hợp có những thay đổi về lý do miễn hoặc giảm học phí.</w:t>
      </w:r>
    </w:p>
    <w:p>
      <w:pPr>
        <w:pStyle w:val="Normal"/>
        <w:spacing w:before="0" w:after="120"/>
        <w:jc w:val="both"/>
        <w:rPr/>
      </w:pPr>
      <w:r>
        <w:rPr>
          <w:sz w:val="26"/>
          <w:szCs w:val="26"/>
        </w:rPr>
        <w:t>4. Các đối tượng thuộc diện được miễn, giảm học phí theo quy định này mà cùng một lúc được hưởng nhi</w:t>
      </w:r>
      <w:r>
        <w:rPr>
          <w:rFonts w:eastAsia="MingLiU;細明體"/>
          <w:sz w:val="26"/>
          <w:szCs w:val="26"/>
        </w:rPr>
        <w:t>ề</w:t>
      </w:r>
      <w:r>
        <w:rPr>
          <w:sz w:val="26"/>
          <w:szCs w:val="26"/>
        </w:rPr>
        <w:t>u chính sách hỗ trợ khác nhau thì chỉ được hưởng một ch</w:t>
      </w:r>
      <w:r>
        <w:rPr>
          <w:rFonts w:eastAsia="MingLiU;細明體"/>
          <w:sz w:val="26"/>
          <w:szCs w:val="26"/>
        </w:rPr>
        <w:t>ế</w:t>
      </w:r>
      <w:r>
        <w:rPr>
          <w:sz w:val="26"/>
          <w:szCs w:val="26"/>
        </w:rPr>
        <w:t xml:space="preserve"> độ ưu đãi cao nhất.</w:t>
      </w:r>
    </w:p>
    <w:p>
      <w:pPr>
        <w:pStyle w:val="Normal"/>
        <w:spacing w:before="0" w:after="120"/>
        <w:jc w:val="both"/>
        <w:rPr/>
      </w:pPr>
      <w:r>
        <w:rPr>
          <w:sz w:val="26"/>
          <w:szCs w:val="26"/>
        </w:rPr>
        <w:t>5. Sinh viên thuộc diện được miễn giảm học phí mà cùng một lúc học 2 ngành đào tạo thì chỉ được hưởng ch</w:t>
      </w:r>
      <w:r>
        <w:rPr>
          <w:rFonts w:eastAsia="MingLiU;細明體"/>
          <w:sz w:val="26"/>
          <w:szCs w:val="26"/>
        </w:rPr>
        <w:t>ế</w:t>
      </w:r>
      <w:r>
        <w:rPr>
          <w:sz w:val="26"/>
          <w:szCs w:val="26"/>
        </w:rPr>
        <w:t xml:space="preserve"> độ ưu đãi v</w:t>
      </w:r>
      <w:r>
        <w:rPr>
          <w:rFonts w:eastAsia="MingLiU;細明體"/>
          <w:sz w:val="26"/>
          <w:szCs w:val="26"/>
        </w:rPr>
        <w:t>ề</w:t>
      </w:r>
      <w:r>
        <w:rPr>
          <w:sz w:val="26"/>
          <w:szCs w:val="26"/>
        </w:rPr>
        <w:t xml:space="preserve"> miễn giảm học phí tại ngành đào tạo thứ nhất. </w:t>
      </w:r>
    </w:p>
    <w:p>
      <w:pPr>
        <w:pStyle w:val="Normal"/>
        <w:spacing w:before="0" w:after="120"/>
        <w:jc w:val="both"/>
        <w:rPr/>
      </w:pPr>
      <w:r>
        <w:rPr>
          <w:sz w:val="26"/>
          <w:szCs w:val="26"/>
        </w:rPr>
        <w:t>6. Nhà trường chỉ thực hiện miễn giảm học phí cho sinh viên tính từ thời điểm sinh viên nộp đầy đủ hồ sơ theo quy định; không giải quy</w:t>
      </w:r>
      <w:r>
        <w:rPr>
          <w:rFonts w:eastAsia="MingLiU;細明體"/>
          <w:sz w:val="26"/>
          <w:szCs w:val="26"/>
        </w:rPr>
        <w:t>ế</w:t>
      </w:r>
      <w:r>
        <w:rPr>
          <w:sz w:val="26"/>
          <w:szCs w:val="26"/>
        </w:rPr>
        <w:t>t miễn giảm học phí đối với thời gian đã học từ trước thời điểm sinh viên gửi đơn đ</w:t>
      </w:r>
      <w:r>
        <w:rPr>
          <w:rFonts w:eastAsia="MingLiU;細明體"/>
          <w:sz w:val="26"/>
          <w:szCs w:val="26"/>
        </w:rPr>
        <w:t>ề</w:t>
      </w:r>
      <w:r>
        <w:rPr>
          <w:sz w:val="26"/>
          <w:szCs w:val="26"/>
        </w:rPr>
        <w:t xml:space="preserve"> nghị kèm theo các giấy tờ cần thi</w:t>
      </w:r>
      <w:r>
        <w:rPr>
          <w:rFonts w:eastAsia="MingLiU;細明體"/>
          <w:sz w:val="26"/>
          <w:szCs w:val="26"/>
        </w:rPr>
        <w:t>ế</w:t>
      </w:r>
      <w:r>
        <w:rPr>
          <w:sz w:val="26"/>
          <w:szCs w:val="26"/>
        </w:rPr>
        <w:t>t có liên quan.</w:t>
      </w:r>
    </w:p>
    <w:p>
      <w:pPr>
        <w:pStyle w:val="Normal"/>
        <w:spacing w:before="0" w:after="120"/>
        <w:jc w:val="both"/>
        <w:rPr>
          <w:sz w:val="26"/>
          <w:szCs w:val="26"/>
        </w:rPr>
      </w:pPr>
      <w:r>
        <w:rPr>
          <w:sz w:val="26"/>
          <w:szCs w:val="26"/>
        </w:rPr>
        <w:t>7. Không áp dụng ch</w:t>
      </w:r>
      <w:r>
        <w:rPr>
          <w:rFonts w:eastAsia="MingLiU;細明體"/>
          <w:sz w:val="26"/>
          <w:szCs w:val="26"/>
        </w:rPr>
        <w:t>ế</w:t>
      </w:r>
      <w:r>
        <w:rPr>
          <w:sz w:val="26"/>
          <w:szCs w:val="26"/>
        </w:rPr>
        <w:t xml:space="preserve"> độ miễn giảm học phí đối với: sinh viên đang hưởng lương và sinh hoạt phí trong quá trình học tập; Sinh viên đã từng học đại học và được hưởng chế độ miễn, giảm học phí tại một cơ sở giáo dục đại học khác; Sinh viên học liên thông đại học.</w:t>
      </w:r>
    </w:p>
    <w:p>
      <w:pPr>
        <w:pStyle w:val="BodyText"/>
        <w:spacing w:before="0" w:after="120"/>
        <w:rPr>
          <w:rFonts w:ascii="Times New Roman" w:hAnsi="Times New Roman" w:cs="Times New Roman"/>
          <w:b/>
          <w:sz w:val="26"/>
          <w:szCs w:val="26"/>
        </w:rPr>
      </w:pPr>
      <w:r>
        <w:rPr>
          <w:rFonts w:cs="Times New Roman" w:ascii="Times New Roman" w:hAnsi="Times New Roman"/>
          <w:b/>
          <w:sz w:val="26"/>
          <w:szCs w:val="26"/>
        </w:rPr>
        <w:t>Điều 9. Đối tượng được hỗ trợ chi phí học tập</w:t>
      </w:r>
    </w:p>
    <w:p>
      <w:pPr>
        <w:pStyle w:val="NormalWeb"/>
        <w:spacing w:lineRule="auto" w:line="240" w:before="0" w:after="120"/>
        <w:jc w:val="both"/>
        <w:rPr/>
      </w:pPr>
      <w:bookmarkStart w:id="0" w:name="dieu_1"/>
      <w:bookmarkEnd w:id="0"/>
      <w:r>
        <w:rPr>
          <w:sz w:val="26"/>
          <w:szCs w:val="26"/>
        </w:rPr>
        <w:t>S</w:t>
      </w:r>
      <w:r>
        <w:rPr>
          <w:sz w:val="26"/>
          <w:szCs w:val="26"/>
          <w:lang w:val="vi-VN"/>
        </w:rPr>
        <w:t>inh viên là người dân tộc thiểu số thuộc hộ nghèo, hộ cận nghèo theo quy định của Nhà nước</w:t>
      </w:r>
      <w:r>
        <w:rPr>
          <w:sz w:val="26"/>
          <w:szCs w:val="26"/>
        </w:rPr>
        <w:t xml:space="preserve"> đang học đại học chính quy tại Trường Đại học Thủy lợi.</w:t>
      </w:r>
    </w:p>
    <w:p>
      <w:pPr>
        <w:pStyle w:val="NormalWeb"/>
        <w:spacing w:lineRule="auto" w:line="240" w:before="0" w:after="120"/>
        <w:jc w:val="both"/>
        <w:rPr/>
      </w:pPr>
      <w:bookmarkStart w:id="1" w:name="dieu_1_Copy_1"/>
      <w:bookmarkEnd w:id="1"/>
      <w:r>
        <w:rPr>
          <w:sz w:val="26"/>
          <w:szCs w:val="26"/>
        </w:rPr>
        <w:t>K</w:t>
      </w:r>
      <w:r>
        <w:rPr>
          <w:sz w:val="26"/>
          <w:szCs w:val="26"/>
          <w:lang w:val="vi-VN"/>
        </w:rPr>
        <w:t xml:space="preserve">hông áp dụng </w:t>
      </w:r>
      <w:r>
        <w:rPr>
          <w:sz w:val="26"/>
          <w:szCs w:val="26"/>
        </w:rPr>
        <w:t xml:space="preserve">hỗ trợ chi phí học tập </w:t>
      </w:r>
      <w:r>
        <w:rPr>
          <w:sz w:val="26"/>
          <w:szCs w:val="26"/>
          <w:lang w:val="vi-VN"/>
        </w:rPr>
        <w:t xml:space="preserve">đối với sinh viên: </w:t>
      </w:r>
      <w:r>
        <w:rPr>
          <w:sz w:val="26"/>
          <w:szCs w:val="26"/>
        </w:rPr>
        <w:t>c</w:t>
      </w:r>
      <w:r>
        <w:rPr>
          <w:sz w:val="26"/>
          <w:szCs w:val="26"/>
          <w:lang w:val="vi-VN"/>
        </w:rPr>
        <w:t>ử tuyển, các đối tượng chính sách được xét tuyển, đào tạo theo địa chỉ, đào tạo liên thông, văn bằng hai và học đại học sau khi hoàn thành chương trình dự bị đại học</w:t>
      </w:r>
      <w:r>
        <w:rPr>
          <w:sz w:val="26"/>
          <w:szCs w:val="26"/>
        </w:rPr>
        <w:t>.</w:t>
      </w:r>
      <w:bookmarkStart w:id="2" w:name="dieu_2"/>
    </w:p>
    <w:p>
      <w:pPr>
        <w:pStyle w:val="NormalWeb"/>
        <w:spacing w:lineRule="auto" w:line="240" w:before="0" w:after="120"/>
        <w:rPr>
          <w:sz w:val="26"/>
          <w:szCs w:val="26"/>
        </w:rPr>
      </w:pPr>
      <w:r>
        <w:rPr>
          <w:b/>
          <w:bCs/>
          <w:sz w:val="26"/>
          <w:szCs w:val="26"/>
          <w:lang w:val="vi-VN"/>
        </w:rPr>
        <w:t xml:space="preserve">Điều </w:t>
      </w:r>
      <w:r>
        <w:rPr>
          <w:b/>
          <w:bCs/>
          <w:sz w:val="26"/>
          <w:szCs w:val="26"/>
        </w:rPr>
        <w:t>10</w:t>
      </w:r>
      <w:r>
        <w:rPr>
          <w:b/>
          <w:bCs/>
          <w:sz w:val="26"/>
          <w:szCs w:val="26"/>
          <w:lang w:val="vi-VN"/>
        </w:rPr>
        <w:t>. Mức hỗ trợ</w:t>
      </w:r>
      <w:bookmarkEnd w:id="2"/>
      <w:r>
        <w:rPr>
          <w:b/>
          <w:bCs/>
          <w:sz w:val="26"/>
          <w:szCs w:val="26"/>
        </w:rPr>
        <w:t xml:space="preserve"> </w:t>
      </w:r>
      <w:r>
        <w:rPr>
          <w:b/>
          <w:sz w:val="26"/>
          <w:szCs w:val="26"/>
        </w:rPr>
        <w:t>chi phí học tập</w:t>
      </w:r>
    </w:p>
    <w:p>
      <w:pPr>
        <w:pStyle w:val="NormalWeb"/>
        <w:spacing w:lineRule="auto" w:line="240" w:before="0" w:after="120"/>
        <w:jc w:val="both"/>
        <w:rPr>
          <w:sz w:val="26"/>
          <w:szCs w:val="26"/>
        </w:rPr>
      </w:pPr>
      <w:r>
        <w:rPr>
          <w:sz w:val="26"/>
          <w:szCs w:val="26"/>
          <w:lang w:val="vi-VN"/>
        </w:rPr>
        <w:t xml:space="preserve">Mức hỗ trợ chi phí học tập bằng 60% mức lương </w:t>
      </w:r>
      <w:r>
        <w:rPr>
          <w:sz w:val="26"/>
          <w:szCs w:val="26"/>
        </w:rPr>
        <w:t>cơ sở</w:t>
      </w:r>
      <w:r>
        <w:rPr>
          <w:sz w:val="26"/>
          <w:szCs w:val="26"/>
          <w:lang w:val="vi-VN"/>
        </w:rPr>
        <w:t xml:space="preserve"> và được hưởng không quá 10 tháng/năm học/sinh viên.</w:t>
      </w:r>
    </w:p>
    <w:p>
      <w:pPr>
        <w:pStyle w:val="BodyText"/>
        <w:spacing w:before="0" w:after="120"/>
        <w:rPr/>
      </w:pPr>
      <w:r>
        <w:rPr>
          <w:rFonts w:cs="Times New Roman" w:ascii="Times New Roman" w:hAnsi="Times New Roman"/>
          <w:b/>
          <w:bCs/>
          <w:sz w:val="26"/>
          <w:szCs w:val="26"/>
        </w:rPr>
        <w:t xml:space="preserve">Điều 11. </w:t>
      </w:r>
      <w:r>
        <w:rPr>
          <w:rFonts w:cs="Times New Roman" w:ascii="Times New Roman" w:hAnsi="Times New Roman"/>
          <w:b/>
          <w:i/>
          <w:sz w:val="26"/>
          <w:szCs w:val="26"/>
          <w:lang w:val="pt-BR"/>
        </w:rPr>
        <w:t xml:space="preserve"> </w:t>
      </w:r>
      <w:r>
        <w:rPr>
          <w:rFonts w:cs="Times New Roman" w:ascii="Times New Roman" w:hAnsi="Times New Roman"/>
          <w:b/>
          <w:sz w:val="26"/>
          <w:szCs w:val="26"/>
          <w:lang w:val="pt-BR"/>
        </w:rPr>
        <w:t>Thủ tục thực hiện</w:t>
      </w:r>
    </w:p>
    <w:p>
      <w:pPr>
        <w:pStyle w:val="BodyText"/>
        <w:spacing w:before="0" w:after="120"/>
        <w:rPr/>
      </w:pPr>
      <w:r>
        <w:rPr>
          <w:rFonts w:cs="Times New Roman" w:ascii="Times New Roman" w:hAnsi="Times New Roman"/>
          <w:sz w:val="26"/>
          <w:szCs w:val="26"/>
          <w:lang w:val="pt-BR"/>
        </w:rPr>
        <w:t>Vào đầu mỗi học kỳ, sinh viên thuộc diện hỗ trợ chi phí học tập nộp hồ sơ cho Phòng Chính trị và Công tác sinh viên, gồm:</w:t>
      </w:r>
    </w:p>
    <w:p>
      <w:pPr>
        <w:pStyle w:val="Normal"/>
        <w:shd w:val="clear" w:fill="FFFFFF"/>
        <w:tabs>
          <w:tab w:val="clear" w:pos="720"/>
          <w:tab w:val="left" w:pos="5810" w:leader="none"/>
        </w:tabs>
        <w:spacing w:before="0" w:after="120"/>
        <w:jc w:val="both"/>
        <w:rPr/>
      </w:pPr>
      <w:r>
        <w:rPr>
          <w:color w:val="000000"/>
          <w:sz w:val="26"/>
          <w:szCs w:val="26"/>
        </w:rPr>
        <w:t>- Đơn đề nghị hỗ trợ chi phí học tập</w:t>
      </w:r>
      <w:r>
        <w:rPr>
          <w:i/>
          <w:color w:val="000000"/>
          <w:sz w:val="26"/>
          <w:szCs w:val="26"/>
        </w:rPr>
        <w:t xml:space="preserve"> (mẫu tại phụ lục III)</w:t>
      </w:r>
      <w:r>
        <w:rPr>
          <w:color w:val="000000"/>
          <w:sz w:val="26"/>
          <w:szCs w:val="26"/>
        </w:rPr>
        <w:t>;</w:t>
      </w:r>
      <w:r>
        <w:rPr>
          <w:i/>
          <w:color w:val="000000"/>
          <w:sz w:val="26"/>
          <w:szCs w:val="26"/>
        </w:rPr>
        <w:tab/>
      </w:r>
    </w:p>
    <w:p>
      <w:pPr>
        <w:pStyle w:val="Normal"/>
        <w:shd w:val="clear" w:fill="FFFFFF"/>
        <w:spacing w:before="0" w:after="120"/>
        <w:jc w:val="both"/>
        <w:rPr>
          <w:color w:val="000000"/>
          <w:sz w:val="26"/>
          <w:szCs w:val="26"/>
        </w:rPr>
      </w:pPr>
      <w:r>
        <w:rPr>
          <w:color w:val="000000"/>
          <w:sz w:val="26"/>
          <w:szCs w:val="26"/>
        </w:rPr>
        <w:t>- Bản sao Giấy khai sinh;</w:t>
      </w:r>
    </w:p>
    <w:p>
      <w:pPr>
        <w:pStyle w:val="Normal"/>
        <w:shd w:val="clear" w:fill="FFFFFF"/>
        <w:spacing w:before="0" w:after="120"/>
        <w:jc w:val="both"/>
        <w:rPr>
          <w:color w:val="000000"/>
          <w:sz w:val="26"/>
          <w:szCs w:val="26"/>
        </w:rPr>
      </w:pPr>
      <w:r>
        <w:rPr>
          <w:color w:val="000000"/>
          <w:sz w:val="26"/>
          <w:szCs w:val="26"/>
        </w:rPr>
        <w:t>- Bản sao Giấy chứng nhận hộ nghèo/ hộ cận nghèo.</w:t>
      </w:r>
    </w:p>
    <w:p>
      <w:pPr>
        <w:pStyle w:val="BodyText"/>
        <w:spacing w:before="0" w:after="120"/>
        <w:rPr/>
      </w:pPr>
      <w:r>
        <w:rPr>
          <w:rFonts w:cs="Times New Roman" w:ascii="Times New Roman" w:hAnsi="Times New Roman"/>
          <w:b/>
          <w:sz w:val="26"/>
          <w:szCs w:val="26"/>
        </w:rPr>
        <w:t>Điều 12. Đối tượng được hỗ trợ học tập</w:t>
      </w:r>
    </w:p>
    <w:p>
      <w:pPr>
        <w:pStyle w:val="NormalWeb"/>
        <w:spacing w:lineRule="auto" w:line="240" w:before="0" w:after="120"/>
        <w:jc w:val="both"/>
        <w:rPr>
          <w:sz w:val="26"/>
          <w:szCs w:val="26"/>
        </w:rPr>
      </w:pPr>
      <w:r>
        <w:rPr>
          <w:sz w:val="26"/>
          <w:szCs w:val="26"/>
        </w:rPr>
        <w:t>S</w:t>
      </w:r>
      <w:r>
        <w:rPr>
          <w:sz w:val="26"/>
          <w:szCs w:val="26"/>
          <w:lang w:val="vi-VN"/>
        </w:rPr>
        <w:t>inh viên là người dân tộc thiểu số</w:t>
      </w:r>
      <w:r>
        <w:rPr>
          <w:sz w:val="26"/>
          <w:szCs w:val="26"/>
        </w:rPr>
        <w:t xml:space="preserve"> </w:t>
      </w:r>
      <w:r>
        <w:rPr>
          <w:sz w:val="26"/>
          <w:szCs w:val="26"/>
          <w:lang w:val="vi-VN"/>
        </w:rPr>
        <w:t xml:space="preserve">rất ít người </w:t>
      </w:r>
      <w:r>
        <w:rPr>
          <w:sz w:val="26"/>
          <w:szCs w:val="26"/>
        </w:rPr>
        <w:t>(</w:t>
      </w:r>
      <w:r>
        <w:rPr>
          <w:sz w:val="26"/>
          <w:szCs w:val="26"/>
          <w:lang w:val="vi-VN"/>
        </w:rPr>
        <w:t>Cống, Mảng, Pu Péo, Si La, Cờ Lao, Bố Y, La Ha, Ngái, Chứt, Ơ Đu, Brâu, Rơ Măm, Lô Lô, Lự, Pà Thẻn, La Hủ</w:t>
      </w:r>
      <w:r>
        <w:rPr>
          <w:sz w:val="26"/>
          <w:szCs w:val="26"/>
        </w:rPr>
        <w:t>) đang học đại học tại Trường Đại học Thủy lợi.</w:t>
      </w:r>
    </w:p>
    <w:p>
      <w:pPr>
        <w:pStyle w:val="NormalWeb"/>
        <w:spacing w:lineRule="auto" w:line="240" w:before="0" w:after="120"/>
        <w:rPr>
          <w:sz w:val="26"/>
          <w:szCs w:val="26"/>
        </w:rPr>
      </w:pPr>
      <w:r>
        <w:rPr>
          <w:b/>
          <w:bCs/>
          <w:sz w:val="26"/>
          <w:szCs w:val="26"/>
          <w:lang w:val="vi-VN"/>
        </w:rPr>
        <w:t xml:space="preserve">Điều </w:t>
      </w:r>
      <w:r>
        <w:rPr>
          <w:b/>
          <w:bCs/>
          <w:sz w:val="26"/>
          <w:szCs w:val="26"/>
        </w:rPr>
        <w:t>13</w:t>
      </w:r>
      <w:r>
        <w:rPr>
          <w:b/>
          <w:bCs/>
          <w:sz w:val="26"/>
          <w:szCs w:val="26"/>
          <w:lang w:val="vi-VN"/>
        </w:rPr>
        <w:t xml:space="preserve">. Mức </w:t>
      </w:r>
      <w:r>
        <w:rPr>
          <w:b/>
          <w:bCs/>
          <w:sz w:val="26"/>
          <w:szCs w:val="26"/>
        </w:rPr>
        <w:t xml:space="preserve">hưởng và thời gian được hưởng </w:t>
      </w:r>
      <w:r>
        <w:rPr>
          <w:b/>
          <w:bCs/>
          <w:sz w:val="26"/>
          <w:szCs w:val="26"/>
          <w:lang w:val="vi-VN"/>
        </w:rPr>
        <w:t>hỗ trợ</w:t>
      </w:r>
      <w:r>
        <w:rPr>
          <w:b/>
          <w:bCs/>
          <w:sz w:val="26"/>
          <w:szCs w:val="26"/>
        </w:rPr>
        <w:t xml:space="preserve"> </w:t>
      </w:r>
      <w:r>
        <w:rPr>
          <w:b/>
          <w:sz w:val="26"/>
          <w:szCs w:val="26"/>
        </w:rPr>
        <w:t>học tập</w:t>
      </w:r>
    </w:p>
    <w:p>
      <w:pPr>
        <w:pStyle w:val="NormalWeb"/>
        <w:spacing w:lineRule="auto" w:line="240" w:before="0" w:after="120"/>
        <w:jc w:val="both"/>
        <w:rPr>
          <w:sz w:val="26"/>
          <w:szCs w:val="26"/>
        </w:rPr>
      </w:pPr>
      <w:r>
        <w:rPr>
          <w:sz w:val="26"/>
          <w:szCs w:val="26"/>
        </w:rPr>
        <w:t xml:space="preserve">1. </w:t>
      </w:r>
      <w:r>
        <w:rPr>
          <w:sz w:val="26"/>
          <w:szCs w:val="26"/>
          <w:lang w:val="vi-VN"/>
        </w:rPr>
        <w:t xml:space="preserve">Mức hỗ trợ học tập bằng </w:t>
      </w:r>
      <w:r>
        <w:rPr>
          <w:sz w:val="26"/>
          <w:szCs w:val="26"/>
        </w:rPr>
        <w:t xml:space="preserve">100% </w:t>
      </w:r>
      <w:r>
        <w:rPr>
          <w:sz w:val="26"/>
          <w:szCs w:val="26"/>
          <w:lang w:val="vi-VN"/>
        </w:rPr>
        <w:t xml:space="preserve">mức lương </w:t>
      </w:r>
      <w:r>
        <w:rPr>
          <w:sz w:val="26"/>
          <w:szCs w:val="26"/>
        </w:rPr>
        <w:t>cơ sở/người/tháng.</w:t>
      </w:r>
    </w:p>
    <w:p>
      <w:pPr>
        <w:pStyle w:val="NormalWeb"/>
        <w:spacing w:lineRule="auto" w:line="240" w:before="0" w:after="120"/>
        <w:jc w:val="both"/>
        <w:rPr>
          <w:sz w:val="26"/>
          <w:szCs w:val="26"/>
        </w:rPr>
      </w:pPr>
      <w:r>
        <w:rPr>
          <w:sz w:val="26"/>
          <w:szCs w:val="26"/>
          <w:lang w:val="vi-VN"/>
        </w:rPr>
        <w:t xml:space="preserve">2. Thời gian được hưởng hỗ trợ: 12 tháng/năm cho </w:t>
      </w:r>
      <w:r>
        <w:rPr>
          <w:sz w:val="26"/>
          <w:szCs w:val="26"/>
        </w:rPr>
        <w:t>sinh viên</w:t>
      </w:r>
      <w:r>
        <w:rPr>
          <w:sz w:val="26"/>
          <w:szCs w:val="26"/>
          <w:lang w:val="vi-VN"/>
        </w:rPr>
        <w:t xml:space="preserve"> có thời gian học đủ 9 tháng/năm trở lên; trường hợp </w:t>
      </w:r>
      <w:r>
        <w:rPr>
          <w:sz w:val="26"/>
          <w:szCs w:val="26"/>
        </w:rPr>
        <w:t>sinh viên</w:t>
      </w:r>
      <w:r>
        <w:rPr>
          <w:sz w:val="26"/>
          <w:szCs w:val="26"/>
          <w:lang w:val="vi-VN"/>
        </w:rPr>
        <w:t xml:space="preserve"> học không đủ 9 tháng/năm thì được hưởng theo thời gian học thực tế.</w:t>
      </w:r>
    </w:p>
    <w:p>
      <w:pPr>
        <w:pStyle w:val="BodyText"/>
        <w:spacing w:before="0" w:after="120"/>
        <w:rPr/>
      </w:pPr>
      <w:r>
        <w:rPr>
          <w:rFonts w:cs="Times New Roman" w:ascii="Times New Roman" w:hAnsi="Times New Roman"/>
          <w:b/>
          <w:bCs/>
          <w:sz w:val="26"/>
          <w:szCs w:val="26"/>
        </w:rPr>
        <w:t xml:space="preserve">Điều 14. </w:t>
      </w:r>
      <w:r>
        <w:rPr>
          <w:rFonts w:cs="Times New Roman" w:ascii="Times New Roman" w:hAnsi="Times New Roman"/>
          <w:b/>
          <w:i/>
          <w:sz w:val="26"/>
          <w:szCs w:val="26"/>
          <w:lang w:val="pt-BR"/>
        </w:rPr>
        <w:t xml:space="preserve"> </w:t>
      </w:r>
      <w:r>
        <w:rPr>
          <w:rFonts w:cs="Times New Roman" w:ascii="Times New Roman" w:hAnsi="Times New Roman"/>
          <w:b/>
          <w:sz w:val="26"/>
          <w:szCs w:val="26"/>
          <w:lang w:val="vi-VN"/>
        </w:rPr>
        <w:t>Nguyên tắc</w:t>
      </w:r>
      <w:r>
        <w:rPr>
          <w:rFonts w:cs="Times New Roman" w:ascii="Times New Roman" w:hAnsi="Times New Roman"/>
          <w:b/>
          <w:sz w:val="26"/>
          <w:szCs w:val="26"/>
        </w:rPr>
        <w:t xml:space="preserve"> và t</w:t>
      </w:r>
      <w:r>
        <w:rPr>
          <w:rFonts w:cs="Times New Roman" w:ascii="Times New Roman" w:hAnsi="Times New Roman"/>
          <w:b/>
          <w:sz w:val="26"/>
          <w:szCs w:val="26"/>
          <w:lang w:val="pt-BR"/>
        </w:rPr>
        <w:t>hủ tục thực hiện</w:t>
      </w:r>
    </w:p>
    <w:p>
      <w:pPr>
        <w:pStyle w:val="NormalWeb"/>
        <w:spacing w:lineRule="auto" w:line="240" w:before="0" w:after="120"/>
        <w:rPr>
          <w:b/>
          <w:sz w:val="26"/>
          <w:szCs w:val="26"/>
        </w:rPr>
      </w:pPr>
      <w:r>
        <w:rPr>
          <w:b/>
          <w:sz w:val="26"/>
          <w:szCs w:val="26"/>
        </w:rPr>
        <w:t>1</w:t>
      </w:r>
      <w:r>
        <w:rPr>
          <w:b/>
          <w:sz w:val="26"/>
          <w:szCs w:val="26"/>
          <w:lang w:val="vi-VN"/>
        </w:rPr>
        <w:t xml:space="preserve">. </w:t>
      </w:r>
      <w:r>
        <w:rPr>
          <w:b/>
          <w:sz w:val="26"/>
          <w:szCs w:val="26"/>
        </w:rPr>
        <w:t xml:space="preserve">Nguyên tắc </w:t>
      </w:r>
      <w:r>
        <w:rPr>
          <w:b/>
          <w:sz w:val="26"/>
          <w:szCs w:val="26"/>
          <w:lang w:val="vi-VN"/>
        </w:rPr>
        <w:t>hưởng:</w:t>
      </w:r>
    </w:p>
    <w:p>
      <w:pPr>
        <w:pStyle w:val="NormalWeb"/>
        <w:spacing w:lineRule="auto" w:line="240" w:before="0" w:after="120"/>
        <w:jc w:val="both"/>
        <w:rPr>
          <w:sz w:val="26"/>
          <w:szCs w:val="26"/>
        </w:rPr>
      </w:pPr>
      <w:r>
        <w:rPr>
          <w:sz w:val="26"/>
          <w:szCs w:val="26"/>
        </w:rPr>
        <w:t>-</w:t>
      </w:r>
      <w:r>
        <w:rPr>
          <w:sz w:val="26"/>
          <w:szCs w:val="26"/>
          <w:lang w:val="vi-VN"/>
        </w:rPr>
        <w:t xml:space="preserve"> </w:t>
      </w:r>
      <w:r>
        <w:rPr>
          <w:sz w:val="26"/>
          <w:szCs w:val="26"/>
        </w:rPr>
        <w:t>S</w:t>
      </w:r>
      <w:r>
        <w:rPr>
          <w:sz w:val="26"/>
          <w:szCs w:val="26"/>
          <w:lang w:val="vi-VN"/>
        </w:rPr>
        <w:t xml:space="preserve">inh viên học đồng thời </w:t>
      </w:r>
      <w:r>
        <w:rPr>
          <w:sz w:val="26"/>
          <w:szCs w:val="26"/>
        </w:rPr>
        <w:t xml:space="preserve">nhiều chương trình đào tạo của Trường Đại học Thủy lợi </w:t>
      </w:r>
      <w:r>
        <w:rPr>
          <w:sz w:val="26"/>
          <w:szCs w:val="26"/>
          <w:lang w:val="vi-VN"/>
        </w:rPr>
        <w:t xml:space="preserve">hoặc học ở nhiều </w:t>
      </w:r>
      <w:r>
        <w:rPr>
          <w:sz w:val="26"/>
          <w:szCs w:val="26"/>
        </w:rPr>
        <w:t>trường đại học</w:t>
      </w:r>
      <w:r>
        <w:rPr>
          <w:sz w:val="26"/>
          <w:szCs w:val="26"/>
          <w:lang w:val="vi-VN"/>
        </w:rPr>
        <w:t xml:space="preserve"> khác nhau thì chỉ được hưởng hỗ trợ một lần</w:t>
      </w:r>
      <w:r>
        <w:rPr>
          <w:sz w:val="26"/>
          <w:szCs w:val="26"/>
        </w:rPr>
        <w:t>;</w:t>
      </w:r>
    </w:p>
    <w:p>
      <w:pPr>
        <w:pStyle w:val="NormalWeb"/>
        <w:spacing w:lineRule="auto" w:line="240" w:before="0" w:after="120"/>
        <w:jc w:val="both"/>
        <w:rPr>
          <w:sz w:val="26"/>
          <w:szCs w:val="26"/>
        </w:rPr>
      </w:pPr>
      <w:r>
        <w:rPr>
          <w:sz w:val="26"/>
          <w:szCs w:val="26"/>
        </w:rPr>
        <w:t>- S</w:t>
      </w:r>
      <w:r>
        <w:rPr>
          <w:sz w:val="26"/>
          <w:szCs w:val="26"/>
          <w:lang w:val="vi-VN"/>
        </w:rPr>
        <w:t xml:space="preserve">inh viên bị ngừng học thì thời gian ngừng học không được hưởng hỗ trợ. </w:t>
      </w:r>
      <w:r>
        <w:rPr>
          <w:sz w:val="26"/>
          <w:szCs w:val="26"/>
        </w:rPr>
        <w:t>S</w:t>
      </w:r>
      <w:r>
        <w:rPr>
          <w:sz w:val="26"/>
          <w:szCs w:val="26"/>
          <w:lang w:val="vi-VN"/>
        </w:rPr>
        <w:t>inh viên bị buộc thôi học thì thôi hưởng chính sách hỗ trợ ngay sau khi thôi học</w:t>
      </w:r>
      <w:r>
        <w:rPr>
          <w:sz w:val="26"/>
          <w:szCs w:val="26"/>
        </w:rPr>
        <w:t>;</w:t>
      </w:r>
    </w:p>
    <w:p>
      <w:pPr>
        <w:pStyle w:val="NormalWeb"/>
        <w:spacing w:lineRule="auto" w:line="240" w:before="0" w:after="120"/>
        <w:jc w:val="both"/>
        <w:rPr>
          <w:sz w:val="26"/>
          <w:szCs w:val="26"/>
        </w:rPr>
      </w:pPr>
      <w:r>
        <w:rPr>
          <w:sz w:val="26"/>
          <w:szCs w:val="26"/>
        </w:rPr>
        <w:t>-</w:t>
      </w:r>
      <w:r>
        <w:rPr>
          <w:sz w:val="26"/>
          <w:szCs w:val="26"/>
          <w:lang w:val="vi-VN"/>
        </w:rPr>
        <w:t xml:space="preserve"> Sinh viên được hưởng chính sách hỗ trợ học tập quy định tại Nghị định này không được hưởng hỗ trợ chi phí học tập quy định tại Quyết định số 66/2013/QĐ-TTg ngày 11 tháng 11 năm 2013 của Thủ tướng Chính phủ quy định chính sách hỗ trợ chi phí học tập đối với sinh viên là người dân tộc thiểu số học tại các cơ sở giáo dục đại học.</w:t>
      </w:r>
    </w:p>
    <w:p>
      <w:pPr>
        <w:pStyle w:val="BodyText"/>
        <w:spacing w:before="0" w:after="120"/>
        <w:rPr/>
      </w:pPr>
      <w:r>
        <w:rPr>
          <w:rFonts w:cs="Times New Roman" w:ascii="Times New Roman" w:hAnsi="Times New Roman"/>
          <w:b/>
          <w:sz w:val="26"/>
          <w:szCs w:val="26"/>
        </w:rPr>
        <w:t>2. T</w:t>
      </w:r>
      <w:r>
        <w:rPr>
          <w:rFonts w:cs="Times New Roman" w:ascii="Times New Roman" w:hAnsi="Times New Roman"/>
          <w:b/>
          <w:sz w:val="26"/>
          <w:szCs w:val="26"/>
          <w:lang w:val="pt-BR"/>
        </w:rPr>
        <w:t>hủ tục thực hiện</w:t>
      </w:r>
    </w:p>
    <w:p>
      <w:pPr>
        <w:pStyle w:val="BodyText"/>
        <w:spacing w:before="0" w:after="120"/>
        <w:rPr>
          <w:rFonts w:ascii="Times New Roman" w:hAnsi="Times New Roman" w:cs="Times New Roman"/>
          <w:sz w:val="26"/>
          <w:szCs w:val="26"/>
          <w:lang w:val="pt-BR"/>
        </w:rPr>
      </w:pPr>
      <w:r>
        <w:rPr>
          <w:rFonts w:cs="Times New Roman" w:ascii="Times New Roman" w:hAnsi="Times New Roman"/>
          <w:sz w:val="26"/>
          <w:szCs w:val="26"/>
          <w:lang w:val="pt-BR"/>
        </w:rPr>
        <w:t>Vào đầu mỗi học kỳ, sinh viên thuộc diện hỗ trợ học tập nộp hồ sơ cho Phòng Chính trị và Công tác sinh viên, gồm:</w:t>
      </w:r>
    </w:p>
    <w:p>
      <w:pPr>
        <w:pStyle w:val="Normal"/>
        <w:shd w:val="clear" w:fill="FFFFFF"/>
        <w:tabs>
          <w:tab w:val="clear" w:pos="720"/>
          <w:tab w:val="left" w:pos="5810" w:leader="none"/>
        </w:tabs>
        <w:spacing w:before="0" w:after="120"/>
        <w:jc w:val="both"/>
        <w:rPr/>
      </w:pPr>
      <w:r>
        <w:rPr>
          <w:color w:val="000000"/>
          <w:sz w:val="26"/>
          <w:szCs w:val="26"/>
        </w:rPr>
        <w:t>- Đơn đề nghị hỗ trợ học tập</w:t>
      </w:r>
      <w:r>
        <w:rPr>
          <w:i/>
          <w:color w:val="000000"/>
          <w:sz w:val="26"/>
          <w:szCs w:val="26"/>
        </w:rPr>
        <w:t xml:space="preserve"> (mẫu tại phụ lục IV)</w:t>
      </w:r>
      <w:r>
        <w:rPr>
          <w:color w:val="000000"/>
          <w:sz w:val="26"/>
          <w:szCs w:val="26"/>
        </w:rPr>
        <w:t>;</w:t>
      </w:r>
      <w:r>
        <w:rPr>
          <w:i/>
          <w:color w:val="000000"/>
          <w:sz w:val="26"/>
          <w:szCs w:val="26"/>
        </w:rPr>
        <w:tab/>
      </w:r>
    </w:p>
    <w:p>
      <w:pPr>
        <w:pStyle w:val="Normal"/>
        <w:shd w:val="clear" w:fill="FFFFFF"/>
        <w:spacing w:before="0" w:after="120"/>
        <w:jc w:val="both"/>
        <w:rPr>
          <w:color w:val="000000"/>
          <w:sz w:val="26"/>
          <w:szCs w:val="26"/>
        </w:rPr>
      </w:pPr>
      <w:r>
        <w:rPr>
          <w:color w:val="000000"/>
          <w:sz w:val="26"/>
          <w:szCs w:val="26"/>
        </w:rPr>
        <w:t>- Bản sao Giấy khai sinh hoặc Bản sao Sổ hộ khẩu gia đình.</w:t>
      </w:r>
    </w:p>
    <w:p>
      <w:pPr>
        <w:pStyle w:val="Normal"/>
        <w:spacing w:before="0" w:after="120"/>
        <w:ind w:end="279"/>
        <w:jc w:val="both"/>
        <w:rPr/>
      </w:pPr>
      <w:r>
        <w:rPr>
          <w:b/>
          <w:sz w:val="26"/>
          <w:szCs w:val="26"/>
          <w:lang w:val="de-DE"/>
        </w:rPr>
        <w:t>Điều 15. Đối tượng được hưởng trợ cấp xã hội</w:t>
      </w:r>
    </w:p>
    <w:p>
      <w:pPr>
        <w:pStyle w:val="Normal"/>
        <w:shd w:val="clear" w:fill="FFFFFF"/>
        <w:spacing w:before="0" w:after="120"/>
        <w:jc w:val="both"/>
        <w:rPr/>
      </w:pPr>
      <w:r>
        <w:rPr>
          <w:sz w:val="26"/>
          <w:szCs w:val="26"/>
          <w:lang w:val="de-DE"/>
        </w:rPr>
        <w:t xml:space="preserve">Sinh viên đang theo học trong thời gian thiết kế </w:t>
      </w:r>
      <w:r>
        <w:rPr>
          <w:color w:val="000000"/>
          <w:sz w:val="26"/>
          <w:szCs w:val="26"/>
          <w:lang w:val="de-DE"/>
        </w:rPr>
        <w:t>cho chương trình đào tạo</w:t>
      </w:r>
      <w:r>
        <w:rPr>
          <w:sz w:val="26"/>
          <w:szCs w:val="26"/>
          <w:lang w:val="de-DE"/>
        </w:rPr>
        <w:t xml:space="preserve"> của ngành đào tạo thứ nhất ở bậc đại học chính quy tại trường Đại học Thủy lợi thuộc một trong các đối tượng sau đây:</w:t>
      </w:r>
    </w:p>
    <w:p>
      <w:pPr>
        <w:pStyle w:val="NormalWeb"/>
        <w:shd w:val="clear" w:fill="FFFFFF"/>
        <w:spacing w:lineRule="auto" w:line="240" w:before="0" w:after="120"/>
        <w:jc w:val="both"/>
        <w:rPr>
          <w:sz w:val="26"/>
          <w:szCs w:val="26"/>
          <w:lang w:val="de-DE"/>
        </w:rPr>
      </w:pPr>
      <w:r>
        <w:rPr>
          <w:sz w:val="26"/>
          <w:szCs w:val="26"/>
          <w:lang w:val="de-DE"/>
        </w:rPr>
        <w:t>1. Sinh viên là người dân tộc ít người ở vùng cao;</w:t>
      </w:r>
    </w:p>
    <w:p>
      <w:pPr>
        <w:pStyle w:val="NormalWeb"/>
        <w:shd w:val="clear" w:fill="FFFFFF"/>
        <w:spacing w:lineRule="auto" w:line="240" w:before="0" w:after="120"/>
        <w:jc w:val="both"/>
        <w:rPr>
          <w:sz w:val="26"/>
          <w:szCs w:val="26"/>
          <w:lang w:val="de-DE"/>
        </w:rPr>
      </w:pPr>
      <w:r>
        <w:rPr>
          <w:sz w:val="26"/>
          <w:szCs w:val="26"/>
          <w:lang w:val="de-DE"/>
        </w:rPr>
        <w:t>2. Sinh viên là người mồ côi cả cha lẫn mẹ không nơi nương tựa;</w:t>
      </w:r>
    </w:p>
    <w:p>
      <w:pPr>
        <w:pStyle w:val="NormalWeb"/>
        <w:shd w:val="clear" w:fill="FFFFFF"/>
        <w:spacing w:lineRule="auto" w:line="240" w:before="0" w:after="120"/>
        <w:jc w:val="both"/>
        <w:rPr>
          <w:sz w:val="26"/>
          <w:szCs w:val="26"/>
          <w:lang w:val="de-DE"/>
        </w:rPr>
      </w:pPr>
      <w:r>
        <w:rPr>
          <w:sz w:val="26"/>
          <w:szCs w:val="26"/>
          <w:lang w:val="de-DE"/>
        </w:rPr>
        <w:t>3. Sinh viên là người tàn tật theo quy định của Chính phủ tại Nghị định số 81/CP ngày 23  tháng 11 năm 1995;</w:t>
      </w:r>
      <w:bookmarkStart w:id="3" w:name="cumtu_1"/>
    </w:p>
    <w:p>
      <w:pPr>
        <w:pStyle w:val="NormalWeb"/>
        <w:shd w:val="clear" w:fill="FFFFFF"/>
        <w:spacing w:lineRule="auto" w:line="240" w:before="0" w:after="120"/>
        <w:jc w:val="both"/>
        <w:rPr>
          <w:sz w:val="26"/>
          <w:szCs w:val="26"/>
          <w:lang w:val="de-DE"/>
        </w:rPr>
      </w:pPr>
      <w:r>
        <w:rPr>
          <w:sz w:val="26"/>
          <w:szCs w:val="26"/>
          <w:lang w:val="de-DE"/>
        </w:rPr>
        <w:t xml:space="preserve">4. Sinh viên có hoàn cảnh đặc biệt khó khăn về kinh tế, vượt khó học tập. </w:t>
      </w:r>
      <w:bookmarkEnd w:id="3"/>
    </w:p>
    <w:p>
      <w:pPr>
        <w:pStyle w:val="BodyText2"/>
        <w:spacing w:lineRule="auto" w:line="240" w:before="0" w:after="120"/>
        <w:rPr/>
      </w:pPr>
      <w:r>
        <w:rPr>
          <w:rFonts w:cs="Times New Roman" w:ascii="Times New Roman" w:hAnsi="Times New Roman"/>
          <w:b/>
          <w:sz w:val="26"/>
          <w:szCs w:val="26"/>
          <w:lang w:val="de-DE"/>
        </w:rPr>
        <w:t>Điều 16. Hồ sơ, mức hưởng và thời gian hưởng trợ cấp xã hội</w:t>
      </w:r>
    </w:p>
    <w:p>
      <w:pPr>
        <w:pStyle w:val="NormalWeb"/>
        <w:shd w:val="clear" w:fill="FFFFFF"/>
        <w:spacing w:lineRule="auto" w:line="240" w:before="0" w:after="120"/>
        <w:jc w:val="both"/>
        <w:rPr/>
      </w:pPr>
      <w:r>
        <w:rPr>
          <w:rStyle w:val="Strong"/>
          <w:iCs/>
          <w:sz w:val="26"/>
          <w:szCs w:val="26"/>
          <w:lang w:val="de-DE"/>
        </w:rPr>
        <w:t xml:space="preserve">1. Hồ sơ và mức hưởng </w:t>
      </w:r>
      <w:r>
        <w:rPr>
          <w:rStyle w:val="Strong"/>
          <w:b/>
          <w:iCs/>
          <w:sz w:val="26"/>
          <w:szCs w:val="26"/>
          <w:lang w:val="de-DE"/>
        </w:rPr>
        <w:t>trợ cấp xã hội</w:t>
      </w:r>
    </w:p>
    <w:p>
      <w:pPr>
        <w:pStyle w:val="NormalWeb"/>
        <w:shd w:val="clear" w:fill="FFFFFF"/>
        <w:spacing w:lineRule="auto" w:line="240" w:before="0" w:after="120"/>
        <w:jc w:val="both"/>
        <w:rPr/>
      </w:pPr>
      <w:r>
        <w:rPr>
          <w:rStyle w:val="Strong"/>
          <w:i/>
          <w:iCs/>
          <w:sz w:val="26"/>
          <w:szCs w:val="26"/>
          <w:lang w:val="de-DE"/>
        </w:rPr>
        <w:t>1.1. Đối với sinh viên dân tộc ít người ở vùng cao:</w:t>
      </w:r>
    </w:p>
    <w:p>
      <w:pPr>
        <w:pStyle w:val="NormalWeb"/>
        <w:shd w:val="clear" w:fill="FFFFFF"/>
        <w:spacing w:lineRule="auto" w:line="240" w:before="0" w:after="120"/>
        <w:jc w:val="both"/>
        <w:rPr/>
      </w:pPr>
      <w:r>
        <w:rPr>
          <w:rStyle w:val="Emphasis"/>
          <w:i w:val="false"/>
          <w:sz w:val="26"/>
          <w:szCs w:val="26"/>
          <w:lang w:val="de-DE"/>
        </w:rPr>
        <w:t>- Điều kiện: căn cứ để xác định sinh viên là người dân tộc ít người là giấy khai sinh bản gốc hoặc giấy kết hôn của cha mẹ (nếu giấy khai sinh bản gốc bị mất), trong đó có ghi cha hoặc mẹ là người dân tộc ít người; đồng thời sinh viên có hộ khẩu thường trú ở vùng cao ít nhất từ 3 năm trở lên (tính đến thời điểm vào trường Đại học Thủy lợi)</w:t>
      </w:r>
    </w:p>
    <w:p>
      <w:pPr>
        <w:pStyle w:val="NormalWeb"/>
        <w:shd w:val="clear" w:fill="FFFFFF"/>
        <w:spacing w:lineRule="auto" w:line="240" w:before="0" w:after="120"/>
        <w:jc w:val="both"/>
        <w:rPr/>
      </w:pPr>
      <w:r>
        <w:rPr>
          <w:sz w:val="26"/>
          <w:szCs w:val="26"/>
          <w:lang w:val="de-DE"/>
        </w:rPr>
        <w:t xml:space="preserve">- Hồ sơ gồm: </w:t>
      </w:r>
    </w:p>
    <w:p>
      <w:pPr>
        <w:pStyle w:val="NormalWeb"/>
        <w:shd w:val="clear" w:fill="FFFFFF"/>
        <w:spacing w:lineRule="auto" w:line="240" w:before="0" w:after="120"/>
        <w:jc w:val="both"/>
        <w:rPr/>
      </w:pPr>
      <w:r>
        <w:rPr>
          <w:sz w:val="26"/>
          <w:szCs w:val="26"/>
          <w:lang w:val="de-DE"/>
        </w:rPr>
        <w:t xml:space="preserve">+ Đơn đề nghị được hưởng </w:t>
      </w:r>
      <w:r>
        <w:rPr>
          <w:b w:val="false"/>
          <w:bCs w:val="false"/>
          <w:sz w:val="26"/>
          <w:szCs w:val="26"/>
          <w:lang w:val="de-DE"/>
        </w:rPr>
        <w:t xml:space="preserve">trợ cấp xã hội </w:t>
      </w:r>
      <w:r>
        <w:rPr>
          <w:b w:val="false"/>
          <w:bCs w:val="false"/>
          <w:i/>
          <w:sz w:val="26"/>
          <w:szCs w:val="26"/>
          <w:lang w:val="de-DE"/>
        </w:rPr>
        <w:t>(theo mẫu tại Phụ lục V)</w:t>
      </w:r>
      <w:r>
        <w:rPr>
          <w:b w:val="false"/>
          <w:bCs w:val="false"/>
          <w:sz w:val="26"/>
          <w:szCs w:val="26"/>
          <w:lang w:val="de-DE"/>
        </w:rPr>
        <w:t xml:space="preserve">; </w:t>
      </w:r>
    </w:p>
    <w:p>
      <w:pPr>
        <w:pStyle w:val="NormalWeb"/>
        <w:shd w:val="clear" w:fill="FFFFFF"/>
        <w:spacing w:lineRule="auto" w:line="240" w:before="0" w:after="120"/>
        <w:jc w:val="both"/>
        <w:rPr/>
      </w:pPr>
      <w:r>
        <w:rPr>
          <w:b w:val="false"/>
          <w:bCs w:val="false"/>
          <w:sz w:val="26"/>
          <w:szCs w:val="26"/>
          <w:lang w:val="de-DE"/>
        </w:rPr>
        <w:t>+ Bản sao Giấy khai sinh của sinh viên (c</w:t>
      </w:r>
      <w:r>
        <w:rPr>
          <w:sz w:val="26"/>
          <w:szCs w:val="26"/>
          <w:lang w:val="de-DE"/>
        </w:rPr>
        <w:t xml:space="preserve">ó bản gốc để đối chiếu) hoặc giấy đăng ký kết hôn của cha mẹ trong trường hợp giấy khai sinh bản gốc bị mất; </w:t>
      </w:r>
    </w:p>
    <w:p>
      <w:pPr>
        <w:pStyle w:val="NormalWeb"/>
        <w:shd w:val="clear" w:fill="FFFFFF"/>
        <w:spacing w:lineRule="auto" w:line="240" w:before="0" w:after="120"/>
        <w:jc w:val="both"/>
        <w:rPr>
          <w:sz w:val="26"/>
          <w:szCs w:val="26"/>
          <w:lang w:val="de-DE"/>
        </w:rPr>
      </w:pPr>
      <w:r>
        <w:rPr>
          <w:sz w:val="26"/>
          <w:szCs w:val="26"/>
          <w:lang w:val="de-DE"/>
        </w:rPr>
        <w:t xml:space="preserve">+ Bản sao Sổ hộ khẩu </w:t>
      </w:r>
      <w:r>
        <w:rPr>
          <w:bCs/>
          <w:sz w:val="26"/>
          <w:szCs w:val="26"/>
        </w:rPr>
        <w:t xml:space="preserve">thường trú hoặc Giấy </w:t>
      </w:r>
      <w:r>
        <w:rPr>
          <w:rStyle w:val="BodyTextChar1"/>
          <w:rFonts w:cs="Times New Roman"/>
          <w:sz w:val="26"/>
          <w:szCs w:val="26"/>
          <w:lang w:eastAsia="vi-VN"/>
        </w:rPr>
        <w:t>xác nhận của cơ quan công an về việc đăng ký thường trú (nếu Sổ hộ khẩu bị thất lạc)</w:t>
      </w:r>
      <w:r>
        <w:rPr>
          <w:bCs/>
          <w:sz w:val="26"/>
          <w:szCs w:val="26"/>
        </w:rPr>
        <w:t>;</w:t>
      </w:r>
    </w:p>
    <w:p>
      <w:pPr>
        <w:pStyle w:val="NormalWeb"/>
        <w:shd w:val="clear" w:fill="FFFFFF"/>
        <w:spacing w:lineRule="auto" w:line="240" w:before="0" w:after="120"/>
        <w:jc w:val="both"/>
        <w:rPr>
          <w:sz w:val="26"/>
          <w:szCs w:val="26"/>
          <w:lang w:val="de-DE"/>
        </w:rPr>
      </w:pPr>
      <w:r>
        <w:rPr>
          <w:sz w:val="26"/>
          <w:szCs w:val="26"/>
          <w:lang w:val="de-DE"/>
        </w:rPr>
        <w:t>- Mức trợ cấp: 140.000đ/tháng.</w:t>
      </w:r>
    </w:p>
    <w:p>
      <w:pPr>
        <w:pStyle w:val="NormalWeb"/>
        <w:shd w:val="clear" w:fill="FFFFFF"/>
        <w:spacing w:lineRule="auto" w:line="240" w:before="0" w:after="120"/>
        <w:jc w:val="both"/>
        <w:rPr/>
      </w:pPr>
      <w:r>
        <w:rPr>
          <w:rStyle w:val="Strong"/>
          <w:i/>
          <w:iCs/>
          <w:sz w:val="26"/>
          <w:szCs w:val="26"/>
          <w:lang w:val="de-DE"/>
        </w:rPr>
        <w:t>1.2. Đối với sinh viên mồ côi cả cha và mẹ, không nơi nương tựa</w:t>
      </w:r>
      <w:r>
        <w:rPr>
          <w:i/>
          <w:sz w:val="26"/>
          <w:szCs w:val="26"/>
          <w:lang w:val="de-DE"/>
        </w:rPr>
        <w:t>:</w:t>
      </w:r>
    </w:p>
    <w:p>
      <w:pPr>
        <w:pStyle w:val="NormalWeb"/>
        <w:shd w:val="clear" w:fill="FFFFFF"/>
        <w:spacing w:lineRule="auto" w:line="240" w:before="0" w:after="120"/>
        <w:jc w:val="both"/>
        <w:rPr>
          <w:sz w:val="26"/>
          <w:szCs w:val="26"/>
          <w:lang w:val="de-DE"/>
        </w:rPr>
      </w:pPr>
      <w:r>
        <w:rPr>
          <w:sz w:val="26"/>
          <w:szCs w:val="26"/>
          <w:lang w:val="de-DE"/>
        </w:rPr>
        <w:t>- Điều kiện: sinh viên là người mồ côi cả cha lẫn mẹ không nơi nương tựa, không có người đỡ đầu chính thức, không có nguồn chu cấp thường xuyên.</w:t>
      </w:r>
    </w:p>
    <w:p>
      <w:pPr>
        <w:pStyle w:val="NormalWeb"/>
        <w:shd w:val="clear" w:fill="FFFFFF"/>
        <w:spacing w:lineRule="auto" w:line="240" w:before="0" w:after="120"/>
        <w:jc w:val="both"/>
        <w:rPr>
          <w:sz w:val="26"/>
          <w:szCs w:val="26"/>
          <w:lang w:val="de-DE"/>
        </w:rPr>
      </w:pPr>
      <w:r>
        <w:rPr>
          <w:sz w:val="26"/>
          <w:szCs w:val="26"/>
          <w:lang w:val="de-DE"/>
        </w:rPr>
        <w:t xml:space="preserve">- Hồ sơ gồm: </w:t>
      </w:r>
    </w:p>
    <w:p>
      <w:pPr>
        <w:pStyle w:val="NormalWeb"/>
        <w:shd w:val="clear" w:fill="FFFFFF"/>
        <w:spacing w:lineRule="auto" w:line="240" w:before="0" w:after="120"/>
        <w:jc w:val="both"/>
        <w:rPr/>
      </w:pPr>
      <w:r>
        <w:rPr>
          <w:sz w:val="26"/>
          <w:szCs w:val="26"/>
          <w:lang w:val="de-DE"/>
        </w:rPr>
        <w:t>+ Đơn đề nghị được hưởng</w:t>
      </w:r>
      <w:r>
        <w:rPr>
          <w:b w:val="false"/>
          <w:bCs w:val="false"/>
          <w:sz w:val="26"/>
          <w:szCs w:val="26"/>
          <w:lang w:val="de-DE"/>
        </w:rPr>
        <w:t xml:space="preserve"> trợ cấp xã hội</w:t>
      </w:r>
      <w:r>
        <w:rPr>
          <w:sz w:val="26"/>
          <w:szCs w:val="26"/>
          <w:lang w:val="de-DE"/>
        </w:rPr>
        <w:t xml:space="preserve"> (</w:t>
      </w:r>
      <w:r>
        <w:rPr>
          <w:rStyle w:val="Emphasis"/>
          <w:sz w:val="26"/>
          <w:szCs w:val="26"/>
          <w:lang w:val="de-DE"/>
        </w:rPr>
        <w:t xml:space="preserve">theo mẫu </w:t>
      </w:r>
      <w:r>
        <w:rPr>
          <w:i/>
          <w:sz w:val="26"/>
          <w:szCs w:val="26"/>
          <w:lang w:val="de-DE"/>
        </w:rPr>
        <w:t>tại Phụ lục V</w:t>
      </w:r>
      <w:r>
        <w:rPr>
          <w:sz w:val="26"/>
          <w:szCs w:val="26"/>
          <w:lang w:val="de-DE"/>
        </w:rPr>
        <w:t xml:space="preserve">); </w:t>
      </w:r>
    </w:p>
    <w:p>
      <w:pPr>
        <w:pStyle w:val="NormalWeb"/>
        <w:shd w:val="clear" w:fill="FFFFFF"/>
        <w:spacing w:lineRule="auto" w:line="240" w:before="0" w:after="120"/>
        <w:jc w:val="both"/>
        <w:rPr/>
      </w:pPr>
      <w:r>
        <w:rPr>
          <w:sz w:val="26"/>
          <w:szCs w:val="26"/>
          <w:lang w:val="de-DE"/>
        </w:rPr>
        <w:t>+ Bản sao Giấy khai sinh của sinh viên;</w:t>
      </w:r>
    </w:p>
    <w:p>
      <w:pPr>
        <w:pStyle w:val="NormalWeb"/>
        <w:shd w:val="clear" w:fill="FFFFFF"/>
        <w:spacing w:lineRule="auto" w:line="240" w:before="0" w:after="120"/>
        <w:jc w:val="both"/>
        <w:rPr/>
      </w:pPr>
      <w:r>
        <w:rPr>
          <w:sz w:val="26"/>
          <w:szCs w:val="26"/>
          <w:lang w:val="de-DE"/>
        </w:rPr>
        <w:t xml:space="preserve">+ Bản sao Giấy chứng tử của cha và mẹ hoặc xác nhận của UBND cấp xã (phường) là cha mẹ đã mất; </w:t>
      </w:r>
    </w:p>
    <w:p>
      <w:pPr>
        <w:pStyle w:val="NormalWeb"/>
        <w:shd w:val="clear" w:fill="FFFFFF"/>
        <w:spacing w:lineRule="auto" w:line="240" w:before="0" w:after="120"/>
        <w:jc w:val="both"/>
        <w:rPr>
          <w:sz w:val="26"/>
          <w:szCs w:val="26"/>
          <w:lang w:val="de-DE"/>
        </w:rPr>
      </w:pPr>
      <w:r>
        <w:rPr>
          <w:sz w:val="26"/>
          <w:szCs w:val="26"/>
          <w:lang w:val="de-DE"/>
        </w:rPr>
        <w:t>+ Xác nhận của cơ quan thương binh xã hội cấp quận, huyện, thị xã trên cơ sở đề nghị của phường, xã nơi sinh viên cư trú: xác nhận sinh viên không có người đỡ đầu chính thức, không có nguồn chu cấp thường xuyên.</w:t>
      </w:r>
    </w:p>
    <w:p>
      <w:pPr>
        <w:pStyle w:val="NormalWeb"/>
        <w:shd w:val="clear" w:fill="FFFFFF"/>
        <w:spacing w:lineRule="auto" w:line="240" w:before="0" w:after="120"/>
        <w:jc w:val="both"/>
        <w:rPr>
          <w:sz w:val="26"/>
          <w:szCs w:val="26"/>
          <w:lang w:val="de-DE"/>
        </w:rPr>
      </w:pPr>
      <w:r>
        <w:rPr>
          <w:sz w:val="26"/>
          <w:szCs w:val="26"/>
          <w:lang w:val="de-DE"/>
        </w:rPr>
        <w:t>- Mức trợ cấp: 100.000đ/tháng.</w:t>
      </w:r>
    </w:p>
    <w:p>
      <w:pPr>
        <w:pStyle w:val="NormalWeb"/>
        <w:shd w:val="clear" w:fill="FFFFFF"/>
        <w:spacing w:lineRule="auto" w:line="240" w:before="0" w:after="120"/>
        <w:jc w:val="both"/>
        <w:rPr/>
      </w:pPr>
      <w:r>
        <w:rPr>
          <w:rStyle w:val="Emphasis"/>
          <w:b/>
          <w:bCs/>
          <w:sz w:val="26"/>
          <w:szCs w:val="26"/>
          <w:lang w:val="de-DE"/>
        </w:rPr>
        <w:t>1.3. Đối với sinh viên là người tàn tật và có hoàn cảnh kinh tế gia đình khó khăn:</w:t>
      </w:r>
    </w:p>
    <w:p>
      <w:pPr>
        <w:pStyle w:val="NormalWeb"/>
        <w:shd w:val="clear" w:fill="FFFFFF"/>
        <w:spacing w:lineRule="auto" w:line="240" w:before="0" w:after="120"/>
        <w:jc w:val="both"/>
        <w:rPr/>
      </w:pPr>
      <w:r>
        <w:rPr>
          <w:sz w:val="26"/>
          <w:szCs w:val="26"/>
          <w:lang w:val="de-DE"/>
        </w:rPr>
        <w:t>- Điều kiện: Sinh viên là người gặp khó khăn về kinh tế, khả năng lao động bị suy giảm từ 41% trở lên do tàn tật và được Hội đồng y khoa có thẩm quyền xác nhận.</w:t>
      </w:r>
    </w:p>
    <w:p>
      <w:pPr>
        <w:pStyle w:val="NormalWeb"/>
        <w:shd w:val="clear" w:fill="FFFFFF"/>
        <w:spacing w:lineRule="auto" w:line="240" w:before="0" w:after="120"/>
        <w:jc w:val="both"/>
        <w:rPr>
          <w:sz w:val="26"/>
          <w:szCs w:val="26"/>
          <w:lang w:val="de-DE"/>
        </w:rPr>
      </w:pPr>
      <w:r>
        <w:rPr>
          <w:sz w:val="26"/>
          <w:szCs w:val="26"/>
          <w:lang w:val="de-DE"/>
        </w:rPr>
        <w:t xml:space="preserve">- Hồ sơ gồm: </w:t>
      </w:r>
    </w:p>
    <w:p>
      <w:pPr>
        <w:pStyle w:val="NormalWeb"/>
        <w:shd w:val="clear" w:fill="FFFFFF"/>
        <w:spacing w:lineRule="auto" w:line="240" w:before="0" w:after="120"/>
        <w:jc w:val="both"/>
        <w:rPr/>
      </w:pPr>
      <w:r>
        <w:rPr>
          <w:sz w:val="26"/>
          <w:szCs w:val="26"/>
          <w:lang w:val="de-DE"/>
        </w:rPr>
        <w:t xml:space="preserve">+ Đơn đề nghị được hưởng </w:t>
      </w:r>
      <w:r>
        <w:rPr>
          <w:b w:val="false"/>
          <w:bCs w:val="false"/>
          <w:sz w:val="26"/>
          <w:szCs w:val="26"/>
          <w:lang w:val="de-DE"/>
        </w:rPr>
        <w:t>trợ cấp xã hội</w:t>
      </w:r>
      <w:r>
        <w:rPr>
          <w:sz w:val="26"/>
          <w:szCs w:val="26"/>
          <w:lang w:val="de-DE"/>
        </w:rPr>
        <w:t xml:space="preserve"> </w:t>
      </w:r>
      <w:r>
        <w:rPr>
          <w:i/>
          <w:sz w:val="26"/>
          <w:szCs w:val="26"/>
          <w:lang w:val="de-DE"/>
        </w:rPr>
        <w:t>(theo mẫu tại Phụ lục V)</w:t>
      </w:r>
      <w:r>
        <w:rPr>
          <w:sz w:val="26"/>
          <w:szCs w:val="26"/>
          <w:lang w:val="de-DE"/>
        </w:rPr>
        <w:t xml:space="preserve">; </w:t>
      </w:r>
    </w:p>
    <w:p>
      <w:pPr>
        <w:pStyle w:val="NormalWeb"/>
        <w:shd w:val="clear" w:fill="FFFFFF"/>
        <w:spacing w:lineRule="auto" w:line="240" w:before="0" w:after="120"/>
        <w:jc w:val="both"/>
        <w:rPr>
          <w:sz w:val="26"/>
          <w:szCs w:val="26"/>
          <w:lang w:val="de-DE"/>
        </w:rPr>
      </w:pPr>
      <w:r>
        <w:rPr>
          <w:sz w:val="26"/>
          <w:szCs w:val="26"/>
          <w:lang w:val="de-DE"/>
        </w:rPr>
        <w:t xml:space="preserve">+ Biên bản giám định thương tật của Hội đồng Y khoa có thẩm quyền; </w:t>
      </w:r>
    </w:p>
    <w:p>
      <w:pPr>
        <w:pStyle w:val="NormalWeb"/>
        <w:shd w:val="clear" w:fill="FFFFFF"/>
        <w:spacing w:lineRule="auto" w:line="240" w:before="0" w:after="120"/>
        <w:jc w:val="both"/>
        <w:rPr>
          <w:sz w:val="26"/>
          <w:szCs w:val="26"/>
          <w:lang w:val="de-DE"/>
        </w:rPr>
      </w:pPr>
      <w:r>
        <w:rPr>
          <w:sz w:val="26"/>
          <w:szCs w:val="26"/>
          <w:lang w:val="de-DE"/>
        </w:rPr>
        <w:t>+ Giấy xác nhận hoàn cảnh gia đình khó khăn của UBND cấp Xã (Phường).</w:t>
      </w:r>
    </w:p>
    <w:p>
      <w:pPr>
        <w:pStyle w:val="NormalWeb"/>
        <w:shd w:val="clear" w:fill="FFFFFF"/>
        <w:spacing w:lineRule="auto" w:line="240" w:before="0" w:after="120"/>
        <w:jc w:val="both"/>
        <w:rPr>
          <w:sz w:val="26"/>
          <w:szCs w:val="26"/>
          <w:lang w:val="de-DE"/>
        </w:rPr>
      </w:pPr>
      <w:r>
        <w:rPr>
          <w:sz w:val="26"/>
          <w:szCs w:val="26"/>
          <w:lang w:val="de-DE"/>
        </w:rPr>
        <w:t>- Mức trợ cấp: 100.000đ/tháng.</w:t>
      </w:r>
    </w:p>
    <w:p>
      <w:pPr>
        <w:pStyle w:val="NormalWeb"/>
        <w:shd w:val="clear" w:fill="FFFFFF"/>
        <w:spacing w:lineRule="auto" w:line="240" w:before="0" w:after="120"/>
        <w:jc w:val="both"/>
        <w:rPr>
          <w:rStyle w:val="Emphasis"/>
          <w:b/>
          <w:bCs/>
          <w:i w:val="false"/>
          <w:i w:val="false"/>
          <w:sz w:val="26"/>
          <w:szCs w:val="26"/>
          <w:lang w:val="de-DE"/>
        </w:rPr>
      </w:pPr>
      <w:r>
        <w:rPr>
          <w:rStyle w:val="Strong"/>
          <w:i/>
          <w:iCs/>
          <w:sz w:val="26"/>
          <w:szCs w:val="26"/>
          <w:lang w:val="de-DE"/>
        </w:rPr>
        <w:t xml:space="preserve">1.4. Đối với sinh viên nghèo </w:t>
      </w:r>
      <w:r>
        <w:rPr>
          <w:rStyle w:val="Emphasis"/>
          <w:b/>
          <w:bCs/>
          <w:sz w:val="26"/>
          <w:szCs w:val="26"/>
          <w:lang w:val="de-DE"/>
        </w:rPr>
        <w:t>vượt khó học tập:</w:t>
      </w:r>
    </w:p>
    <w:p>
      <w:pPr>
        <w:pStyle w:val="NormalWeb"/>
        <w:shd w:val="clear" w:fill="FFFFFF"/>
        <w:spacing w:lineRule="auto" w:line="240" w:before="0" w:after="120"/>
        <w:jc w:val="both"/>
        <w:rPr/>
      </w:pPr>
      <w:r>
        <w:rPr>
          <w:sz w:val="26"/>
          <w:szCs w:val="26"/>
          <w:lang w:val="de-DE"/>
        </w:rPr>
        <w:t>- Điều kiện: Sinh viên có gia đình thuộc diện hộ nghèo, đồng thời có Điểm trung bình chung học kỳ đạt loại Khá trở lên và rèn luyện đạt từ loại Tốt trở lên, không bị kỷ luật từ mức khiển trách trở lên trong học kỳ xét trợ cấp. Trong đó: Điểm trung bình chung học tập của học kỳ xét</w:t>
      </w:r>
      <w:r>
        <w:rPr>
          <w:b w:val="false"/>
          <w:bCs w:val="false"/>
          <w:sz w:val="26"/>
          <w:szCs w:val="26"/>
          <w:lang w:val="de-DE"/>
        </w:rPr>
        <w:t xml:space="preserve"> trợ cấp xã hội t</w:t>
      </w:r>
      <w:r>
        <w:rPr>
          <w:sz w:val="26"/>
          <w:szCs w:val="26"/>
          <w:lang w:val="de-DE"/>
        </w:rPr>
        <w:t>ính theo kết quả tổng kết học phần môn học ở lần thi thứ nhất các môn học lần đầu sinh viên đăng ký học trong học kỳ (gồm kỳ chính, kỳ song song và kỳ hè tổ chức trong kỳ chính đó, không bao gồm các môn học: Giáo dục thể chất, Giáo dục quốc phòng, các môn học thuộc chương trình đào tạo thứ hai), cụ thể:</w:t>
      </w:r>
    </w:p>
    <w:p>
      <w:pPr>
        <w:pStyle w:val="Normal"/>
        <w:shd w:val="clear" w:fill="FFFFFF"/>
        <w:spacing w:before="0" w:after="120"/>
        <w:jc w:val="both"/>
        <w:rPr/>
      </w:pPr>
      <w:r>
        <w:rPr>
          <w:sz w:val="26"/>
          <w:szCs w:val="26"/>
          <w:lang w:val="de-DE"/>
        </w:rPr>
        <w:t xml:space="preserve">+ Kết quả tổng kết học phần môn học ở lần thi thứ nhất các tín chỉ môn học lần đầu không có điểm F; </w:t>
      </w:r>
    </w:p>
    <w:p>
      <w:pPr>
        <w:pStyle w:val="Normal"/>
        <w:shd w:val="clear" w:fill="FFFFFF"/>
        <w:spacing w:before="0" w:after="120"/>
        <w:jc w:val="both"/>
        <w:rPr/>
      </w:pPr>
      <w:r>
        <w:rPr>
          <w:sz w:val="26"/>
          <w:szCs w:val="26"/>
          <w:lang w:val="de-DE"/>
        </w:rPr>
        <w:t xml:space="preserve">+ Số tín chỉ môn học lần đầu đăng ký học &amp; thi trong kỳ phải tối thiểu 15 tín chỉ; hoặc bằng số tín chỉ tối đa mở cho ngành đó ở mỗi học kỳ (gồm kỳ chính &amp; kỳ song song và kỳ hè mở trong kỳ chính đó) nếu số tín chỉ tối đa mở cho ngành học đó trong học kỳ nhỏ hơn 15 tín chỉ (riêng học kỳ cuối sẽ tính với số tín chỉ của Học phần tốt nghiệp). Với những sinh viên có số tín chỉ môn học lần đầu học ít hơn số tín chỉ quy định ở học kỳ xét </w:t>
      </w:r>
      <w:r>
        <w:rPr>
          <w:b w:val="false"/>
          <w:bCs w:val="false"/>
          <w:sz w:val="26"/>
          <w:szCs w:val="26"/>
          <w:lang w:val="de-DE"/>
        </w:rPr>
        <w:t xml:space="preserve">trợ cấp xã hội </w:t>
      </w:r>
      <w:r>
        <w:rPr>
          <w:sz w:val="26"/>
          <w:szCs w:val="26"/>
          <w:lang w:val="de-DE"/>
        </w:rPr>
        <w:t xml:space="preserve">(do đã học vượt một số môn ở kỳ trước) nếu có số tín chỉ tích lũy đến thời điểm xét ít nhất bằng số tín chỉ tích lũy quy định theo chương trình đào tạo cũng sẽ được xét </w:t>
      </w:r>
      <w:r>
        <w:rPr>
          <w:b w:val="false"/>
          <w:bCs w:val="false"/>
          <w:sz w:val="26"/>
          <w:szCs w:val="26"/>
          <w:lang w:val="de-DE"/>
        </w:rPr>
        <w:t>trợ cấp xã hội.</w:t>
      </w:r>
    </w:p>
    <w:p>
      <w:pPr>
        <w:pStyle w:val="NormalWeb"/>
        <w:shd w:val="clear" w:fill="FFFFFF"/>
        <w:spacing w:lineRule="auto" w:line="240" w:before="0" w:after="120"/>
        <w:jc w:val="both"/>
        <w:rPr>
          <w:sz w:val="26"/>
          <w:szCs w:val="26"/>
          <w:lang w:val="de-DE"/>
        </w:rPr>
      </w:pPr>
      <w:r>
        <w:rPr>
          <w:sz w:val="26"/>
          <w:szCs w:val="26"/>
          <w:lang w:val="de-DE"/>
        </w:rPr>
        <w:t xml:space="preserve">- Hồ sơ gồm: </w:t>
      </w:r>
    </w:p>
    <w:p>
      <w:pPr>
        <w:pStyle w:val="NormalWeb"/>
        <w:shd w:val="clear" w:fill="FFFFFF"/>
        <w:spacing w:lineRule="auto" w:line="240" w:before="0" w:after="120"/>
        <w:jc w:val="both"/>
        <w:rPr/>
      </w:pPr>
      <w:r>
        <w:rPr>
          <w:sz w:val="26"/>
          <w:szCs w:val="26"/>
          <w:lang w:val="de-DE"/>
        </w:rPr>
        <w:t>+ Đơn đề nghị được hưởng</w:t>
      </w:r>
      <w:r>
        <w:rPr>
          <w:b w:val="false"/>
          <w:bCs w:val="false"/>
          <w:sz w:val="26"/>
          <w:szCs w:val="26"/>
          <w:lang w:val="de-DE"/>
        </w:rPr>
        <w:t xml:space="preserve"> trợ cấp xã hội </w:t>
      </w:r>
      <w:r>
        <w:rPr>
          <w:i/>
          <w:sz w:val="26"/>
          <w:szCs w:val="26"/>
          <w:lang w:val="de-DE"/>
        </w:rPr>
        <w:t>(theo mẫu tại Phụ lục V)</w:t>
      </w:r>
      <w:r>
        <w:rPr>
          <w:sz w:val="26"/>
          <w:szCs w:val="26"/>
          <w:lang w:val="de-DE"/>
        </w:rPr>
        <w:t xml:space="preserve">; </w:t>
      </w:r>
    </w:p>
    <w:p>
      <w:pPr>
        <w:pStyle w:val="NormalWeb"/>
        <w:shd w:val="clear" w:fill="FFFFFF"/>
        <w:spacing w:lineRule="auto" w:line="240" w:before="0" w:after="120"/>
        <w:jc w:val="both"/>
        <w:rPr>
          <w:sz w:val="26"/>
          <w:szCs w:val="26"/>
          <w:lang w:val="de-DE"/>
        </w:rPr>
      </w:pPr>
      <w:r>
        <w:rPr>
          <w:sz w:val="26"/>
          <w:szCs w:val="26"/>
          <w:lang w:val="de-DE"/>
        </w:rPr>
        <w:t>+ Giấy chứng nhận sinh viên thuộc hộ nghèo do UBND cấp xã xác nhận.</w:t>
      </w:r>
    </w:p>
    <w:p>
      <w:pPr>
        <w:pStyle w:val="NormalWeb"/>
        <w:shd w:val="clear" w:fill="FFFFFF"/>
        <w:spacing w:lineRule="auto" w:line="240" w:before="0" w:after="120"/>
        <w:jc w:val="both"/>
        <w:rPr>
          <w:sz w:val="26"/>
          <w:szCs w:val="26"/>
          <w:lang w:val="de-DE"/>
        </w:rPr>
      </w:pPr>
      <w:r>
        <w:rPr>
          <w:sz w:val="26"/>
          <w:szCs w:val="26"/>
          <w:lang w:val="de-DE"/>
        </w:rPr>
        <w:t>- Mức trợ cấp 100.000đ/tháng.</w:t>
      </w:r>
    </w:p>
    <w:p>
      <w:pPr>
        <w:pStyle w:val="Footer"/>
        <w:tabs>
          <w:tab w:val="clear" w:pos="4320"/>
          <w:tab w:val="clear" w:pos="8640"/>
        </w:tabs>
        <w:spacing w:before="0" w:after="120"/>
        <w:jc w:val="both"/>
        <w:rPr/>
      </w:pPr>
      <w:r>
        <w:rPr>
          <w:b/>
          <w:sz w:val="26"/>
          <w:szCs w:val="26"/>
          <w:lang w:val="de-DE"/>
        </w:rPr>
        <w:t>2. Thời gian hưởng trợ cấp xã hội:</w:t>
      </w:r>
    </w:p>
    <w:p>
      <w:pPr>
        <w:pStyle w:val="Footer"/>
        <w:tabs>
          <w:tab w:val="clear" w:pos="4320"/>
          <w:tab w:val="clear" w:pos="8640"/>
        </w:tabs>
        <w:spacing w:before="0" w:after="120"/>
        <w:jc w:val="both"/>
        <w:rPr>
          <w:b/>
          <w:i/>
          <w:i/>
          <w:sz w:val="26"/>
          <w:szCs w:val="26"/>
          <w:lang w:val="de-DE"/>
        </w:rPr>
      </w:pPr>
      <w:r>
        <w:rPr>
          <w:b/>
          <w:i/>
          <w:sz w:val="26"/>
          <w:szCs w:val="26"/>
          <w:lang w:val="de-DE"/>
        </w:rPr>
        <w:t xml:space="preserve">* Đối với sinh viên học bình thường: </w:t>
      </w:r>
    </w:p>
    <w:p>
      <w:pPr>
        <w:pStyle w:val="Footer"/>
        <w:tabs>
          <w:tab w:val="clear" w:pos="4320"/>
          <w:tab w:val="clear" w:pos="8640"/>
        </w:tabs>
        <w:spacing w:before="0" w:after="120"/>
        <w:jc w:val="both"/>
        <w:rPr>
          <w:b w:val="false"/>
          <w:bCs w:val="false"/>
        </w:rPr>
      </w:pPr>
      <w:r>
        <w:rPr>
          <w:b w:val="false"/>
          <w:bCs w:val="false"/>
          <w:sz w:val="26"/>
          <w:szCs w:val="26"/>
          <w:lang w:val="de-DE"/>
        </w:rPr>
        <w:t>- Trong một năm trợ cấp xã hội được cấp đủ 12 tháng. Đối với thời gian học năm cuối không đủ 12 tháng thì trợ cấp xã hội được cấp theo số tháng thực học của năm học đó.</w:t>
      </w:r>
    </w:p>
    <w:p>
      <w:pPr>
        <w:pStyle w:val="Footer"/>
        <w:tabs>
          <w:tab w:val="clear" w:pos="4320"/>
          <w:tab w:val="clear" w:pos="8640"/>
        </w:tabs>
        <w:spacing w:before="0" w:after="120"/>
        <w:jc w:val="both"/>
        <w:rPr>
          <w:b w:val="false"/>
          <w:bCs w:val="false"/>
        </w:rPr>
      </w:pPr>
      <w:r>
        <w:rPr>
          <w:b w:val="false"/>
          <w:bCs w:val="false"/>
          <w:sz w:val="26"/>
          <w:szCs w:val="26"/>
          <w:lang w:val="de-DE"/>
        </w:rPr>
        <w:t>- Trợ cấp xã hội được cấp hai lần trong năm, mỗi lần cấp 6 tháng, cụ thể như sau:</w:t>
      </w:r>
    </w:p>
    <w:p>
      <w:pPr>
        <w:pStyle w:val="Footer"/>
        <w:tabs>
          <w:tab w:val="clear" w:pos="4320"/>
          <w:tab w:val="clear" w:pos="8640"/>
        </w:tabs>
        <w:spacing w:before="0" w:after="120"/>
        <w:jc w:val="both"/>
        <w:rPr>
          <w:b w:val="false"/>
          <w:bCs w:val="false"/>
        </w:rPr>
      </w:pPr>
      <w:r>
        <w:rPr>
          <w:b w:val="false"/>
          <w:bCs w:val="false"/>
          <w:sz w:val="26"/>
          <w:szCs w:val="26"/>
          <w:lang w:val="de-DE"/>
        </w:rPr>
        <w:t>+ Lần thứ nhất cấp vào tháng 10 hàng năm;</w:t>
      </w:r>
    </w:p>
    <w:p>
      <w:pPr>
        <w:pStyle w:val="Footer"/>
        <w:tabs>
          <w:tab w:val="clear" w:pos="4320"/>
          <w:tab w:val="clear" w:pos="8640"/>
        </w:tabs>
        <w:spacing w:before="0" w:after="120"/>
        <w:jc w:val="both"/>
        <w:rPr>
          <w:b w:val="false"/>
          <w:bCs w:val="false"/>
        </w:rPr>
      </w:pPr>
      <w:r>
        <w:rPr>
          <w:b w:val="false"/>
          <w:bCs w:val="false"/>
          <w:sz w:val="26"/>
          <w:szCs w:val="26"/>
          <w:lang w:val="de-DE"/>
        </w:rPr>
        <w:t xml:space="preserve">+ Lần thứ hai cấp vào tháng 3 hàng năm. </w:t>
      </w:r>
    </w:p>
    <w:p>
      <w:pPr>
        <w:pStyle w:val="Footer"/>
        <w:tabs>
          <w:tab w:val="clear" w:pos="4320"/>
          <w:tab w:val="clear" w:pos="8640"/>
        </w:tabs>
        <w:spacing w:before="0" w:after="120"/>
        <w:jc w:val="both"/>
        <w:rPr>
          <w:b w:val="false"/>
          <w:bCs w:val="false"/>
        </w:rPr>
      </w:pPr>
      <w:r>
        <w:rPr>
          <w:b w:val="false"/>
          <w:bCs w:val="false"/>
          <w:sz w:val="26"/>
          <w:szCs w:val="26"/>
          <w:lang w:val="de-DE"/>
        </w:rPr>
        <w:t>Riêng đối với sinh viên mới nhập học, lần cấp trợ cấp xã hội thứ nhất của khóa học sẽ cấp vào tháng 3 của năm liền sau.</w:t>
      </w:r>
    </w:p>
    <w:p>
      <w:pPr>
        <w:pStyle w:val="Footer"/>
        <w:tabs>
          <w:tab w:val="clear" w:pos="4320"/>
          <w:tab w:val="clear" w:pos="8640"/>
        </w:tabs>
        <w:spacing w:before="0" w:after="120"/>
        <w:jc w:val="both"/>
        <w:rPr>
          <w:b/>
          <w:i/>
          <w:i/>
          <w:sz w:val="26"/>
          <w:szCs w:val="26"/>
          <w:lang w:val="de-DE"/>
        </w:rPr>
      </w:pPr>
      <w:r>
        <w:rPr>
          <w:b/>
          <w:i/>
          <w:sz w:val="26"/>
          <w:szCs w:val="26"/>
          <w:lang w:val="de-DE"/>
        </w:rPr>
        <w:t>* Đối với sinh viên thuộc diện dừng học:</w:t>
      </w:r>
    </w:p>
    <w:p>
      <w:pPr>
        <w:pStyle w:val="Footer"/>
        <w:tabs>
          <w:tab w:val="clear" w:pos="4320"/>
          <w:tab w:val="clear" w:pos="8640"/>
        </w:tabs>
        <w:spacing w:before="0" w:after="120"/>
        <w:jc w:val="both"/>
        <w:rPr>
          <w:sz w:val="26"/>
          <w:szCs w:val="26"/>
          <w:lang w:val="de-DE"/>
        </w:rPr>
      </w:pPr>
      <w:r>
        <w:rPr>
          <w:sz w:val="26"/>
          <w:szCs w:val="26"/>
          <w:lang w:val="de-DE"/>
        </w:rPr>
        <w:t>- Sinh viên dừng học do ốm đau, tai nạn: được hưởng</w:t>
      </w:r>
      <w:r>
        <w:rPr>
          <w:b w:val="false"/>
          <w:bCs w:val="false"/>
          <w:sz w:val="26"/>
          <w:szCs w:val="26"/>
          <w:lang w:val="de-DE"/>
        </w:rPr>
        <w:t xml:space="preserve"> trợ cấp xã hội</w:t>
      </w:r>
      <w:r>
        <w:rPr>
          <w:sz w:val="26"/>
          <w:szCs w:val="26"/>
          <w:lang w:val="de-DE"/>
        </w:rPr>
        <w:t xml:space="preserve"> như sinh viên học bình thường.</w:t>
      </w:r>
    </w:p>
    <w:p>
      <w:pPr>
        <w:pStyle w:val="Normal"/>
        <w:spacing w:before="0" w:after="120"/>
        <w:jc w:val="both"/>
        <w:rPr>
          <w:b/>
          <w:sz w:val="26"/>
          <w:szCs w:val="26"/>
          <w:lang w:val="de-DE"/>
        </w:rPr>
      </w:pPr>
      <w:r>
        <w:rPr>
          <w:sz w:val="26"/>
          <w:szCs w:val="26"/>
          <w:lang w:val="de-DE"/>
        </w:rPr>
        <w:t xml:space="preserve">- Sinh viên dừng học vì lý do cá nhân hoặc bị đình chỉ học tập do kỷ luật: không được hưởng </w:t>
      </w:r>
      <w:r>
        <w:rPr>
          <w:b w:val="false"/>
          <w:bCs w:val="false"/>
          <w:sz w:val="26"/>
          <w:szCs w:val="26"/>
          <w:lang w:val="de-DE"/>
        </w:rPr>
        <w:t xml:space="preserve">trợ cấp xã hội </w:t>
      </w:r>
      <w:r>
        <w:rPr>
          <w:sz w:val="26"/>
          <w:szCs w:val="26"/>
          <w:lang w:val="de-DE"/>
        </w:rPr>
        <w:t>trong thời gian dừng học hoặc bị đình chỉ. Khi sinh viên được nhập học lại sau khi h</w:t>
      </w:r>
      <w:r>
        <w:rPr>
          <w:rFonts w:eastAsia="MingLiU;細明體"/>
          <w:sz w:val="26"/>
          <w:szCs w:val="26"/>
          <w:lang w:val="de-DE"/>
        </w:rPr>
        <w:t>ế</w:t>
      </w:r>
      <w:r>
        <w:rPr>
          <w:sz w:val="26"/>
          <w:szCs w:val="26"/>
          <w:lang w:val="de-DE"/>
        </w:rPr>
        <w:t xml:space="preserve">t thời hạn kỷ luật, Nhà trường sẽ tiếp tục cấp TCXH cho sinh viên. </w:t>
      </w:r>
    </w:p>
    <w:p>
      <w:pPr>
        <w:pStyle w:val="Footer"/>
        <w:tabs>
          <w:tab w:val="clear" w:pos="4320"/>
          <w:tab w:val="clear" w:pos="8640"/>
        </w:tabs>
        <w:spacing w:before="0" w:after="120"/>
        <w:jc w:val="both"/>
        <w:rPr>
          <w:b/>
          <w:i/>
          <w:i/>
          <w:sz w:val="26"/>
          <w:szCs w:val="26"/>
          <w:lang w:val="de-DE"/>
        </w:rPr>
      </w:pPr>
      <w:r>
        <w:rPr>
          <w:b/>
          <w:i/>
          <w:sz w:val="26"/>
          <w:szCs w:val="26"/>
          <w:lang w:val="de-DE"/>
        </w:rPr>
        <w:t>* Đối với sinh viên thuộc diện thôi học:</w:t>
      </w:r>
    </w:p>
    <w:p>
      <w:pPr>
        <w:pStyle w:val="Normal"/>
        <w:spacing w:before="0" w:after="120"/>
        <w:contextualSpacing/>
        <w:jc w:val="both"/>
        <w:rPr>
          <w:sz w:val="26"/>
          <w:szCs w:val="26"/>
          <w:lang w:val="de-DE"/>
        </w:rPr>
      </w:pPr>
      <w:r>
        <w:rPr>
          <w:sz w:val="26"/>
          <w:szCs w:val="26"/>
          <w:lang w:val="de-DE"/>
        </w:rPr>
        <w:t xml:space="preserve">Sinh viên tự thôi học hoặc bị kỷ luật buộc thôi học: không được nhận </w:t>
      </w:r>
      <w:r>
        <w:rPr>
          <w:b w:val="false"/>
          <w:bCs w:val="false"/>
          <w:sz w:val="26"/>
          <w:szCs w:val="26"/>
          <w:lang w:val="de-DE"/>
        </w:rPr>
        <w:t>trợ cấp xã hội,</w:t>
      </w:r>
      <w:r>
        <w:rPr>
          <w:sz w:val="26"/>
          <w:szCs w:val="26"/>
          <w:lang w:val="de-DE"/>
        </w:rPr>
        <w:t xml:space="preserve"> kể từ thời điểm thôi học. </w:t>
      </w:r>
    </w:p>
    <w:p>
      <w:pPr>
        <w:pStyle w:val="BodyText2"/>
        <w:spacing w:lineRule="auto" w:line="240" w:before="0" w:after="120"/>
        <w:rPr/>
      </w:pPr>
      <w:r>
        <w:rPr>
          <w:rFonts w:cs="Times New Roman" w:ascii="Times New Roman" w:hAnsi="Times New Roman"/>
          <w:b/>
          <w:sz w:val="26"/>
          <w:szCs w:val="26"/>
          <w:lang w:val="de-DE"/>
        </w:rPr>
        <w:t xml:space="preserve">Điều 17. Thủ tục thực hiện </w:t>
      </w:r>
    </w:p>
    <w:p>
      <w:pPr>
        <w:pStyle w:val="BodyText2"/>
        <w:spacing w:lineRule="auto" w:line="240" w:before="0" w:after="120"/>
        <w:rPr/>
      </w:pPr>
      <w:r>
        <w:rPr>
          <w:rFonts w:cs="Times New Roman" w:ascii="Times New Roman" w:hAnsi="Times New Roman"/>
          <w:sz w:val="26"/>
          <w:szCs w:val="26"/>
          <w:lang w:val="de-DE"/>
        </w:rPr>
        <w:t xml:space="preserve">1. Sinh viên </w:t>
      </w:r>
      <w:r>
        <w:rPr>
          <w:rFonts w:cs="Times New Roman" w:ascii="Times New Roman" w:hAnsi="Times New Roman"/>
          <w:i/>
          <w:sz w:val="26"/>
          <w:szCs w:val="26"/>
          <w:lang w:val="de-DE"/>
        </w:rPr>
        <w:t>(thuộc đối tượng 1.1, 1.2, 1.3 tại khoản 1 Điều 16)</w:t>
      </w:r>
      <w:r>
        <w:rPr>
          <w:rFonts w:cs="Times New Roman" w:ascii="Times New Roman" w:hAnsi="Times New Roman"/>
          <w:sz w:val="26"/>
          <w:szCs w:val="26"/>
          <w:lang w:val="de-DE"/>
        </w:rPr>
        <w:t>: nộp hồ sơ xin hưởng TCXH duy nhất một lần trong toàn khóa học theo quy định. Nhà trường sẽ xét cấp TCXH cho sinh viên đủ điều kiện tính từ thời điểm sinh viên nộp hồ sơ cho đến khi kết thúc khóa học (nếu không có sự thay đổi về đối tượng TCXH).</w:t>
      </w:r>
    </w:p>
    <w:p>
      <w:pPr>
        <w:pStyle w:val="BodyText2"/>
        <w:spacing w:lineRule="auto" w:line="240" w:before="0" w:after="120"/>
        <w:rPr/>
      </w:pPr>
      <w:r>
        <w:rPr>
          <w:rFonts w:cs="Times New Roman" w:ascii="Times New Roman" w:hAnsi="Times New Roman"/>
          <w:sz w:val="26"/>
          <w:szCs w:val="26"/>
          <w:lang w:val="de-DE"/>
        </w:rPr>
        <w:t xml:space="preserve">2. Sinh viên </w:t>
      </w:r>
      <w:r>
        <w:rPr>
          <w:rFonts w:cs="Times New Roman" w:ascii="Times New Roman" w:hAnsi="Times New Roman"/>
          <w:i/>
          <w:sz w:val="26"/>
          <w:szCs w:val="26"/>
          <w:lang w:val="de-DE"/>
        </w:rPr>
        <w:t>(thuộc đối tượng 1.4 tại khoản 1 Điều 16)</w:t>
      </w:r>
      <w:r>
        <w:rPr>
          <w:rFonts w:cs="Times New Roman" w:ascii="Times New Roman" w:hAnsi="Times New Roman"/>
          <w:sz w:val="26"/>
          <w:szCs w:val="26"/>
          <w:lang w:val="de-DE"/>
        </w:rPr>
        <w:t>: nộp hồ sơ mỗi kỳ một lần theo quy định, sau khi có kết quả học tập và rèn luyện của học kỳ trước liền kề. Nhà trường sẽ xét cấp TCXH cho sinh viên theo từng học kỳ.</w:t>
      </w:r>
    </w:p>
    <w:p>
      <w:pPr>
        <w:pStyle w:val="Normal"/>
        <w:spacing w:before="0" w:after="120"/>
        <w:jc w:val="both"/>
        <w:rPr>
          <w:b/>
          <w:sz w:val="26"/>
          <w:szCs w:val="26"/>
          <w:lang w:val="de-DE"/>
        </w:rPr>
      </w:pPr>
      <w:r>
        <w:rPr>
          <w:sz w:val="26"/>
          <w:szCs w:val="26"/>
          <w:lang w:val="de-DE"/>
        </w:rPr>
        <w:t>3. Sinh viên thuộc đối tượng được hưởng TCXH không có đơn đ</w:t>
      </w:r>
      <w:r>
        <w:rPr>
          <w:rFonts w:eastAsia="MingLiU;細明體"/>
          <w:sz w:val="26"/>
          <w:szCs w:val="26"/>
          <w:lang w:val="de-DE"/>
        </w:rPr>
        <w:t>ề</w:t>
      </w:r>
      <w:r>
        <w:rPr>
          <w:sz w:val="26"/>
          <w:szCs w:val="26"/>
          <w:lang w:val="de-DE"/>
        </w:rPr>
        <w:t xml:space="preserve"> nghị kèm theo đầy đủ các giấy tờ cần thi</w:t>
      </w:r>
      <w:r>
        <w:rPr>
          <w:rFonts w:eastAsia="MingLiU;細明體"/>
          <w:sz w:val="26"/>
          <w:szCs w:val="26"/>
          <w:lang w:val="de-DE"/>
        </w:rPr>
        <w:t>ế</w:t>
      </w:r>
      <w:r>
        <w:rPr>
          <w:sz w:val="26"/>
          <w:szCs w:val="26"/>
          <w:lang w:val="de-DE"/>
        </w:rPr>
        <w:t>t theo quy định thì chỉ được hưởng TCXH tính từ ngày sinh viên nộp đầy đủ hồ sơ; không giải quy</w:t>
      </w:r>
      <w:r>
        <w:rPr>
          <w:rFonts w:eastAsia="MingLiU;細明體"/>
          <w:sz w:val="26"/>
          <w:szCs w:val="26"/>
          <w:lang w:val="de-DE"/>
        </w:rPr>
        <w:t>ế</w:t>
      </w:r>
      <w:r>
        <w:rPr>
          <w:sz w:val="26"/>
          <w:szCs w:val="26"/>
          <w:lang w:val="de-DE"/>
        </w:rPr>
        <w:t>t cấp TCXH đối với thời gian đã học từ trước thời điểm sinh viên gửi đơn đ</w:t>
      </w:r>
      <w:r>
        <w:rPr>
          <w:rFonts w:eastAsia="MingLiU;細明體"/>
          <w:sz w:val="26"/>
          <w:szCs w:val="26"/>
          <w:lang w:val="de-DE"/>
        </w:rPr>
        <w:t>ề</w:t>
      </w:r>
      <w:r>
        <w:rPr>
          <w:sz w:val="26"/>
          <w:szCs w:val="26"/>
          <w:lang w:val="de-DE"/>
        </w:rPr>
        <w:t xml:space="preserve"> nghị kèm theo các giấy tờ cần thi</w:t>
      </w:r>
      <w:r>
        <w:rPr>
          <w:rFonts w:eastAsia="MingLiU;細明體"/>
          <w:sz w:val="26"/>
          <w:szCs w:val="26"/>
          <w:lang w:val="de-DE"/>
        </w:rPr>
        <w:t>ế</w:t>
      </w:r>
      <w:r>
        <w:rPr>
          <w:sz w:val="26"/>
          <w:szCs w:val="26"/>
          <w:lang w:val="de-DE"/>
        </w:rPr>
        <w:t>t có liên quan.</w:t>
      </w:r>
    </w:p>
    <w:p>
      <w:pPr>
        <w:pStyle w:val="Normal"/>
        <w:spacing w:before="0" w:after="120"/>
        <w:contextualSpacing/>
        <w:jc w:val="both"/>
        <w:rPr>
          <w:b/>
          <w:bCs/>
          <w:sz w:val="26"/>
          <w:szCs w:val="26"/>
          <w:lang w:val="de-DE"/>
        </w:rPr>
      </w:pPr>
      <w:r>
        <w:rPr>
          <w:b/>
          <w:bCs/>
          <w:sz w:val="26"/>
          <w:szCs w:val="26"/>
          <w:lang w:val="de-DE"/>
        </w:rPr>
      </w:r>
    </w:p>
    <w:p>
      <w:pPr>
        <w:pStyle w:val="Normal"/>
        <w:spacing w:before="0" w:after="120"/>
        <w:contextualSpacing/>
        <w:jc w:val="both"/>
        <w:rPr>
          <w:b/>
          <w:bCs/>
          <w:sz w:val="26"/>
          <w:szCs w:val="26"/>
        </w:rPr>
      </w:pPr>
      <w:r>
        <w:rPr>
          <w:b/>
          <w:bCs/>
          <w:sz w:val="26"/>
          <w:szCs w:val="26"/>
        </w:rPr>
      </w:r>
    </w:p>
    <w:p>
      <w:pPr>
        <w:pStyle w:val="Normal"/>
        <w:spacing w:before="0" w:after="120"/>
        <w:contextualSpacing/>
        <w:jc w:val="center"/>
        <w:rPr>
          <w:sz w:val="26"/>
          <w:szCs w:val="26"/>
          <w:lang w:val="pt-BR"/>
        </w:rPr>
      </w:pPr>
      <w:r>
        <w:rPr>
          <w:sz w:val="26"/>
          <w:szCs w:val="26"/>
          <w:lang w:val="pt-BR"/>
        </w:rPr>
      </w:r>
    </w:p>
    <w:sectPr>
      <w:footerReference w:type="even" r:id="rId2"/>
      <w:footerReference w:type="default" r:id="rId3"/>
      <w:footerReference w:type="first" r:id="rId4"/>
      <w:type w:val="nextPage"/>
      <w:pgSz w:w="11906" w:h="16838"/>
      <w:pgMar w:left="1701" w:right="1134" w:gutter="0" w:header="0" w:top="1134" w:footer="302" w:bottom="1134"/>
      <w:pgNumType w:start="0"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roman"/>
    <w:pitch w:val="variable"/>
  </w:font>
  <w:font w:name=".VnTime">
    <w:altName w:val="Courier New"/>
    <w:charset w:val="01" w:characterSet="utf-8"/>
    <w:family w:val="roman"/>
    <w:pitch w:val="variable"/>
  </w:font>
  <w:font w:name=".VnTimeH">
    <w:altName w:val="Courier New"/>
    <w:charset w:val="01" w:characterSet="utf-8"/>
    <w:family w:val="roman"/>
    <w:pitch w:val="variable"/>
  </w:font>
  <w:font w:name="Courier New">
    <w:charset w:val="01" w:characterSet="utf-8"/>
    <w:family w:val="roman"/>
    <w:pitch w:val="variable"/>
  </w:font>
  <w:font w:name="Wingdings">
    <w:charset w:val="01" w:characterSet="utf-8"/>
    <w:family w:val="roman"/>
    <w:pitch w:val="variable"/>
  </w:font>
  <w:font w:name="Symbol">
    <w:charset w:val="01" w:characterSet="utf-8"/>
    <w:family w:val="roman"/>
    <w:pitch w:val="variable"/>
  </w:font>
  <w:font w:name="Tahoma">
    <w:charset w:val="01" w:characterSet="utf-8"/>
    <w:family w:val="roman"/>
    <w:pitch w:val="variable"/>
  </w:font>
  <w:font w:name="Liberation Sans">
    <w:altName w:val="Arial"/>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6"/>
        <w:szCs w:val="16"/>
      </w:rPr>
    </w:pPr>
    <w:r>
      <w:rPr>
        <w:sz w:val="16"/>
        <w:szCs w:val="16"/>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6"/>
        <w:szCs w:val="16"/>
      </w:rPr>
    </w:pPr>
    <w:r>
      <w:rPr>
        <w:sz w:val="16"/>
        <w:szCs w:val="16"/>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lang w:val="en-US"/>
    </w:rPr>
  </w:style>
  <w:style w:type="paragraph" w:styleId="Heading2">
    <w:name w:val="Heading 2"/>
    <w:basedOn w:val="Normal"/>
    <w:next w:val="Normal"/>
    <w:qFormat/>
    <w:pPr>
      <w:keepNext w:val="true"/>
      <w:numPr>
        <w:ilvl w:val="1"/>
        <w:numId w:val="1"/>
      </w:numPr>
      <w:ind w:hanging="0" w:start="4320" w:end="0"/>
      <w:outlineLvl w:val="1"/>
    </w:pPr>
    <w:rPr>
      <w:rFonts w:ascii=".VnTime;Courier New" w:hAnsi=".VnTime;Courier New" w:cs=".VnTime;Courier New"/>
      <w:i/>
      <w:sz w:val="28"/>
      <w:szCs w:val="20"/>
    </w:rPr>
  </w:style>
  <w:style w:type="paragraph" w:styleId="Heading3">
    <w:name w:val="Heading 3"/>
    <w:basedOn w:val="Normal"/>
    <w:next w:val="Normal"/>
    <w:qFormat/>
    <w:pPr>
      <w:keepNext w:val="true"/>
      <w:numPr>
        <w:ilvl w:val="2"/>
        <w:numId w:val="1"/>
      </w:numPr>
      <w:jc w:val="center"/>
      <w:outlineLvl w:val="2"/>
    </w:pPr>
    <w:rPr>
      <w:rFonts w:ascii=".VnTime;Courier New" w:hAnsi=".VnTime;Courier New" w:cs=".VnTime;Courier New"/>
      <w:b/>
      <w:sz w:val="28"/>
      <w:szCs w:val="20"/>
    </w:rPr>
  </w:style>
  <w:style w:type="paragraph" w:styleId="Heading4">
    <w:name w:val="Heading 4"/>
    <w:basedOn w:val="Normal"/>
    <w:next w:val="Normal"/>
    <w:qFormat/>
    <w:pPr>
      <w:keepNext w:val="true"/>
      <w:numPr>
        <w:ilvl w:val="3"/>
        <w:numId w:val="1"/>
      </w:numPr>
      <w:jc w:val="center"/>
      <w:outlineLvl w:val="3"/>
    </w:pPr>
    <w:rPr>
      <w:rFonts w:ascii=".VnTimeH;Courier New" w:hAnsi=".VnTimeH;Courier New" w:cs=".VnTimeH;Courier New"/>
      <w:b/>
      <w:bCs/>
    </w:rPr>
  </w:style>
  <w:style w:type="paragraph" w:styleId="Heading5">
    <w:name w:val="Heading 5"/>
    <w:basedOn w:val="Normal"/>
    <w:next w:val="Normal"/>
    <w:qFormat/>
    <w:pPr>
      <w:keepNext w:val="true"/>
      <w:numPr>
        <w:ilvl w:val="4"/>
        <w:numId w:val="1"/>
      </w:numPr>
      <w:jc w:val="center"/>
      <w:outlineLvl w:val="4"/>
    </w:pPr>
    <w:rPr>
      <w:rFonts w:ascii=".VnTime;Courier New" w:hAnsi=".VnTime;Courier New" w:cs=".VnTime;Courier New"/>
      <w:b/>
      <w:i/>
      <w:sz w:val="28"/>
      <w:szCs w:val="20"/>
    </w:rPr>
  </w:style>
  <w:style w:type="paragraph" w:styleId="Heading6">
    <w:name w:val="Heading 6"/>
    <w:basedOn w:val="Normal"/>
    <w:next w:val="Normal"/>
    <w:qFormat/>
    <w:pPr>
      <w:numPr>
        <w:ilvl w:val="5"/>
        <w:numId w:val="1"/>
      </w:numPr>
      <w:spacing w:before="240" w:after="60"/>
      <w:outlineLvl w:val="5"/>
    </w:pPr>
    <w:rPr>
      <w:b/>
      <w:bCs/>
      <w:sz w:val="22"/>
      <w:szCs w:val="22"/>
      <w:lang w:val="en-US"/>
    </w:rPr>
  </w:style>
  <w:style w:type="paragraph" w:styleId="Heading7">
    <w:name w:val="Heading 7"/>
    <w:basedOn w:val="Normal"/>
    <w:next w:val="Normal"/>
    <w:qFormat/>
    <w:pPr>
      <w:keepNext w:val="true"/>
      <w:numPr>
        <w:ilvl w:val="6"/>
        <w:numId w:val="1"/>
      </w:numPr>
      <w:jc w:val="end"/>
      <w:outlineLvl w:val="6"/>
    </w:pPr>
    <w:rPr>
      <w:rFonts w:ascii=".VnTime;Courier New" w:hAnsi=".VnTime;Courier New" w:cs=".VnTime;Courier New"/>
      <w:i/>
      <w:sz w:val="28"/>
      <w:szCs w:val="20"/>
    </w:rPr>
  </w:style>
  <w:style w:type="character" w:styleId="WW8Num1z0">
    <w:name w:val="WW8Num1z0"/>
    <w:qFormat/>
    <w:rPr/>
  </w:style>
  <w:style w:type="character" w:styleId="WW8Num2z0">
    <w:name w:val="WW8Num2z0"/>
    <w:qFormat/>
    <w:rPr>
      <w:rFonts w:ascii="Times New Roman" w:hAnsi="Times New Roman" w:cs="Times New Roman"/>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6z0">
    <w:name w:val="WW8Num6z0"/>
    <w:qFormat/>
    <w:rPr/>
  </w:style>
  <w:style w:type="character" w:styleId="WW8Num7z0">
    <w:name w:val="WW8Num7z0"/>
    <w:qFormat/>
    <w:rPr>
      <w:rFonts w:ascii="Times New Roman" w:hAnsi="Times New Roman" w:eastAsia="Times New Roman" w:cs="Times New Roman"/>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style>
  <w:style w:type="character" w:styleId="WW8Num8z1">
    <w:name w:val="WW8Num8z1"/>
    <w:qFormat/>
    <w:rPr>
      <w:b/>
      <w:i/>
    </w:rPr>
  </w:style>
  <w:style w:type="character" w:styleId="WW8Num10z0">
    <w:name w:val="WW8Num10z0"/>
    <w:qFormat/>
    <w:rPr>
      <w:rFonts w:ascii="Times New Roman" w:hAnsi="Times New Roman" w:eastAsia="Times New Roman" w:cs="Times New Roman"/>
      <w:sz w:val="26"/>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DefaultParagraphFont">
    <w:name w:val="Default Paragraph Font"/>
    <w:qFormat/>
    <w:rPr/>
  </w:style>
  <w:style w:type="character" w:styleId="Strong">
    <w:name w:val="Strong"/>
    <w:qFormat/>
    <w:rPr>
      <w:b/>
      <w:bCs/>
    </w:rPr>
  </w:style>
  <w:style w:type="character" w:styleId="Emphasis">
    <w:name w:val="Emphasis"/>
    <w:qFormat/>
    <w:rPr>
      <w:i/>
      <w:iCs/>
    </w:rPr>
  </w:style>
  <w:style w:type="character" w:styleId="Heading6Char">
    <w:name w:val="Heading 6 Char"/>
    <w:qFormat/>
    <w:rPr>
      <w:b/>
      <w:bCs/>
      <w:sz w:val="22"/>
      <w:szCs w:val="22"/>
    </w:rPr>
  </w:style>
  <w:style w:type="character" w:styleId="PageNumber">
    <w:name w:val="Page Number"/>
    <w:basedOn w:val="DefaultParagraphFont"/>
    <w:rPr/>
  </w:style>
  <w:style w:type="character" w:styleId="Hyperlink">
    <w:name w:val="Hyperlink"/>
    <w:rPr>
      <w:color w:val="0000FF"/>
      <w:u w:val="single"/>
    </w:rPr>
  </w:style>
  <w:style w:type="character" w:styleId="apple-converted-space">
    <w:name w:val="apple-converted-space"/>
    <w:basedOn w:val="DefaultParagraphFont"/>
    <w:qFormat/>
    <w:rPr/>
  </w:style>
  <w:style w:type="character" w:styleId="FooterChar">
    <w:name w:val="Footer Char"/>
    <w:qFormat/>
    <w:rPr>
      <w:sz w:val="24"/>
      <w:szCs w:val="24"/>
    </w:rPr>
  </w:style>
  <w:style w:type="character" w:styleId="Heading1Char">
    <w:name w:val="Heading 1 Char"/>
    <w:qFormat/>
    <w:rPr>
      <w:rFonts w:ascii="Arial" w:hAnsi="Arial" w:cs="Arial"/>
      <w:b/>
      <w:bCs/>
      <w:kern w:val="2"/>
      <w:sz w:val="32"/>
      <w:szCs w:val="32"/>
    </w:rPr>
  </w:style>
  <w:style w:type="character" w:styleId="BodyText2Char">
    <w:name w:val="Body Text 2 Char"/>
    <w:qFormat/>
    <w:rPr>
      <w:rFonts w:ascii=".VnTime;Courier New" w:hAnsi=".VnTime;Courier New" w:cs=".VnTime;Courier New"/>
      <w:sz w:val="28"/>
    </w:rPr>
  </w:style>
  <w:style w:type="character" w:styleId="BodyTextChar1">
    <w:name w:val="Body Text Char1"/>
    <w:qFormat/>
    <w:rPr>
      <w:rFonts w:ascii=".VnTime;Courier New" w:hAnsi=".VnTime;Courier New" w:cs=".VnTime;Courier New"/>
      <w:sz w:val="28"/>
    </w:rPr>
  </w:style>
  <w:style w:type="character" w:styleId="BalloonTextChar">
    <w:name w:val="Balloon Text Char"/>
    <w:qFormat/>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jc w:val="both"/>
    </w:pPr>
    <w:rPr>
      <w:rFonts w:ascii=".VnTime;Courier New" w:hAnsi=".VnTime;Courier New" w:cs=".VnTime;Courier New"/>
      <w:sz w:val="28"/>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
    <w:name w:val="Body Text 2"/>
    <w:basedOn w:val="Normal"/>
    <w:qFormat/>
    <w:pPr>
      <w:spacing w:lineRule="auto" w:line="360"/>
      <w:jc w:val="both"/>
    </w:pPr>
    <w:rPr>
      <w:rFonts w:ascii=".VnTime;Courier New" w:hAnsi=".VnTime;Courier New" w:cs=".VnTime;Courier New"/>
      <w:sz w:val="28"/>
      <w:szCs w:val="20"/>
      <w:lang w:val="en-US"/>
    </w:rPr>
  </w:style>
  <w:style w:type="paragraph" w:styleId="NormalWeb">
    <w:name w:val="Normal (Web)"/>
    <w:basedOn w:val="Normal"/>
    <w:qFormat/>
    <w:pPr>
      <w:spacing w:lineRule="auto" w:line="312"/>
    </w:pPr>
    <w:rPr/>
  </w:style>
  <w:style w:type="paragraph" w:styleId="Char">
    <w:name w:val=" Char"/>
    <w:basedOn w:val="Normal"/>
    <w:qFormat/>
    <w:pPr>
      <w:spacing w:before="280" w:after="280"/>
    </w:pPr>
    <w:rPr>
      <w:rFonts w:ascii="Tahoma" w:hAnsi="Tahoma" w:cs="Tahoma"/>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1591</TotalTime>
  <Application>LibreOffice/24.2.7.2$Linux_X86_64 LibreOffice_project/420$Build-2</Application>
  <AppVersion>15.0000</AppVersion>
  <Pages>7</Pages>
  <Words>3711</Words>
  <Characters>12777</Characters>
  <CharactersWithSpaces>16390</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2021-10-15T14:28:00Z</dcterms:created>
  <dc:creator>Microsoft Cop.</dc:creator>
  <dc:description/>
  <dc:language>en-US</dc:language>
  <cp:lastModifiedBy/>
  <cp:lastPrinted>2021-10-28T09:27:00Z</cp:lastPrinted>
  <dcterms:modified xsi:type="dcterms:W3CDTF">2026-05-10T14:06:00Z</dcterms:modified>
  <cp:revision>37</cp:revision>
  <dc:subject/>
  <dc:title>BỘ NÔNG NGHIỆP &amp; PTNT</dc:title>
</cp:coreProperties>
</file>

<file path=docProps/custom.xml><?xml version="1.0" encoding="utf-8"?>
<Properties xmlns="http://schemas.openxmlformats.org/officeDocument/2006/custom-properties" xmlns:vt="http://schemas.openxmlformats.org/officeDocument/2006/docPropsVTypes"/>
</file>