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wmf" ContentType="image/x-wm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360" w:leader="none"/>
        </w:tabs>
        <w:spacing w:lineRule="exact" w:line="360" w:before="0" w:after="120"/>
        <w:jc w:val="center"/>
        <w:rPr>
          <w:rFonts w:eastAsia="Times New Roman"/>
          <w:b/>
          <w:sz w:val="36"/>
          <w:szCs w:val="36"/>
        </w:rPr>
      </w:pPr>
      <w:r>
        <w:rPr/>
      </w:r>
    </w:p>
    <w:p>
      <w:pPr>
        <w:pStyle w:val="Normal"/>
        <w:spacing w:lineRule="auto" w:line="240" w:before="0" w:after="120"/>
        <w:jc w:val="center"/>
        <w:rPr>
          <w:rFonts w:eastAsia="Times New Roman"/>
          <w:b/>
          <w:bCs/>
          <w:color w:val="000000"/>
          <w:sz w:val="26"/>
          <w:szCs w:val="26"/>
        </w:rPr>
      </w:pPr>
      <w:r>
        <w:rPr>
          <w:rFonts w:eastAsia="Times New Roman"/>
          <w:b/>
          <w:bCs/>
          <w:color w:val="000000"/>
          <w:sz w:val="26"/>
          <w:szCs w:val="26"/>
        </w:rPr>
      </w:r>
    </w:p>
    <w:p>
      <w:pPr>
        <w:pStyle w:val="Normal"/>
        <w:spacing w:lineRule="auto" w:line="312" w:before="0" w:after="0"/>
        <w:ind w:firstLine="567" w:end="0"/>
        <w:jc w:val="both"/>
        <w:rPr>
          <w:rFonts w:eastAsia="Times New Roman"/>
          <w:b/>
          <w:bCs/>
          <w:color w:val="000000"/>
          <w:sz w:val="26"/>
          <w:szCs w:val="26"/>
        </w:rPr>
      </w:pPr>
      <w:r>
        <w:rPr>
          <w:rFonts w:eastAsia="Times New Roman"/>
          <w:b/>
          <w:bCs/>
          <w:color w:val="000000"/>
          <w:sz w:val="26"/>
          <w:szCs w:val="26"/>
        </w:rPr>
        <w:t>Điều 1. Phạm vi điều chỉnh và đối tượng áp dụng</w:t>
      </w:r>
    </w:p>
    <w:p>
      <w:pPr>
        <w:pStyle w:val="Normal"/>
        <w:tabs>
          <w:tab w:val="clear" w:pos="720"/>
          <w:tab w:val="left" w:pos="872" w:leader="none"/>
        </w:tabs>
        <w:spacing w:lineRule="auto" w:line="312" w:before="0" w:after="0"/>
        <w:ind w:firstLine="544" w:end="0"/>
        <w:jc w:val="both"/>
        <w:rPr>
          <w:rFonts w:eastAsia="Times New Roman"/>
          <w:color w:val="000000"/>
          <w:sz w:val="26"/>
          <w:szCs w:val="26"/>
        </w:rPr>
      </w:pPr>
      <w:r>
        <w:rPr>
          <w:rFonts w:eastAsia="Times New Roman"/>
          <w:color w:val="000000"/>
          <w:sz w:val="26"/>
          <w:szCs w:val="26"/>
        </w:rPr>
        <w:t>1. Văn bản này quy định việc đánh giá kết quả rèn luyện của sinh viên được đào tạo trình độ đại học, cao đẳng và liên thông hệ chính quy tại trường đại học Thủy lợi, bao gồm: Đánh giá kết quả rèn luyện và khung điểm; phân loại và quy trình đánh giá; tổ chức đánh giá và sử dụng kết quả; tổ chức thực hiện.</w:t>
      </w:r>
    </w:p>
    <w:p>
      <w:pPr>
        <w:pStyle w:val="Normal"/>
        <w:tabs>
          <w:tab w:val="clear" w:pos="720"/>
          <w:tab w:val="left" w:pos="872" w:leader="none"/>
        </w:tabs>
        <w:spacing w:lineRule="auto" w:line="312" w:before="0" w:after="0"/>
        <w:ind w:firstLine="544" w:end="0"/>
        <w:jc w:val="both"/>
        <w:rPr>
          <w:rFonts w:eastAsia="Times New Roman"/>
          <w:color w:val="000000"/>
          <w:sz w:val="26"/>
          <w:szCs w:val="26"/>
        </w:rPr>
      </w:pPr>
      <w:r>
        <w:rPr>
          <w:rFonts w:eastAsia="Times New Roman"/>
          <w:color w:val="000000"/>
          <w:sz w:val="26"/>
          <w:szCs w:val="26"/>
        </w:rPr>
        <w:t xml:space="preserve">3. Văn bản này áp dụng đối với sinh viên đại học, cao đẳng và liên thông hệ chính quy thuộc trường Đại học Thủy lợi. </w:t>
      </w:r>
    </w:p>
    <w:p>
      <w:pPr>
        <w:pStyle w:val="Normal"/>
        <w:spacing w:lineRule="auto" w:line="312" w:before="0" w:after="0"/>
        <w:ind w:firstLine="567" w:end="0"/>
        <w:jc w:val="both"/>
        <w:rPr>
          <w:rFonts w:eastAsia="Times New Roman"/>
          <w:b/>
          <w:bCs/>
          <w:color w:val="000000"/>
          <w:sz w:val="26"/>
          <w:szCs w:val="26"/>
        </w:rPr>
      </w:pPr>
      <w:r>
        <w:rPr>
          <w:rFonts w:eastAsia="Times New Roman"/>
          <w:b/>
          <w:bCs/>
          <w:color w:val="000000"/>
          <w:sz w:val="26"/>
          <w:szCs w:val="26"/>
        </w:rPr>
        <w:t>Điều 2. Nguyên tắc đánh giá kết quả rèn luyện của sinh viên</w:t>
      </w:r>
    </w:p>
    <w:p>
      <w:pPr>
        <w:pStyle w:val="Normal"/>
        <w:tabs>
          <w:tab w:val="clear" w:pos="720"/>
          <w:tab w:val="left" w:pos="872" w:leader="none"/>
        </w:tabs>
        <w:spacing w:lineRule="auto" w:line="312" w:before="0" w:after="0"/>
        <w:ind w:firstLine="544" w:end="0"/>
        <w:jc w:val="both"/>
        <w:rPr/>
      </w:pPr>
      <w:r>
        <w:rPr>
          <w:rFonts w:eastAsia="Times New Roman"/>
          <w:color w:val="000000"/>
          <w:sz w:val="26"/>
          <w:szCs w:val="26"/>
        </w:rPr>
        <w:t>1. Thực hiện nghiêm túc quy trình và các tiêu chí đánh giá được quy định tại văn bản này; đảm bảo khách quan, công khai, công bằng, chính xác.</w:t>
      </w:r>
    </w:p>
    <w:p>
      <w:pPr>
        <w:pStyle w:val="Normal"/>
        <w:tabs>
          <w:tab w:val="clear" w:pos="720"/>
          <w:tab w:val="left" w:pos="872" w:leader="none"/>
        </w:tabs>
        <w:spacing w:lineRule="auto" w:line="312" w:before="0" w:after="0"/>
        <w:ind w:firstLine="544" w:end="0"/>
        <w:jc w:val="both"/>
        <w:rPr>
          <w:rFonts w:eastAsia="Times New Roman"/>
          <w:color w:val="000000"/>
          <w:sz w:val="26"/>
          <w:szCs w:val="26"/>
        </w:rPr>
      </w:pPr>
      <w:r>
        <w:rPr>
          <w:rFonts w:eastAsia="Times New Roman"/>
          <w:color w:val="000000"/>
          <w:sz w:val="26"/>
          <w:szCs w:val="26"/>
        </w:rPr>
        <w:t>2. Đảm bảo yếu tố bình đẳng, dân chủ, tôn trọng chủ quyền làm chủ của người được đánh giá.</w:t>
      </w:r>
    </w:p>
    <w:p>
      <w:pPr>
        <w:pStyle w:val="Normal"/>
        <w:tabs>
          <w:tab w:val="clear" w:pos="720"/>
          <w:tab w:val="left" w:pos="872" w:leader="none"/>
        </w:tabs>
        <w:spacing w:lineRule="auto" w:line="312" w:before="0" w:after="0"/>
        <w:ind w:firstLine="544" w:end="0"/>
        <w:jc w:val="both"/>
        <w:rPr>
          <w:rFonts w:eastAsia="Times New Roman"/>
          <w:color w:val="000000"/>
          <w:sz w:val="26"/>
          <w:szCs w:val="26"/>
        </w:rPr>
      </w:pPr>
      <w:r>
        <w:rPr>
          <w:rFonts w:eastAsia="Times New Roman"/>
          <w:color w:val="000000"/>
          <w:sz w:val="26"/>
          <w:szCs w:val="26"/>
        </w:rPr>
        <w:t>3. Phối hợp đồng bộ, chặt chẽ các bộ phận, các đơn vị có liên quan trong nhà trường tham gia công tác đánh giá kết quả rèn luyện của sinh viên.</w:t>
      </w:r>
    </w:p>
    <w:p>
      <w:pPr>
        <w:pStyle w:val="Normal"/>
        <w:tabs>
          <w:tab w:val="clear" w:pos="720"/>
          <w:tab w:val="left" w:pos="872" w:leader="none"/>
        </w:tabs>
        <w:spacing w:lineRule="auto" w:line="312" w:before="0" w:after="0"/>
        <w:ind w:firstLine="544" w:end="0"/>
        <w:jc w:val="both"/>
        <w:rPr>
          <w:rFonts w:eastAsia="Times New Roman"/>
          <w:color w:val="000000"/>
          <w:sz w:val="26"/>
          <w:szCs w:val="26"/>
        </w:rPr>
      </w:pPr>
      <w:r>
        <w:rPr>
          <w:rFonts w:eastAsia="Times New Roman"/>
          <w:color w:val="000000"/>
          <w:sz w:val="26"/>
          <w:szCs w:val="26"/>
        </w:rPr>
        <w:t xml:space="preserve">4. Việc đánh giá kết quả rèn luyện của sinh viên là việc làm thường xuyên trong suốt quá trình học tập tại Trường. </w:t>
      </w:r>
    </w:p>
    <w:p>
      <w:pPr>
        <w:pStyle w:val="Normal"/>
        <w:spacing w:lineRule="auto" w:line="312" w:before="0" w:after="0"/>
        <w:ind w:firstLine="567" w:end="0"/>
        <w:jc w:val="both"/>
        <w:rPr>
          <w:rFonts w:eastAsia="Times New Roman"/>
          <w:b/>
          <w:bCs/>
          <w:color w:val="000000"/>
          <w:sz w:val="26"/>
          <w:szCs w:val="26"/>
        </w:rPr>
      </w:pPr>
      <w:r>
        <w:rPr>
          <w:rFonts w:eastAsia="Times New Roman"/>
          <w:b/>
          <w:bCs/>
          <w:color w:val="000000"/>
          <w:sz w:val="26"/>
          <w:szCs w:val="26"/>
        </w:rPr>
        <w:t>Điều 3. Nội dung đánh giá và thang điểm</w:t>
      </w:r>
    </w:p>
    <w:p>
      <w:pPr>
        <w:pStyle w:val="Normal"/>
        <w:tabs>
          <w:tab w:val="clear" w:pos="720"/>
          <w:tab w:val="left" w:pos="872" w:leader="none"/>
        </w:tabs>
        <w:spacing w:lineRule="auto" w:line="312" w:before="0" w:after="0"/>
        <w:ind w:firstLine="544" w:end="0"/>
        <w:jc w:val="both"/>
        <w:rPr>
          <w:rFonts w:eastAsia="Times New Roman"/>
          <w:color w:val="000000"/>
          <w:sz w:val="26"/>
          <w:szCs w:val="26"/>
        </w:rPr>
      </w:pPr>
      <w:r>
        <w:rPr>
          <w:rFonts w:eastAsia="Times New Roman"/>
          <w:color w:val="000000"/>
          <w:sz w:val="26"/>
          <w:szCs w:val="26"/>
        </w:rPr>
        <w:t>1. Xem xét, đánh giá kết quả rèn luyện của sinh viên là đánh giá ý thức, thái độ của từng sinh viên theo các mức điểm đạt được trên các mặt:</w:t>
      </w:r>
    </w:p>
    <w:p>
      <w:pPr>
        <w:pStyle w:val="Normal"/>
        <w:tabs>
          <w:tab w:val="clear" w:pos="720"/>
          <w:tab w:val="left" w:pos="872" w:leader="none"/>
        </w:tabs>
        <w:spacing w:lineRule="auto" w:line="312" w:before="0" w:after="0"/>
        <w:ind w:firstLine="544" w:end="0"/>
        <w:jc w:val="both"/>
        <w:rPr>
          <w:rFonts w:eastAsia="Times New Roman"/>
          <w:color w:val="000000"/>
          <w:sz w:val="26"/>
          <w:szCs w:val="26"/>
        </w:rPr>
      </w:pPr>
      <w:r>
        <w:rPr>
          <w:rFonts w:eastAsia="Times New Roman"/>
          <w:color w:val="000000"/>
          <w:sz w:val="26"/>
          <w:szCs w:val="26"/>
        </w:rPr>
        <w:t>a) Ý thức tham gia học tập;</w:t>
      </w:r>
    </w:p>
    <w:p>
      <w:pPr>
        <w:pStyle w:val="Normal"/>
        <w:tabs>
          <w:tab w:val="clear" w:pos="720"/>
          <w:tab w:val="left" w:pos="872" w:leader="none"/>
        </w:tabs>
        <w:spacing w:lineRule="auto" w:line="312" w:before="0" w:after="0"/>
        <w:ind w:firstLine="544" w:end="0"/>
        <w:jc w:val="both"/>
        <w:rPr>
          <w:rFonts w:eastAsia="Times New Roman"/>
          <w:color w:val="000000"/>
          <w:sz w:val="26"/>
          <w:szCs w:val="26"/>
        </w:rPr>
      </w:pPr>
      <w:r>
        <w:rPr>
          <w:rFonts w:eastAsia="Times New Roman"/>
          <w:color w:val="000000"/>
          <w:sz w:val="26"/>
          <w:szCs w:val="26"/>
        </w:rPr>
        <w:t>b) Ý thức chấp hành nội quy, quy chế, quy định trong nhà trường;</w:t>
      </w:r>
    </w:p>
    <w:p>
      <w:pPr>
        <w:pStyle w:val="Normal"/>
        <w:tabs>
          <w:tab w:val="clear" w:pos="720"/>
          <w:tab w:val="left" w:pos="872" w:leader="none"/>
        </w:tabs>
        <w:spacing w:lineRule="auto" w:line="312" w:before="0" w:after="0"/>
        <w:ind w:firstLine="544" w:end="0"/>
        <w:jc w:val="both"/>
        <w:rPr>
          <w:rFonts w:eastAsia="Times New Roman"/>
          <w:color w:val="000000"/>
          <w:sz w:val="26"/>
          <w:szCs w:val="26"/>
        </w:rPr>
      </w:pPr>
      <w:r>
        <w:rPr>
          <w:rFonts w:eastAsia="Times New Roman"/>
          <w:color w:val="000000"/>
          <w:sz w:val="26"/>
          <w:szCs w:val="26"/>
        </w:rPr>
        <w:t>c) Ý thức tham gia các hoạt động chính trị, xã hội, văn hoá, văn nghệ, thể thao, phòng chống tội phạm và các tệ nạn xã hội;</w:t>
      </w:r>
    </w:p>
    <w:p>
      <w:pPr>
        <w:pStyle w:val="Normal"/>
        <w:tabs>
          <w:tab w:val="clear" w:pos="720"/>
          <w:tab w:val="left" w:pos="872" w:leader="none"/>
        </w:tabs>
        <w:spacing w:lineRule="auto" w:line="312" w:before="0" w:after="0"/>
        <w:ind w:firstLine="544" w:end="0"/>
        <w:jc w:val="both"/>
        <w:rPr>
          <w:rFonts w:eastAsia="Times New Roman"/>
          <w:color w:val="000000"/>
          <w:sz w:val="26"/>
          <w:szCs w:val="26"/>
        </w:rPr>
      </w:pPr>
      <w:r>
        <w:rPr>
          <w:rFonts w:eastAsia="Times New Roman"/>
          <w:color w:val="000000"/>
          <w:sz w:val="26"/>
          <w:szCs w:val="26"/>
        </w:rPr>
        <w:t>d) Ý thức công dân trong quan hệ cộng đồng;</w:t>
      </w:r>
    </w:p>
    <w:p>
      <w:pPr>
        <w:pStyle w:val="Normal"/>
        <w:tabs>
          <w:tab w:val="clear" w:pos="720"/>
          <w:tab w:val="left" w:pos="872" w:leader="none"/>
        </w:tabs>
        <w:spacing w:lineRule="auto" w:line="312" w:before="0" w:after="0"/>
        <w:ind w:firstLine="544" w:end="0"/>
        <w:jc w:val="both"/>
        <w:rPr>
          <w:rFonts w:eastAsia="Times New Roman"/>
          <w:color w:val="000000"/>
          <w:sz w:val="26"/>
          <w:szCs w:val="26"/>
        </w:rPr>
      </w:pPr>
      <w:r>
        <w:rPr>
          <w:rFonts w:eastAsia="Times New Roman"/>
          <w:color w:val="000000"/>
          <w:sz w:val="26"/>
          <w:szCs w:val="26"/>
        </w:rPr>
        <w:t>e) Ý thức và kết quả tham gia công tác cán bộ lớp, các đoàn thể, tổ chức khác trong Trường hoặc sinh viên đạt được thành tích đặc biệt trong học tập, rèn luyện.</w:t>
      </w:r>
    </w:p>
    <w:p>
      <w:pPr>
        <w:pStyle w:val="Normal"/>
        <w:tabs>
          <w:tab w:val="clear" w:pos="720"/>
          <w:tab w:val="left" w:pos="872" w:leader="none"/>
        </w:tabs>
        <w:spacing w:lineRule="auto" w:line="312" w:before="0" w:after="0"/>
        <w:ind w:firstLine="544" w:end="0"/>
        <w:jc w:val="both"/>
        <w:rPr>
          <w:rFonts w:eastAsia="Times New Roman"/>
          <w:color w:val="000000"/>
          <w:sz w:val="26"/>
          <w:szCs w:val="26"/>
        </w:rPr>
      </w:pPr>
      <w:r>
        <w:rPr>
          <w:rFonts w:eastAsia="Times New Roman"/>
          <w:color w:val="000000"/>
          <w:sz w:val="26"/>
          <w:szCs w:val="26"/>
        </w:rPr>
        <w:t>2. Điểm rèn luyện được đánh giá bằng thang điểm 100.</w:t>
      </w:r>
    </w:p>
    <w:p>
      <w:pPr>
        <w:pStyle w:val="Normal"/>
        <w:spacing w:lineRule="auto" w:line="360" w:before="0" w:after="0"/>
        <w:ind w:firstLine="567" w:end="0"/>
        <w:jc w:val="both"/>
        <w:rPr>
          <w:rFonts w:eastAsia="Times New Roman"/>
          <w:b/>
          <w:bCs/>
          <w:color w:val="000000"/>
          <w:sz w:val="26"/>
          <w:szCs w:val="26"/>
        </w:rPr>
      </w:pPr>
      <w:r>
        <w:rPr>
          <w:rFonts w:eastAsia="Times New Roman"/>
          <w:b/>
          <w:bCs/>
          <w:color w:val="000000"/>
          <w:sz w:val="26"/>
          <w:szCs w:val="26"/>
        </w:rPr>
        <w:t>Điều 4. Đánh giá về ý thức tham gia học tập</w:t>
      </w:r>
    </w:p>
    <w:p>
      <w:pPr>
        <w:pStyle w:val="Normal"/>
        <w:tabs>
          <w:tab w:val="clear" w:pos="720"/>
          <w:tab w:val="left" w:pos="872" w:leader="none"/>
        </w:tabs>
        <w:spacing w:lineRule="auto" w:line="360" w:before="0" w:after="0"/>
        <w:ind w:firstLine="544" w:end="0"/>
        <w:jc w:val="both"/>
        <w:rPr>
          <w:rFonts w:eastAsia="Times New Roman"/>
          <w:color w:val="000000"/>
          <w:sz w:val="26"/>
          <w:szCs w:val="26"/>
        </w:rPr>
      </w:pPr>
      <w:r>
        <w:rPr>
          <w:rFonts w:eastAsia="Times New Roman"/>
          <w:color w:val="000000"/>
          <w:sz w:val="26"/>
          <w:szCs w:val="26"/>
        </w:rPr>
        <w:t>1. Các tiêu chí để xác định điểm đánh giá:</w:t>
      </w:r>
    </w:p>
    <w:p>
      <w:pPr>
        <w:pStyle w:val="Normal"/>
        <w:tabs>
          <w:tab w:val="clear" w:pos="720"/>
          <w:tab w:val="left" w:pos="872" w:leader="none"/>
        </w:tabs>
        <w:spacing w:lineRule="auto" w:line="360" w:before="0" w:after="0"/>
        <w:ind w:firstLine="544" w:end="0"/>
        <w:jc w:val="both"/>
        <w:rPr>
          <w:rFonts w:eastAsia="Times New Roman"/>
          <w:color w:val="000000"/>
          <w:sz w:val="26"/>
          <w:szCs w:val="26"/>
        </w:rPr>
      </w:pPr>
      <w:r>
        <w:rPr>
          <w:rFonts w:eastAsia="Times New Roman"/>
          <w:color w:val="000000"/>
          <w:sz w:val="26"/>
          <w:szCs w:val="26"/>
        </w:rPr>
        <w:t>a) Ý thức và thái độ trong học tập;</w:t>
      </w:r>
    </w:p>
    <w:p>
      <w:pPr>
        <w:pStyle w:val="Normal"/>
        <w:tabs>
          <w:tab w:val="clear" w:pos="720"/>
          <w:tab w:val="left" w:pos="872" w:leader="none"/>
        </w:tabs>
        <w:spacing w:lineRule="auto" w:line="360" w:before="0" w:after="0"/>
        <w:ind w:firstLine="544" w:end="0"/>
        <w:jc w:val="both"/>
        <w:rPr>
          <w:rFonts w:eastAsia="Times New Roman"/>
          <w:color w:val="000000"/>
          <w:sz w:val="26"/>
          <w:szCs w:val="26"/>
        </w:rPr>
      </w:pPr>
      <w:r>
        <w:rPr>
          <w:rFonts w:eastAsia="Times New Roman"/>
          <w:color w:val="000000"/>
          <w:sz w:val="26"/>
          <w:szCs w:val="26"/>
        </w:rPr>
        <w:t>b) Ý thức và thái độ tham gia các câu lạc bộ học thuật; các hoạt động học thuật, hoạt động ngoại khóa, hoạt động nghiên cứu khoa học;</w:t>
      </w:r>
    </w:p>
    <w:p>
      <w:pPr>
        <w:pStyle w:val="Normal"/>
        <w:tabs>
          <w:tab w:val="clear" w:pos="720"/>
          <w:tab w:val="left" w:pos="872" w:leader="none"/>
        </w:tabs>
        <w:spacing w:lineRule="auto" w:line="360" w:before="0" w:after="0"/>
        <w:ind w:firstLine="544" w:end="0"/>
        <w:jc w:val="both"/>
        <w:rPr>
          <w:rFonts w:eastAsia="Times New Roman"/>
          <w:color w:val="000000"/>
          <w:sz w:val="26"/>
          <w:szCs w:val="26"/>
        </w:rPr>
      </w:pPr>
      <w:r>
        <w:rPr>
          <w:rFonts w:eastAsia="Times New Roman"/>
          <w:color w:val="000000"/>
          <w:sz w:val="26"/>
          <w:szCs w:val="26"/>
        </w:rPr>
        <w:t>c) Ý thức và thái độ tham gia các kỳ thi, cuộc thi;</w:t>
      </w:r>
    </w:p>
    <w:p>
      <w:pPr>
        <w:pStyle w:val="Normal"/>
        <w:tabs>
          <w:tab w:val="clear" w:pos="720"/>
          <w:tab w:val="left" w:pos="872" w:leader="none"/>
        </w:tabs>
        <w:spacing w:lineRule="auto" w:line="360" w:before="0" w:after="0"/>
        <w:ind w:firstLine="544" w:end="0"/>
        <w:jc w:val="both"/>
        <w:rPr>
          <w:rFonts w:eastAsia="Times New Roman"/>
          <w:color w:val="000000"/>
          <w:sz w:val="26"/>
          <w:szCs w:val="26"/>
        </w:rPr>
      </w:pPr>
      <w:r>
        <w:rPr>
          <w:rFonts w:eastAsia="Times New Roman"/>
          <w:color w:val="000000"/>
          <w:sz w:val="26"/>
          <w:szCs w:val="26"/>
        </w:rPr>
        <w:t>d) Tinh thần vượt khó, phấn đấu vươn lên trong học tập;</w:t>
      </w:r>
    </w:p>
    <w:p>
      <w:pPr>
        <w:pStyle w:val="Normal"/>
        <w:tabs>
          <w:tab w:val="clear" w:pos="720"/>
          <w:tab w:val="left" w:pos="872" w:leader="none"/>
        </w:tabs>
        <w:spacing w:lineRule="auto" w:line="360" w:before="0" w:after="0"/>
        <w:ind w:firstLine="544" w:end="0"/>
        <w:jc w:val="both"/>
        <w:rPr>
          <w:rFonts w:eastAsia="Times New Roman"/>
          <w:color w:val="000000"/>
          <w:sz w:val="26"/>
          <w:szCs w:val="26"/>
        </w:rPr>
      </w:pPr>
      <w:r>
        <w:rPr>
          <w:rFonts w:eastAsia="Times New Roman"/>
          <w:color w:val="000000"/>
          <w:sz w:val="26"/>
          <w:szCs w:val="26"/>
        </w:rPr>
        <w:t>đ) Kết quả học tập.</w:t>
      </w:r>
    </w:p>
    <w:p>
      <w:pPr>
        <w:pStyle w:val="Normal"/>
        <w:spacing w:lineRule="auto" w:line="360" w:before="0" w:after="0"/>
        <w:ind w:firstLine="567" w:end="0"/>
        <w:jc w:val="both"/>
        <w:rPr>
          <w:rFonts w:eastAsia="Times New Roman"/>
          <w:b/>
          <w:bCs/>
          <w:color w:val="000000"/>
          <w:sz w:val="26"/>
          <w:szCs w:val="26"/>
        </w:rPr>
      </w:pPr>
      <w:r>
        <w:rPr>
          <w:rFonts w:eastAsia="Times New Roman"/>
          <w:b/>
          <w:bCs/>
          <w:color w:val="000000"/>
          <w:sz w:val="26"/>
          <w:szCs w:val="26"/>
        </w:rPr>
        <w:t>Điều 5. Đánh giá về ý thức và kết quả chấp hành nội quy, quy chế, quy định trong nhà trường</w:t>
      </w:r>
    </w:p>
    <w:p>
      <w:pPr>
        <w:pStyle w:val="Normal"/>
        <w:tabs>
          <w:tab w:val="clear" w:pos="720"/>
          <w:tab w:val="left" w:pos="872" w:leader="none"/>
        </w:tabs>
        <w:spacing w:lineRule="auto" w:line="360" w:before="0" w:after="0"/>
        <w:ind w:firstLine="544" w:end="0"/>
        <w:jc w:val="both"/>
        <w:rPr>
          <w:rFonts w:eastAsia="Times New Roman"/>
          <w:color w:val="000000"/>
          <w:sz w:val="26"/>
          <w:szCs w:val="26"/>
        </w:rPr>
      </w:pPr>
      <w:r>
        <w:rPr>
          <w:rFonts w:eastAsia="Times New Roman"/>
          <w:color w:val="000000"/>
          <w:sz w:val="26"/>
          <w:szCs w:val="26"/>
        </w:rPr>
        <w:t>1. Các tiêu chí để xác định điểm đánh giá:</w:t>
      </w:r>
    </w:p>
    <w:p>
      <w:pPr>
        <w:pStyle w:val="Normal"/>
        <w:tabs>
          <w:tab w:val="clear" w:pos="720"/>
          <w:tab w:val="left" w:pos="872" w:leader="none"/>
        </w:tabs>
        <w:spacing w:lineRule="auto" w:line="360" w:before="0" w:after="0"/>
        <w:ind w:firstLine="544" w:end="0"/>
        <w:jc w:val="both"/>
        <w:rPr>
          <w:rFonts w:eastAsia="Times New Roman"/>
          <w:color w:val="000000"/>
          <w:sz w:val="26"/>
          <w:szCs w:val="26"/>
        </w:rPr>
      </w:pPr>
      <w:r>
        <w:rPr>
          <w:rFonts w:eastAsia="Times New Roman"/>
          <w:color w:val="000000"/>
          <w:sz w:val="26"/>
          <w:szCs w:val="26"/>
        </w:rPr>
        <w:t>a) Ý thức chấp hành các nội quy, quy chế và các quy định được áp dụng trong Trường;</w:t>
      </w:r>
    </w:p>
    <w:p>
      <w:pPr>
        <w:pStyle w:val="Normal"/>
        <w:tabs>
          <w:tab w:val="clear" w:pos="720"/>
          <w:tab w:val="left" w:pos="872" w:leader="none"/>
        </w:tabs>
        <w:spacing w:lineRule="auto" w:line="360" w:before="0" w:after="0"/>
        <w:ind w:firstLine="544" w:end="0"/>
        <w:jc w:val="both"/>
        <w:rPr>
          <w:rFonts w:eastAsia="Times New Roman"/>
          <w:color w:val="000000"/>
          <w:sz w:val="26"/>
          <w:szCs w:val="26"/>
        </w:rPr>
      </w:pPr>
      <w:r>
        <w:rPr>
          <w:rFonts w:eastAsia="Times New Roman"/>
          <w:color w:val="000000"/>
          <w:sz w:val="26"/>
          <w:szCs w:val="26"/>
        </w:rPr>
        <w:t>b) Kết quả chấp hành các nội quy, quy chế và các quy định được áp dụng trong Trường.</w:t>
      </w:r>
    </w:p>
    <w:p>
      <w:pPr>
        <w:pStyle w:val="Normal"/>
        <w:spacing w:lineRule="auto" w:line="360" w:before="0" w:after="0"/>
        <w:ind w:firstLine="567" w:end="0"/>
        <w:jc w:val="both"/>
        <w:rPr>
          <w:rFonts w:eastAsia="Times New Roman"/>
          <w:b/>
          <w:bCs/>
          <w:color w:val="000000"/>
          <w:sz w:val="26"/>
          <w:szCs w:val="26"/>
        </w:rPr>
      </w:pPr>
      <w:r>
        <w:rPr>
          <w:rFonts w:eastAsia="Times New Roman"/>
          <w:b/>
          <w:bCs/>
          <w:color w:val="000000"/>
          <w:sz w:val="26"/>
          <w:szCs w:val="26"/>
        </w:rPr>
        <w:t>Điều 6. Đánh giá về ý thức và kết quả tham gia các hoạt động chính trị, xã hội, văn hóa, văn nghệ, thể thao, phòng chống tội phạm và các tệ nạn xã hội</w:t>
      </w:r>
    </w:p>
    <w:p>
      <w:pPr>
        <w:pStyle w:val="Normal"/>
        <w:tabs>
          <w:tab w:val="clear" w:pos="720"/>
          <w:tab w:val="left" w:pos="872" w:leader="none"/>
        </w:tabs>
        <w:spacing w:lineRule="auto" w:line="360" w:before="0" w:after="0"/>
        <w:ind w:firstLine="544" w:end="0"/>
        <w:jc w:val="both"/>
        <w:rPr>
          <w:rFonts w:eastAsia="Times New Roman"/>
          <w:color w:val="000000"/>
          <w:sz w:val="26"/>
          <w:szCs w:val="26"/>
        </w:rPr>
      </w:pPr>
      <w:r>
        <w:rPr>
          <w:rFonts w:eastAsia="Times New Roman"/>
          <w:color w:val="000000"/>
          <w:sz w:val="26"/>
          <w:szCs w:val="26"/>
        </w:rPr>
        <w:t>1. Các tiêu chí để xác định điểm đánh giá</w:t>
      </w:r>
    </w:p>
    <w:p>
      <w:pPr>
        <w:pStyle w:val="Normal"/>
        <w:tabs>
          <w:tab w:val="clear" w:pos="720"/>
          <w:tab w:val="left" w:pos="872" w:leader="none"/>
        </w:tabs>
        <w:spacing w:lineRule="auto" w:line="360" w:before="0" w:after="0"/>
        <w:ind w:firstLine="544" w:end="0"/>
        <w:jc w:val="both"/>
        <w:rPr>
          <w:rFonts w:eastAsia="Times New Roman"/>
          <w:color w:val="000000"/>
          <w:sz w:val="26"/>
          <w:szCs w:val="26"/>
        </w:rPr>
      </w:pPr>
      <w:r>
        <w:rPr>
          <w:rFonts w:eastAsia="Times New Roman"/>
          <w:color w:val="000000"/>
          <w:sz w:val="26"/>
          <w:szCs w:val="26"/>
        </w:rPr>
        <w:t>a) Ý thức và hiệu quả tham gia các hoạt động rèn luyện về chính trị, xã hội, văn hoá, văn nghệ, thể thao;</w:t>
      </w:r>
    </w:p>
    <w:p>
      <w:pPr>
        <w:pStyle w:val="Normal"/>
        <w:tabs>
          <w:tab w:val="clear" w:pos="720"/>
          <w:tab w:val="left" w:pos="872" w:leader="none"/>
        </w:tabs>
        <w:spacing w:lineRule="auto" w:line="360" w:before="0" w:after="0"/>
        <w:ind w:firstLine="544" w:end="0"/>
        <w:jc w:val="both"/>
        <w:rPr>
          <w:rFonts w:eastAsia="Times New Roman"/>
          <w:color w:val="000000"/>
          <w:sz w:val="26"/>
          <w:szCs w:val="26"/>
        </w:rPr>
      </w:pPr>
      <w:r>
        <w:rPr>
          <w:rFonts w:eastAsia="Times New Roman"/>
          <w:color w:val="000000"/>
          <w:sz w:val="26"/>
          <w:szCs w:val="26"/>
        </w:rPr>
        <w:t>b)  Ý thức tham gia các hoạt động công ích, tình nguyện, công tác xã hội;</w:t>
      </w:r>
    </w:p>
    <w:p>
      <w:pPr>
        <w:pStyle w:val="Normal"/>
        <w:tabs>
          <w:tab w:val="clear" w:pos="720"/>
          <w:tab w:val="left" w:pos="872" w:leader="none"/>
        </w:tabs>
        <w:spacing w:lineRule="auto" w:line="360" w:before="0" w:after="0"/>
        <w:ind w:firstLine="544" w:end="0"/>
        <w:jc w:val="both"/>
        <w:rPr>
          <w:rFonts w:eastAsia="Times New Roman"/>
          <w:color w:val="000000"/>
          <w:sz w:val="26"/>
          <w:szCs w:val="26"/>
        </w:rPr>
      </w:pPr>
      <w:r>
        <w:rPr>
          <w:rFonts w:eastAsia="Times New Roman"/>
          <w:color w:val="000000"/>
          <w:sz w:val="26"/>
          <w:szCs w:val="26"/>
        </w:rPr>
        <w:t>c) Tham gia tuyên truyền, phòng chống tội phạm và các tệ nạn xã hội.</w:t>
      </w:r>
    </w:p>
    <w:p>
      <w:pPr>
        <w:pStyle w:val="Normal"/>
        <w:tabs>
          <w:tab w:val="clear" w:pos="720"/>
          <w:tab w:val="left" w:pos="872" w:leader="none"/>
        </w:tabs>
        <w:spacing w:lineRule="auto" w:line="360" w:before="0" w:after="240"/>
        <w:ind w:firstLine="547" w:end="0"/>
        <w:jc w:val="both"/>
        <w:rPr>
          <w:rFonts w:eastAsia="Times New Roman"/>
          <w:color w:val="000000"/>
          <w:sz w:val="26"/>
          <w:szCs w:val="26"/>
        </w:rPr>
      </w:pPr>
      <w:r>
        <w:rPr>
          <w:rFonts w:eastAsia="Times New Roman"/>
          <w:color w:val="000000"/>
          <w:sz w:val="26"/>
          <w:szCs w:val="26"/>
        </w:rPr>
        <w:t>2. Khung điểm đánh giá từ 0 đến 20 điểm, quy định cụ thể như sau:</w:t>
      </w:r>
    </w:p>
    <w:p>
      <w:pPr>
        <w:pStyle w:val="Normal"/>
        <w:spacing w:lineRule="auto" w:line="408" w:before="0" w:after="0"/>
        <w:ind w:firstLine="567" w:end="0"/>
        <w:jc w:val="both"/>
        <w:rPr>
          <w:rFonts w:eastAsia="Times New Roman"/>
          <w:b/>
          <w:bCs/>
          <w:color w:val="000000"/>
          <w:sz w:val="26"/>
          <w:szCs w:val="26"/>
        </w:rPr>
      </w:pPr>
      <w:r>
        <w:rPr>
          <w:rFonts w:eastAsia="Times New Roman"/>
          <w:b/>
          <w:bCs/>
          <w:color w:val="000000"/>
          <w:sz w:val="26"/>
          <w:szCs w:val="26"/>
        </w:rPr>
        <w:t>Điều 7. Đánh giá về ý thức công dân trong quan hệ cộng đồng</w:t>
      </w:r>
    </w:p>
    <w:p>
      <w:pPr>
        <w:pStyle w:val="Normal"/>
        <w:tabs>
          <w:tab w:val="clear" w:pos="720"/>
          <w:tab w:val="left" w:pos="872" w:leader="none"/>
        </w:tabs>
        <w:spacing w:lineRule="auto" w:line="408" w:before="0" w:after="0"/>
        <w:ind w:firstLine="544" w:end="0"/>
        <w:jc w:val="both"/>
        <w:rPr>
          <w:rFonts w:eastAsia="Times New Roman"/>
          <w:color w:val="000000"/>
          <w:sz w:val="26"/>
          <w:szCs w:val="26"/>
        </w:rPr>
      </w:pPr>
      <w:r>
        <w:rPr>
          <w:rFonts w:eastAsia="Times New Roman"/>
          <w:color w:val="000000"/>
          <w:sz w:val="26"/>
          <w:szCs w:val="26"/>
        </w:rPr>
        <w:t>1. Các tiêu chí để xác định điểm đánh giá:</w:t>
      </w:r>
    </w:p>
    <w:p>
      <w:pPr>
        <w:pStyle w:val="Normal"/>
        <w:tabs>
          <w:tab w:val="clear" w:pos="720"/>
          <w:tab w:val="left" w:pos="872" w:leader="none"/>
        </w:tabs>
        <w:spacing w:lineRule="auto" w:line="408" w:before="0" w:after="0"/>
        <w:ind w:firstLine="544" w:end="0"/>
        <w:jc w:val="both"/>
        <w:rPr>
          <w:rFonts w:eastAsia="Times New Roman"/>
          <w:color w:val="000000"/>
          <w:sz w:val="26"/>
          <w:szCs w:val="26"/>
        </w:rPr>
      </w:pPr>
      <w:r>
        <w:rPr>
          <w:rFonts w:eastAsia="Times New Roman"/>
          <w:color w:val="000000"/>
          <w:sz w:val="26"/>
          <w:szCs w:val="26"/>
        </w:rPr>
        <w:t>a) Ý thức chấp hành và tham gia tuyên truyền các chủ trương của Đảng, chính sách, pháp luật của Nhà nước trong cộng đồng;</w:t>
      </w:r>
    </w:p>
    <w:p>
      <w:pPr>
        <w:pStyle w:val="Normal"/>
        <w:tabs>
          <w:tab w:val="clear" w:pos="720"/>
          <w:tab w:val="left" w:pos="872" w:leader="none"/>
        </w:tabs>
        <w:spacing w:lineRule="auto" w:line="408" w:before="0" w:after="0"/>
        <w:ind w:firstLine="544" w:end="0"/>
        <w:jc w:val="both"/>
        <w:rPr>
          <w:rFonts w:eastAsia="Times New Roman"/>
          <w:color w:val="000000"/>
          <w:sz w:val="26"/>
          <w:szCs w:val="26"/>
        </w:rPr>
      </w:pPr>
      <w:r>
        <w:rPr>
          <w:rFonts w:eastAsia="Times New Roman"/>
          <w:color w:val="000000"/>
          <w:sz w:val="26"/>
          <w:szCs w:val="26"/>
        </w:rPr>
        <w:t>b) Ý thức tham gia các hoạt động xã hội có thành tích được ghi nhận, biểu dương, khen thưởng;</w:t>
      </w:r>
    </w:p>
    <w:p>
      <w:pPr>
        <w:pStyle w:val="Normal"/>
        <w:tabs>
          <w:tab w:val="clear" w:pos="720"/>
          <w:tab w:val="left" w:pos="872" w:leader="none"/>
        </w:tabs>
        <w:spacing w:lineRule="auto" w:line="408" w:before="0" w:after="0"/>
        <w:ind w:firstLine="544" w:end="0"/>
        <w:jc w:val="both"/>
        <w:rPr>
          <w:rFonts w:eastAsia="Times New Roman"/>
          <w:color w:val="000000"/>
          <w:sz w:val="26"/>
          <w:szCs w:val="26"/>
        </w:rPr>
      </w:pPr>
      <w:r>
        <w:rPr>
          <w:rFonts w:eastAsia="Times New Roman"/>
          <w:color w:val="000000"/>
          <w:sz w:val="26"/>
          <w:szCs w:val="26"/>
        </w:rPr>
        <w:t>c) Có tinh thần chia sẻ, giúp đỡ người thân, người có khó khăn, hoạn nạn.</w:t>
      </w:r>
    </w:p>
    <w:p>
      <w:pPr>
        <w:pStyle w:val="Normal"/>
        <w:tabs>
          <w:tab w:val="clear" w:pos="720"/>
          <w:tab w:val="left" w:pos="872" w:leader="none"/>
        </w:tabs>
        <w:spacing w:lineRule="auto" w:line="408" w:before="0" w:after="0"/>
        <w:ind w:firstLine="544" w:end="0"/>
        <w:jc w:val="both"/>
        <w:rPr>
          <w:rFonts w:eastAsia="Times New Roman"/>
          <w:color w:val="000000"/>
          <w:sz w:val="26"/>
          <w:szCs w:val="26"/>
        </w:rPr>
      </w:pPr>
      <w:r>
        <w:rPr>
          <w:rFonts w:eastAsia="Times New Roman"/>
          <w:color w:val="000000"/>
          <w:sz w:val="26"/>
          <w:szCs w:val="26"/>
        </w:rPr>
        <w:t>2. Khung điểm đánh giá từ 0 đến 25 điểm, quy định cụ thể như sau:</w:t>
      </w:r>
    </w:p>
    <w:p>
      <w:pPr>
        <w:pStyle w:val="Normal"/>
        <w:spacing w:lineRule="auto" w:line="360" w:before="0" w:after="0"/>
        <w:ind w:firstLine="567" w:end="0"/>
        <w:jc w:val="both"/>
        <w:rPr>
          <w:rFonts w:eastAsia="Times New Roman"/>
          <w:b/>
          <w:bCs/>
          <w:color w:val="000000"/>
          <w:sz w:val="26"/>
          <w:szCs w:val="26"/>
        </w:rPr>
      </w:pPr>
      <w:r>
        <w:rPr>
          <w:rFonts w:eastAsia="Times New Roman"/>
          <w:b/>
          <w:bCs/>
          <w:color w:val="000000"/>
          <w:sz w:val="26"/>
          <w:szCs w:val="26"/>
        </w:rPr>
        <w:t>Điều 8. Đánh giá về ý thức và kết quả tham gia công tác cán bộ lớp, các đoàn thể, tổ chức trong Trường hoặc đạt được thành tích đặc biệt trong học tập, rèn luyện</w:t>
      </w:r>
    </w:p>
    <w:p>
      <w:pPr>
        <w:pStyle w:val="Normal"/>
        <w:tabs>
          <w:tab w:val="clear" w:pos="720"/>
          <w:tab w:val="left" w:pos="872" w:leader="none"/>
        </w:tabs>
        <w:spacing w:lineRule="auto" w:line="360" w:before="0" w:after="0"/>
        <w:ind w:firstLine="544" w:end="0"/>
        <w:jc w:val="both"/>
        <w:rPr>
          <w:rFonts w:eastAsia="Times New Roman"/>
          <w:color w:val="000000"/>
          <w:sz w:val="26"/>
          <w:szCs w:val="26"/>
        </w:rPr>
      </w:pPr>
      <w:r>
        <w:rPr>
          <w:rFonts w:eastAsia="Times New Roman"/>
          <w:color w:val="000000"/>
          <w:sz w:val="26"/>
          <w:szCs w:val="26"/>
        </w:rPr>
        <w:t>1. Các tiêu chí để xác định điểm đánh giá:</w:t>
      </w:r>
    </w:p>
    <w:p>
      <w:pPr>
        <w:pStyle w:val="Normal"/>
        <w:tabs>
          <w:tab w:val="clear" w:pos="720"/>
          <w:tab w:val="left" w:pos="872" w:leader="none"/>
        </w:tabs>
        <w:spacing w:lineRule="auto" w:line="360" w:before="0" w:after="0"/>
        <w:ind w:firstLine="544" w:end="0"/>
        <w:jc w:val="both"/>
        <w:rPr>
          <w:rFonts w:eastAsia="Times New Roman"/>
          <w:color w:val="000000"/>
          <w:sz w:val="26"/>
          <w:szCs w:val="26"/>
        </w:rPr>
      </w:pPr>
      <w:r>
        <w:rPr>
          <w:rFonts w:eastAsia="Times New Roman"/>
          <w:color w:val="000000"/>
          <w:sz w:val="26"/>
          <w:szCs w:val="26"/>
        </w:rPr>
        <w:t>a) Ý thức, tinh thần, thái độ, uy tín và hiệu quả công việc của sinh viên được phân công nhiệm vụ quản lý lớp, các tổ chức Đảng, Đoàn thanh niên, Hội sinh viên và các tổ chức khác trong Trường;</w:t>
      </w:r>
    </w:p>
    <w:p>
      <w:pPr>
        <w:pStyle w:val="Normal"/>
        <w:tabs>
          <w:tab w:val="clear" w:pos="720"/>
          <w:tab w:val="left" w:pos="872" w:leader="none"/>
        </w:tabs>
        <w:spacing w:lineRule="auto" w:line="360" w:before="0" w:after="0"/>
        <w:ind w:firstLine="544" w:end="0"/>
        <w:jc w:val="both"/>
        <w:rPr>
          <w:rFonts w:eastAsia="Times New Roman"/>
          <w:color w:val="000000"/>
          <w:sz w:val="26"/>
          <w:szCs w:val="26"/>
        </w:rPr>
      </w:pPr>
      <w:r>
        <w:rPr>
          <w:rFonts w:eastAsia="Times New Roman"/>
          <w:color w:val="000000"/>
          <w:sz w:val="26"/>
          <w:szCs w:val="26"/>
        </w:rPr>
        <w:t>b) Kỹ năng tổ chức, quản lý lớp, quản lý các tổ chức Đảng, Đoàn thanh niên, Hội sinh viên và các tổ chức khác trong Trường;</w:t>
      </w:r>
    </w:p>
    <w:p>
      <w:pPr>
        <w:pStyle w:val="Normal"/>
        <w:tabs>
          <w:tab w:val="clear" w:pos="720"/>
          <w:tab w:val="left" w:pos="872" w:leader="none"/>
        </w:tabs>
        <w:spacing w:lineRule="auto" w:line="360" w:before="0" w:after="0"/>
        <w:ind w:firstLine="544" w:end="0"/>
        <w:jc w:val="both"/>
        <w:rPr>
          <w:rFonts w:eastAsia="Times New Roman"/>
          <w:color w:val="000000"/>
          <w:sz w:val="26"/>
          <w:szCs w:val="26"/>
        </w:rPr>
      </w:pPr>
      <w:r>
        <w:rPr>
          <w:rFonts w:eastAsia="Times New Roman"/>
          <w:color w:val="000000"/>
          <w:sz w:val="26"/>
          <w:szCs w:val="26"/>
        </w:rPr>
        <w:t>c) Hỗ trợ và tham gia tích cực vào các hoạt động chung của lớp, tập thể, khoa và Trường;</w:t>
      </w:r>
    </w:p>
    <w:p>
      <w:pPr>
        <w:pStyle w:val="Normal"/>
        <w:tabs>
          <w:tab w:val="clear" w:pos="720"/>
          <w:tab w:val="left" w:pos="872" w:leader="none"/>
        </w:tabs>
        <w:spacing w:lineRule="auto" w:line="360" w:before="0" w:after="0"/>
        <w:ind w:firstLine="544" w:end="0"/>
        <w:jc w:val="both"/>
        <w:rPr>
          <w:rFonts w:eastAsia="Times New Roman"/>
          <w:color w:val="000000"/>
          <w:sz w:val="26"/>
          <w:szCs w:val="26"/>
        </w:rPr>
      </w:pPr>
      <w:r>
        <w:rPr>
          <w:rFonts w:eastAsia="Times New Roman"/>
          <w:color w:val="000000"/>
          <w:sz w:val="26"/>
          <w:szCs w:val="26"/>
        </w:rPr>
        <w:t>d) Sinh viên đạt được các thành tích đặc biệt trong học tập, rèn luyện.</w:t>
      </w:r>
    </w:p>
    <w:p>
      <w:pPr>
        <w:pStyle w:val="Normal"/>
        <w:spacing w:lineRule="auto" w:line="360" w:before="0" w:after="0"/>
        <w:ind w:firstLine="567" w:end="0"/>
        <w:jc w:val="both"/>
        <w:rPr>
          <w:rFonts w:eastAsia="Times New Roman"/>
          <w:b/>
          <w:bCs/>
          <w:color w:val="000000"/>
          <w:sz w:val="26"/>
          <w:szCs w:val="26"/>
        </w:rPr>
      </w:pPr>
      <w:r>
        <w:rPr>
          <w:rFonts w:eastAsia="Times New Roman"/>
          <w:b/>
          <w:bCs/>
          <w:color w:val="000000"/>
          <w:sz w:val="26"/>
          <w:szCs w:val="26"/>
        </w:rPr>
        <w:t>Điều 9. Phân loại kết quả rèn luyện</w:t>
      </w:r>
    </w:p>
    <w:p>
      <w:pPr>
        <w:pStyle w:val="Normal"/>
        <w:tabs>
          <w:tab w:val="clear" w:pos="720"/>
          <w:tab w:val="left" w:pos="872" w:leader="none"/>
        </w:tabs>
        <w:spacing w:lineRule="auto" w:line="360" w:before="0" w:after="0"/>
        <w:ind w:firstLine="544" w:end="0"/>
        <w:jc w:val="both"/>
        <w:rPr>
          <w:rFonts w:eastAsia="Times New Roman"/>
          <w:color w:val="000000"/>
          <w:sz w:val="26"/>
          <w:szCs w:val="26"/>
        </w:rPr>
      </w:pPr>
      <w:r>
        <w:rPr>
          <w:rFonts w:eastAsia="Times New Roman"/>
          <w:color w:val="000000"/>
          <w:sz w:val="26"/>
          <w:szCs w:val="26"/>
        </w:rPr>
        <w:t xml:space="preserve">Kết quả rèn luyện được phân thành các loại như sau: </w:t>
      </w:r>
    </w:p>
    <w:p>
      <w:pPr>
        <w:pStyle w:val="Normal"/>
        <w:tabs>
          <w:tab w:val="clear" w:pos="720"/>
          <w:tab w:val="left" w:pos="872" w:leader="none"/>
        </w:tabs>
        <w:spacing w:lineRule="auto" w:line="360" w:before="0" w:after="0"/>
        <w:ind w:firstLine="544" w:start="544" w:end="0"/>
        <w:jc w:val="both"/>
        <w:rPr>
          <w:rFonts w:eastAsia="Times New Roman"/>
          <w:color w:val="000000"/>
          <w:sz w:val="26"/>
          <w:szCs w:val="26"/>
        </w:rPr>
      </w:pPr>
      <w:r>
        <w:rPr>
          <w:rFonts w:eastAsia="Times New Roman"/>
          <w:color w:val="000000"/>
          <w:sz w:val="26"/>
          <w:szCs w:val="26"/>
        </w:rPr>
        <w:t>a) Từ 90 đến 100 điểm: loại xuất sắc;</w:t>
      </w:r>
    </w:p>
    <w:p>
      <w:pPr>
        <w:pStyle w:val="Normal"/>
        <w:tabs>
          <w:tab w:val="clear" w:pos="720"/>
          <w:tab w:val="left" w:pos="872" w:leader="none"/>
        </w:tabs>
        <w:spacing w:lineRule="auto" w:line="360" w:before="0" w:after="0"/>
        <w:ind w:firstLine="544" w:start="544" w:end="0"/>
        <w:jc w:val="both"/>
        <w:rPr>
          <w:rFonts w:eastAsia="Times New Roman"/>
          <w:color w:val="000000"/>
          <w:sz w:val="26"/>
          <w:szCs w:val="26"/>
        </w:rPr>
      </w:pPr>
      <w:r>
        <w:rPr>
          <w:rFonts w:eastAsia="Times New Roman"/>
          <w:color w:val="000000"/>
          <w:sz w:val="26"/>
          <w:szCs w:val="26"/>
        </w:rPr>
        <w:t>b) Từ 80 đến dưới 90 điểm: loại tốt;</w:t>
      </w:r>
    </w:p>
    <w:p>
      <w:pPr>
        <w:pStyle w:val="Normal"/>
        <w:tabs>
          <w:tab w:val="clear" w:pos="720"/>
          <w:tab w:val="left" w:pos="872" w:leader="none"/>
        </w:tabs>
        <w:spacing w:lineRule="auto" w:line="360" w:before="0" w:after="0"/>
        <w:ind w:firstLine="544" w:start="544" w:end="0"/>
        <w:jc w:val="both"/>
        <w:rPr>
          <w:rFonts w:eastAsia="Times New Roman"/>
          <w:color w:val="000000"/>
          <w:sz w:val="26"/>
          <w:szCs w:val="26"/>
        </w:rPr>
      </w:pPr>
      <w:r>
        <w:rPr>
          <w:rFonts w:eastAsia="Times New Roman"/>
          <w:color w:val="000000"/>
          <w:sz w:val="26"/>
          <w:szCs w:val="26"/>
        </w:rPr>
        <w:t>c) Từ 65 đến dưới 80 điểm: loại khá;</w:t>
      </w:r>
    </w:p>
    <w:p>
      <w:pPr>
        <w:pStyle w:val="Normal"/>
        <w:tabs>
          <w:tab w:val="clear" w:pos="720"/>
          <w:tab w:val="left" w:pos="872" w:leader="none"/>
        </w:tabs>
        <w:spacing w:lineRule="auto" w:line="360" w:before="0" w:after="0"/>
        <w:ind w:firstLine="544" w:start="544" w:end="0"/>
        <w:jc w:val="both"/>
        <w:rPr>
          <w:rFonts w:eastAsia="Times New Roman"/>
          <w:color w:val="000000"/>
          <w:sz w:val="26"/>
          <w:szCs w:val="26"/>
        </w:rPr>
      </w:pPr>
      <w:r>
        <w:rPr>
          <w:rFonts w:eastAsia="Times New Roman"/>
          <w:color w:val="000000"/>
          <w:sz w:val="26"/>
          <w:szCs w:val="26"/>
        </w:rPr>
        <w:t>d) Từ 50 đến dưới 65 điểm: loại trung bình;</w:t>
      </w:r>
    </w:p>
    <w:p>
      <w:pPr>
        <w:pStyle w:val="Normal"/>
        <w:tabs>
          <w:tab w:val="clear" w:pos="720"/>
          <w:tab w:val="left" w:pos="872" w:leader="none"/>
        </w:tabs>
        <w:spacing w:lineRule="auto" w:line="360" w:before="0" w:after="0"/>
        <w:ind w:firstLine="544" w:start="544" w:end="0"/>
        <w:jc w:val="both"/>
        <w:rPr>
          <w:rFonts w:eastAsia="Times New Roman"/>
          <w:color w:val="000000"/>
          <w:sz w:val="26"/>
          <w:szCs w:val="26"/>
        </w:rPr>
      </w:pPr>
      <w:r>
        <w:rPr>
          <w:rFonts w:eastAsia="Times New Roman"/>
          <w:color w:val="000000"/>
          <w:sz w:val="26"/>
          <w:szCs w:val="26"/>
        </w:rPr>
        <w:t>e) Từ 35 đến dưới 50 điểm: loại yếu;</w:t>
      </w:r>
    </w:p>
    <w:p>
      <w:pPr>
        <w:pStyle w:val="Normal"/>
        <w:tabs>
          <w:tab w:val="clear" w:pos="720"/>
          <w:tab w:val="left" w:pos="872" w:leader="none"/>
        </w:tabs>
        <w:spacing w:lineRule="auto" w:line="360" w:before="0" w:after="0"/>
        <w:ind w:firstLine="544" w:start="544" w:end="0"/>
        <w:jc w:val="both"/>
        <w:rPr>
          <w:rFonts w:eastAsia="Times New Roman"/>
          <w:color w:val="000000"/>
          <w:sz w:val="26"/>
          <w:szCs w:val="26"/>
        </w:rPr>
      </w:pPr>
      <w:r>
        <w:rPr>
          <w:rFonts w:eastAsia="Times New Roman"/>
          <w:color w:val="000000"/>
          <w:sz w:val="26"/>
          <w:szCs w:val="26"/>
        </w:rPr>
        <w:t>g) Dưới 35 điểm: loại kém.</w:t>
      </w:r>
    </w:p>
    <w:p>
      <w:pPr>
        <w:pStyle w:val="Normal"/>
        <w:spacing w:lineRule="auto" w:line="360" w:before="0" w:after="0"/>
        <w:ind w:firstLine="562" w:end="0"/>
        <w:jc w:val="both"/>
        <w:rPr>
          <w:rFonts w:eastAsia="Times New Roman"/>
          <w:b/>
          <w:bCs/>
          <w:color w:val="000000"/>
          <w:sz w:val="26"/>
          <w:szCs w:val="26"/>
        </w:rPr>
      </w:pPr>
      <w:r>
        <w:rPr>
          <w:rFonts w:eastAsia="Times New Roman"/>
          <w:b/>
          <w:bCs/>
          <w:color w:val="000000"/>
          <w:sz w:val="26"/>
          <w:szCs w:val="26"/>
        </w:rPr>
        <w:t xml:space="preserve">Điều 10. Phân loại để đánh giá </w:t>
      </w:r>
    </w:p>
    <w:p>
      <w:pPr>
        <w:pStyle w:val="Normal"/>
        <w:spacing w:lineRule="auto" w:line="360" w:before="0" w:after="0"/>
        <w:ind w:firstLine="562" w:end="0"/>
        <w:jc w:val="both"/>
        <w:rPr>
          <w:rFonts w:eastAsia="Times New Roman"/>
          <w:sz w:val="26"/>
          <w:szCs w:val="26"/>
        </w:rPr>
      </w:pPr>
      <w:r>
        <w:rPr>
          <w:rFonts w:eastAsia="Times New Roman"/>
          <w:sz w:val="26"/>
          <w:szCs w:val="26"/>
        </w:rPr>
        <w:t>1. Sinh viên học bình thường:</w:t>
      </w:r>
    </w:p>
    <w:p>
      <w:pPr>
        <w:pStyle w:val="Normal"/>
        <w:spacing w:lineRule="auto" w:line="360" w:before="0" w:after="0"/>
        <w:ind w:firstLine="562" w:end="0"/>
        <w:jc w:val="both"/>
        <w:rPr>
          <w:rFonts w:eastAsia="Times New Roman"/>
          <w:sz w:val="26"/>
          <w:szCs w:val="26"/>
        </w:rPr>
      </w:pPr>
      <w:r>
        <w:rPr>
          <w:rFonts w:eastAsia="Times New Roman"/>
          <w:sz w:val="26"/>
          <w:szCs w:val="26"/>
        </w:rPr>
        <w:t>Việc đánh giá kết quả rèn luyện của sinh viên được tiến hành định kỳ theo từng học kỳ, năm học và toàn khóa học.</w:t>
      </w:r>
    </w:p>
    <w:p>
      <w:pPr>
        <w:pStyle w:val="Normal"/>
        <w:spacing w:lineRule="auto" w:line="360" w:before="0" w:after="0"/>
        <w:ind w:firstLine="562" w:end="0"/>
        <w:jc w:val="both"/>
        <w:rPr>
          <w:rFonts w:eastAsia="Times New Roman"/>
          <w:sz w:val="26"/>
          <w:szCs w:val="26"/>
        </w:rPr>
      </w:pPr>
      <w:r>
        <w:rPr>
          <w:rFonts w:eastAsia="Times New Roman"/>
          <w:sz w:val="26"/>
          <w:szCs w:val="26"/>
        </w:rPr>
        <w:t>2. Sinh viên học đồng thời hai chương trình đào tạo:</w:t>
      </w:r>
    </w:p>
    <w:p>
      <w:pPr>
        <w:pStyle w:val="Normal"/>
        <w:spacing w:lineRule="auto" w:line="360" w:before="0" w:after="0"/>
        <w:ind w:firstLine="562" w:end="0"/>
        <w:jc w:val="both"/>
        <w:rPr>
          <w:rFonts w:eastAsia="Times New Roman"/>
          <w:sz w:val="26"/>
          <w:szCs w:val="26"/>
        </w:rPr>
      </w:pPr>
      <w:r>
        <w:rPr>
          <w:rFonts w:eastAsia="Times New Roman"/>
          <w:sz w:val="26"/>
          <w:szCs w:val="26"/>
        </w:rPr>
        <w:t>- Các kỳ sinh viên học đồng thời hai chương trình: việc đánh giá rèn luyện do lớp sinh viên và khoa phụ trách chương trình thứ nhất thực hiện.</w:t>
      </w:r>
    </w:p>
    <w:p>
      <w:pPr>
        <w:pStyle w:val="Normal"/>
        <w:spacing w:lineRule="auto" w:line="360" w:before="0" w:after="0"/>
        <w:ind w:firstLine="562" w:end="0"/>
        <w:jc w:val="both"/>
        <w:rPr>
          <w:rFonts w:eastAsia="Times New Roman"/>
          <w:sz w:val="26"/>
          <w:szCs w:val="26"/>
        </w:rPr>
      </w:pPr>
      <w:r>
        <w:rPr>
          <w:rFonts w:eastAsia="Times New Roman"/>
          <w:sz w:val="26"/>
          <w:szCs w:val="26"/>
        </w:rPr>
        <w:t>- Các kỳ sinh viên chỉ học các môn học chương trình thứ hai (sau khi đã tốt nghiệp chương trình đào tạo thứ nhất): việc đánh giá rèn luyện do lớp sinh viên và khoa phụ trách chương trình thứ hai thực hiện.</w:t>
      </w:r>
    </w:p>
    <w:p>
      <w:pPr>
        <w:pStyle w:val="Normal"/>
        <w:spacing w:lineRule="auto" w:line="360" w:before="0" w:after="0"/>
        <w:ind w:firstLine="562" w:end="0"/>
        <w:jc w:val="both"/>
        <w:rPr>
          <w:rFonts w:eastAsia="Times New Roman"/>
          <w:sz w:val="26"/>
          <w:szCs w:val="26"/>
        </w:rPr>
      </w:pPr>
      <w:r>
        <w:rPr>
          <w:rFonts w:eastAsia="Times New Roman"/>
          <w:sz w:val="26"/>
          <w:szCs w:val="26"/>
        </w:rPr>
        <w:t>- Điểm rèn luyện toàn khóa học chương trình thứ hai: là trung bình chung của điểm rèn luyện các học kỳ trong toàn khoá học (gồm toàn bộ thời gian học chương trình thứ nhất và thời gian học chương trình thứ hai).</w:t>
      </w:r>
    </w:p>
    <w:p>
      <w:pPr>
        <w:pStyle w:val="Normal"/>
        <w:spacing w:lineRule="auto" w:line="360" w:before="0" w:after="0"/>
        <w:ind w:firstLine="562" w:end="0"/>
        <w:jc w:val="both"/>
        <w:rPr>
          <w:rFonts w:eastAsia="Times New Roman"/>
          <w:sz w:val="26"/>
          <w:szCs w:val="26"/>
        </w:rPr>
      </w:pPr>
      <w:r>
        <w:rPr>
          <w:rFonts w:eastAsia="Times New Roman"/>
          <w:color w:val="000000"/>
          <w:sz w:val="26"/>
          <w:szCs w:val="26"/>
        </w:rPr>
        <w:t>3. Sinh viên hoàn thành chương trình học và tốt nghiệp chậm so với quy định của khoá học thì tiếp tục được đánh giá kết quả rèn luyện trong thời gian đang hoàn thành bổ sung chương trình học và tốt nghiệp.</w:t>
      </w:r>
    </w:p>
    <w:p>
      <w:pPr>
        <w:pStyle w:val="Normal"/>
        <w:spacing w:lineRule="auto" w:line="360" w:before="0" w:after="0"/>
        <w:ind w:firstLine="562" w:end="0"/>
        <w:jc w:val="both"/>
        <w:rPr>
          <w:rFonts w:eastAsia="Times New Roman"/>
          <w:sz w:val="26"/>
          <w:szCs w:val="26"/>
        </w:rPr>
      </w:pPr>
      <w:r>
        <w:rPr>
          <w:rFonts w:eastAsia="Times New Roman"/>
          <w:color w:val="000000"/>
          <w:sz w:val="26"/>
          <w:szCs w:val="26"/>
        </w:rPr>
        <w:t>4. Sinh viên nghỉ học tạm thời được bảo lưu kết quả rèn luyện, sẽ được đánh giá kết quả rèn luyện khi tiếp tục trở lại học tập theo quy định.</w:t>
      </w:r>
    </w:p>
    <w:p>
      <w:pPr>
        <w:pStyle w:val="Normal"/>
        <w:spacing w:lineRule="auto" w:line="360" w:before="0" w:after="0"/>
        <w:ind w:firstLine="562" w:end="0"/>
        <w:jc w:val="both"/>
        <w:rPr>
          <w:rFonts w:eastAsia="Times New Roman"/>
          <w:sz w:val="26"/>
          <w:szCs w:val="26"/>
        </w:rPr>
      </w:pPr>
      <w:r>
        <w:rPr>
          <w:rFonts w:eastAsia="Times New Roman"/>
          <w:color w:val="000000"/>
          <w:sz w:val="26"/>
          <w:szCs w:val="26"/>
        </w:rPr>
        <w:t>5. Sinh viên khuyết tật, tàn tật, mồ côi cả cha lẫn mẹ hoặc cha hoặc mẹ, hoàn cảnh gia đình đặc biệt khó khăn có xác nhận của địa phương theo quy định, đối với những hoạt động rèn luyện không có khả năng tham gia hoặc đáp ứng yêu cầu chung thì được ưu tiên, động viên, khuyến khích, cộng điểm khi đánh giá kết quả rèn luyện qua sự nỗ lực và tiến bộ của sinh viên tuỳ thuộc vào đối tượng và hoàn cảnh cụ thể.</w:t>
      </w:r>
    </w:p>
    <w:p>
      <w:pPr>
        <w:pStyle w:val="Normal"/>
        <w:spacing w:lineRule="auto" w:line="360" w:before="0" w:after="0"/>
        <w:ind w:firstLine="562" w:end="0"/>
        <w:jc w:val="both"/>
        <w:rPr>
          <w:rFonts w:eastAsia="Times New Roman"/>
          <w:sz w:val="26"/>
          <w:szCs w:val="26"/>
        </w:rPr>
      </w:pPr>
      <w:r>
        <w:rPr>
          <w:rFonts w:eastAsia="Times New Roman"/>
          <w:color w:val="000000"/>
          <w:sz w:val="26"/>
          <w:szCs w:val="26"/>
        </w:rPr>
        <w:t>6. Sinh viên chuyển trường được sự đồng ý của Hiệu trưởng hai trường thì được bảo lưu kết quả rèn luyện của trường cũ khi học tại trường mới và tiếp tục được đánh giá kết quả rèn luyện ở các học kỳ tiếp theo.</w:t>
      </w:r>
    </w:p>
    <w:p>
      <w:pPr>
        <w:pStyle w:val="Normal"/>
        <w:spacing w:lineRule="auto" w:line="360" w:before="0" w:after="0"/>
        <w:ind w:firstLine="562" w:end="0"/>
        <w:jc w:val="both"/>
        <w:rPr/>
      </w:pPr>
      <w:r>
        <w:rPr>
          <w:rFonts w:eastAsia="Times New Roman"/>
          <w:color w:val="000000"/>
          <w:sz w:val="26"/>
          <w:szCs w:val="26"/>
        </w:rPr>
        <w:t xml:space="preserve">7. Sinh viên </w:t>
      </w:r>
      <w:r>
        <w:rPr>
          <w:rFonts w:eastAsia="Times New Roman"/>
          <w:sz w:val="26"/>
          <w:szCs w:val="26"/>
        </w:rPr>
        <w:t xml:space="preserve">không nộp bản tự đánh giá kết quả rèn luyện trong học kỳ thì học kỳ đó sẽ nhận điểm rèn luyện là 0 điểm (Không điểm) và xếp loại rèn luyện Kém. </w:t>
      </w:r>
    </w:p>
    <w:p>
      <w:pPr>
        <w:pStyle w:val="Normal"/>
        <w:spacing w:lineRule="auto" w:line="360" w:before="0" w:after="0"/>
        <w:ind w:firstLine="562" w:end="0"/>
        <w:jc w:val="both"/>
        <w:rPr>
          <w:rFonts w:eastAsia="Times New Roman"/>
          <w:sz w:val="26"/>
          <w:szCs w:val="26"/>
        </w:rPr>
      </w:pPr>
      <w:r>
        <w:rPr>
          <w:rFonts w:eastAsia="Times New Roman"/>
          <w:sz w:val="26"/>
          <w:szCs w:val="26"/>
        </w:rPr>
        <w:t>Sinh viên có nộp bản tự đánh giá kết quả rèn luyện trong học kỳ nhưng không tham dự buổi họp đánh giá rèn luyện của lớp sẽ bị hạ một bậc so với kết quả đánh giá.</w:t>
      </w:r>
    </w:p>
    <w:p>
      <w:pPr>
        <w:pStyle w:val="Normal"/>
        <w:spacing w:lineRule="auto" w:line="360" w:before="0" w:after="0"/>
        <w:ind w:firstLine="562" w:end="0"/>
        <w:jc w:val="both"/>
        <w:rPr>
          <w:rFonts w:eastAsia="Times New Roman"/>
          <w:sz w:val="26"/>
          <w:szCs w:val="26"/>
        </w:rPr>
      </w:pPr>
      <w:r>
        <w:rPr>
          <w:rFonts w:eastAsia="Times New Roman"/>
          <w:color w:val="000000"/>
          <w:sz w:val="26"/>
          <w:szCs w:val="26"/>
        </w:rPr>
        <w:t xml:space="preserve">8. Trong thời gian sinh viên bị kỷ luật mức khiển trách, khi đánh giá kết quả rèn luyện không được vượt quá loại khá. </w:t>
      </w:r>
    </w:p>
    <w:p>
      <w:pPr>
        <w:pStyle w:val="Normal"/>
        <w:spacing w:lineRule="auto" w:line="360" w:before="0" w:after="0"/>
        <w:ind w:firstLine="562" w:end="0"/>
        <w:jc w:val="both"/>
        <w:rPr>
          <w:rFonts w:eastAsia="Times New Roman"/>
          <w:sz w:val="26"/>
          <w:szCs w:val="26"/>
        </w:rPr>
      </w:pPr>
      <w:r>
        <w:rPr>
          <w:rFonts w:eastAsia="Times New Roman"/>
          <w:color w:val="000000"/>
          <w:sz w:val="26"/>
          <w:szCs w:val="26"/>
        </w:rPr>
        <w:t>9. Trong thời gian sinh viên bị kỷ luật mức cảnh cáo, khi đánh giá kết quả rèn luyện không được vượt quá loại trung bình.</w:t>
      </w:r>
    </w:p>
    <w:p>
      <w:pPr>
        <w:pStyle w:val="Normal"/>
        <w:spacing w:lineRule="auto" w:line="360" w:before="0" w:after="0"/>
        <w:ind w:firstLine="562" w:end="0"/>
        <w:jc w:val="both"/>
        <w:rPr>
          <w:rFonts w:eastAsia="Times New Roman"/>
          <w:sz w:val="26"/>
          <w:szCs w:val="26"/>
        </w:rPr>
      </w:pPr>
      <w:r>
        <w:rPr>
          <w:rFonts w:eastAsia="Times New Roman"/>
          <w:color w:val="000000"/>
          <w:sz w:val="26"/>
          <w:szCs w:val="26"/>
        </w:rPr>
        <w:t>11. Sinh viên bị kỷ luật mức đình chỉ học tập không được đánh giá rèn luyện trong thời gian bị đình chỉ.</w:t>
      </w:r>
    </w:p>
    <w:p>
      <w:pPr>
        <w:pStyle w:val="Normal"/>
        <w:spacing w:lineRule="auto" w:line="360" w:before="0" w:after="0"/>
        <w:ind w:firstLine="562" w:end="0"/>
        <w:jc w:val="both"/>
        <w:rPr>
          <w:rFonts w:eastAsia="Times New Roman"/>
          <w:sz w:val="26"/>
          <w:szCs w:val="26"/>
        </w:rPr>
      </w:pPr>
      <w:r>
        <w:rPr>
          <w:rFonts w:eastAsia="Times New Roman"/>
          <w:sz w:val="26"/>
          <w:szCs w:val="26"/>
        </w:rPr>
        <w:t>12</w:t>
      </w:r>
      <w:r>
        <w:rPr>
          <w:rFonts w:eastAsia="Times New Roman"/>
          <w:color w:val="000000"/>
          <w:sz w:val="26"/>
          <w:szCs w:val="26"/>
        </w:rPr>
        <w:t>. Sinh viên bị kỷ luật mức buộc thôi học không được đánh giá kết quả rèn luyện.</w:t>
      </w:r>
    </w:p>
    <w:p>
      <w:pPr>
        <w:pStyle w:val="Normal"/>
        <w:spacing w:lineRule="auto" w:line="360" w:before="0" w:after="0"/>
        <w:ind w:firstLine="562" w:end="0"/>
        <w:jc w:val="both"/>
        <w:rPr>
          <w:rFonts w:eastAsia="Times New Roman"/>
          <w:color w:val="000000"/>
          <w:sz w:val="26"/>
          <w:szCs w:val="26"/>
        </w:rPr>
      </w:pPr>
      <w:r>
        <w:rPr>
          <w:rFonts w:eastAsia="Times New Roman"/>
          <w:b/>
          <w:bCs/>
          <w:color w:val="000000"/>
          <w:sz w:val="26"/>
          <w:szCs w:val="26"/>
        </w:rPr>
        <w:t>Điều 11. Quy trình đánh giá kết quả rèn luyện</w:t>
      </w:r>
    </w:p>
    <w:p>
      <w:pPr>
        <w:pStyle w:val="Normal"/>
        <w:spacing w:lineRule="auto" w:line="360" w:before="0" w:after="0"/>
        <w:ind w:firstLine="562" w:end="0"/>
        <w:jc w:val="both"/>
        <w:rPr/>
      </w:pPr>
      <w:r>
        <w:rPr>
          <w:rFonts w:eastAsia="Times New Roman"/>
          <w:sz w:val="26"/>
          <w:szCs w:val="26"/>
        </w:rPr>
        <w:t xml:space="preserve">1. Cuối mỗi học kỳ, sinh viên tự đánh giá kết quả rèn luyện theo mức điểm chi tiết do trường quy định </w:t>
      </w:r>
      <w:r>
        <w:rPr>
          <w:rFonts w:eastAsia="Times New Roman"/>
          <w:b/>
          <w:i/>
          <w:sz w:val="26"/>
          <w:szCs w:val="26"/>
        </w:rPr>
        <w:t>(Mẫu M1)</w:t>
      </w:r>
      <w:r>
        <w:rPr>
          <w:rFonts w:eastAsia="Times New Roman"/>
          <w:sz w:val="26"/>
          <w:szCs w:val="26"/>
        </w:rPr>
        <w:t xml:space="preserve"> và nộp cho Ban cán sự lớp.</w:t>
      </w:r>
    </w:p>
    <w:p>
      <w:pPr>
        <w:pStyle w:val="Normal"/>
        <w:spacing w:lineRule="auto" w:line="360" w:before="0" w:after="0"/>
        <w:ind w:firstLine="562" w:end="0"/>
        <w:jc w:val="both"/>
        <w:rPr>
          <w:rFonts w:eastAsia="Times New Roman"/>
          <w:sz w:val="26"/>
          <w:szCs w:val="26"/>
        </w:rPr>
      </w:pPr>
      <w:r>
        <w:rPr>
          <w:rFonts w:eastAsia="Times New Roman"/>
          <w:sz w:val="26"/>
          <w:szCs w:val="26"/>
        </w:rPr>
        <w:t>- Sinh viên chưa được làm tốt nghiệp theo đúng khóa học, đang học trả nợ các môn học thì nộp bản tự đánh giá kết quả rèn luyện cho Trợ lý khoa.</w:t>
      </w:r>
    </w:p>
    <w:p>
      <w:pPr>
        <w:pStyle w:val="Normal"/>
        <w:spacing w:lineRule="auto" w:line="360" w:before="0" w:after="0"/>
        <w:ind w:firstLine="562" w:end="0"/>
        <w:jc w:val="both"/>
        <w:rPr>
          <w:rFonts w:eastAsia="Times New Roman"/>
          <w:sz w:val="26"/>
          <w:szCs w:val="26"/>
        </w:rPr>
      </w:pPr>
      <w:r>
        <w:rPr>
          <w:rFonts w:eastAsia="Times New Roman"/>
          <w:sz w:val="26"/>
          <w:szCs w:val="26"/>
        </w:rPr>
        <w:t>- Sinh viên đã tốt nghiệp chương trình đào tạo thứ nhất, đang tiếp tục theo học chương trình đào tạo thứ hai thì nộp bản tự đánh giá kết quả rèn luyện cho Ban cán sự lớp mà mình đang theo học chương trình thứ hai.</w:t>
      </w:r>
    </w:p>
    <w:p>
      <w:pPr>
        <w:pStyle w:val="Normal"/>
        <w:spacing w:lineRule="auto" w:line="360" w:before="0" w:after="0"/>
        <w:ind w:firstLine="562" w:end="0"/>
        <w:jc w:val="both"/>
        <w:rPr>
          <w:rFonts w:eastAsia="Times New Roman"/>
          <w:sz w:val="26"/>
          <w:szCs w:val="26"/>
        </w:rPr>
      </w:pPr>
      <w:r>
        <w:rPr>
          <w:rFonts w:eastAsia="Times New Roman"/>
          <w:sz w:val="26"/>
          <w:szCs w:val="26"/>
        </w:rPr>
        <w:t xml:space="preserve">2. Giáo viên chủ nhiệm tổ chức họp lớp: tiến hành xem xét và thông qua mức điểm rèn luyện của từng sinh viên trong lớp trên cơ sở phải được quá nửa ý kiến đồng ý của tập thể đơn vị lớp và phải có biên bản kèm theo </w:t>
      </w:r>
      <w:r>
        <w:rPr>
          <w:rFonts w:eastAsia="Times New Roman"/>
          <w:b/>
          <w:i/>
          <w:sz w:val="26"/>
          <w:szCs w:val="26"/>
        </w:rPr>
        <w:t>(Mẫu M2)</w:t>
      </w:r>
    </w:p>
    <w:p>
      <w:pPr>
        <w:pStyle w:val="Normal"/>
        <w:spacing w:lineRule="auto" w:line="360" w:before="0" w:after="0"/>
        <w:ind w:firstLine="562" w:end="0"/>
        <w:jc w:val="both"/>
        <w:rPr>
          <w:rFonts w:eastAsia="Times New Roman"/>
          <w:sz w:val="26"/>
          <w:szCs w:val="26"/>
        </w:rPr>
      </w:pPr>
      <w:r>
        <w:rPr>
          <w:rFonts w:eastAsia="Times New Roman"/>
          <w:sz w:val="26"/>
          <w:szCs w:val="26"/>
        </w:rPr>
        <w:t xml:space="preserve">3. Hội đồng đánh giá kết quả rèn luyện của sinh viên cấp khoa tổ chức họp xét, đánh giá kết quả rèn luyện của từng sinh viên và trình Hội đồng đánh giá kết quả rèn luyện cấp trường </w:t>
      </w:r>
      <w:r>
        <w:rPr>
          <w:rFonts w:eastAsia="Times New Roman"/>
          <w:i/>
          <w:sz w:val="26"/>
          <w:szCs w:val="26"/>
        </w:rPr>
        <w:t xml:space="preserve">(qua phòng Công tác chính trị &amp; Quản lý sinh viên) </w:t>
      </w:r>
      <w:r>
        <w:rPr>
          <w:rFonts w:eastAsia="Times New Roman"/>
          <w:sz w:val="26"/>
          <w:szCs w:val="26"/>
        </w:rPr>
        <w:t xml:space="preserve">xem xét. </w:t>
      </w:r>
      <w:r>
        <w:rPr>
          <w:rFonts w:eastAsia="Times New Roman"/>
          <w:b/>
          <w:i/>
          <w:sz w:val="26"/>
          <w:szCs w:val="26"/>
        </w:rPr>
        <w:t>(Mẫu M3)</w:t>
      </w:r>
    </w:p>
    <w:p>
      <w:pPr>
        <w:pStyle w:val="Normal"/>
        <w:spacing w:lineRule="auto" w:line="360" w:before="0" w:after="0"/>
        <w:ind w:firstLine="562" w:end="0"/>
        <w:jc w:val="both"/>
        <w:rPr>
          <w:rFonts w:eastAsia="Times New Roman"/>
          <w:sz w:val="26"/>
          <w:szCs w:val="26"/>
        </w:rPr>
      </w:pPr>
      <w:r>
        <w:rPr>
          <w:rFonts w:eastAsia="Times New Roman"/>
          <w:sz w:val="26"/>
          <w:szCs w:val="26"/>
        </w:rPr>
        <w:t>4. Hội đồng đánh giá kết quả rèn luyện của sinh viên cấp trường họp xét, đánh giá kết quả rèn luyện của sinh viên trong toàn trường, trình Hiệu trưởng xem xét và công nhận kết quả rèn luyện của sinh viên.</w:t>
      </w:r>
    </w:p>
    <w:p>
      <w:pPr>
        <w:pStyle w:val="Normal"/>
        <w:spacing w:lineRule="auto" w:line="360" w:before="0" w:after="0"/>
        <w:ind w:firstLine="562" w:end="0"/>
        <w:jc w:val="both"/>
        <w:rPr>
          <w:rFonts w:eastAsia="Times New Roman"/>
          <w:sz w:val="26"/>
          <w:szCs w:val="26"/>
        </w:rPr>
      </w:pPr>
      <w:r>
        <w:rPr>
          <w:rFonts w:eastAsia="Times New Roman"/>
          <w:sz w:val="26"/>
          <w:szCs w:val="26"/>
        </w:rPr>
        <w:t>5. Kết quả đánh giá, phân loại rèn luyện của sinh viên được công bố công khai và thông báo cho sinh viên biết sau khi Hiệu trưởng ký Quyết định công nhận kết quả rèn luyện của sinh viên.</w:t>
      </w:r>
    </w:p>
    <w:p>
      <w:pPr>
        <w:pStyle w:val="Normal"/>
        <w:spacing w:lineRule="auto" w:line="360" w:before="0" w:after="0"/>
        <w:ind w:firstLine="567" w:end="0"/>
        <w:jc w:val="both"/>
        <w:rPr>
          <w:rFonts w:eastAsia="Times New Roman"/>
          <w:b/>
          <w:bCs/>
          <w:color w:val="000000"/>
          <w:sz w:val="26"/>
          <w:szCs w:val="26"/>
        </w:rPr>
      </w:pPr>
      <w:r>
        <w:rPr>
          <w:rFonts w:eastAsia="Times New Roman"/>
          <w:b/>
          <w:bCs/>
          <w:color w:val="000000"/>
          <w:sz w:val="26"/>
          <w:szCs w:val="26"/>
        </w:rPr>
        <w:t>Điều 12. Hội đồng đánh giá kết quả rèn luyện</w:t>
      </w:r>
    </w:p>
    <w:p>
      <w:pPr>
        <w:pStyle w:val="Normal"/>
        <w:spacing w:lineRule="auto" w:line="360" w:before="0" w:after="0"/>
        <w:ind w:firstLine="567" w:end="0"/>
        <w:jc w:val="both"/>
        <w:rPr>
          <w:rFonts w:eastAsia="Times New Roman"/>
          <w:sz w:val="26"/>
          <w:szCs w:val="26"/>
        </w:rPr>
      </w:pPr>
      <w:r>
        <w:rPr>
          <w:rFonts w:eastAsia="Times New Roman"/>
          <w:sz w:val="26"/>
          <w:szCs w:val="26"/>
        </w:rPr>
        <w:t>1. Hội đồng đánh giá kết quả rèn luyện của sinh viên cấp Trường là cơ quan tư vấn giúp Hiệu trưởng xem xét, công nhận kết quả rèn luyện của từng sinh viên và chịu sự chỉ đạo trực tiếp của Hiệu trưởng.</w:t>
      </w:r>
    </w:p>
    <w:p>
      <w:pPr>
        <w:pStyle w:val="Normal"/>
        <w:spacing w:lineRule="auto" w:line="360" w:before="0" w:after="0"/>
        <w:ind w:firstLine="720" w:end="0"/>
        <w:jc w:val="both"/>
        <w:rPr>
          <w:rFonts w:eastAsia="Times New Roman"/>
          <w:sz w:val="26"/>
          <w:szCs w:val="26"/>
        </w:rPr>
      </w:pPr>
      <w:r>
        <w:rPr>
          <w:rFonts w:eastAsia="Times New Roman"/>
          <w:sz w:val="26"/>
          <w:szCs w:val="26"/>
        </w:rPr>
        <w:t>a) Thành phần Hội đồng cấp trường, gồm:</w:t>
      </w:r>
    </w:p>
    <w:p>
      <w:pPr>
        <w:pStyle w:val="Normal"/>
        <w:spacing w:lineRule="auto" w:line="360" w:before="0" w:after="0"/>
        <w:ind w:firstLine="567" w:end="0"/>
        <w:jc w:val="both"/>
        <w:rPr>
          <w:rFonts w:eastAsia="Times New Roman"/>
          <w:sz w:val="26"/>
          <w:szCs w:val="26"/>
          <w:lang w:val="en-US"/>
        </w:rPr>
      </w:pPr>
      <w:r>
        <w:rPr>
          <w:rFonts w:eastAsia="Times New Roman"/>
          <w:sz w:val="26"/>
          <w:szCs w:val="26"/>
          <w:lang w:val="en-US"/>
        </w:rPr>
        <w:t>- Chủ tịch Hội đồng: Phó Hiệu trưởng phụ trách công tác sinh viên;</w:t>
      </w:r>
    </w:p>
    <w:p>
      <w:pPr>
        <w:pStyle w:val="Normal"/>
        <w:spacing w:lineRule="auto" w:line="360" w:before="0" w:after="0"/>
        <w:ind w:firstLine="567" w:end="0"/>
        <w:jc w:val="both"/>
        <w:rPr>
          <w:rFonts w:eastAsia="Times New Roman"/>
          <w:sz w:val="26"/>
          <w:szCs w:val="26"/>
        </w:rPr>
      </w:pPr>
      <w:r>
        <w:rPr>
          <w:rFonts w:eastAsia="Times New Roman"/>
          <w:sz w:val="26"/>
          <w:szCs w:val="26"/>
        </w:rPr>
        <w:t>- Thường trực Hội đồng: Trưởng Phòng Công tác chính trị và Quản lý sinh viên;</w:t>
      </w:r>
    </w:p>
    <w:p>
      <w:pPr>
        <w:pStyle w:val="Normal"/>
        <w:spacing w:lineRule="auto" w:line="360" w:before="0" w:after="0"/>
        <w:ind w:firstLine="567" w:end="0"/>
        <w:jc w:val="both"/>
        <w:rPr>
          <w:rFonts w:eastAsia="Times New Roman"/>
          <w:sz w:val="26"/>
          <w:szCs w:val="26"/>
        </w:rPr>
      </w:pPr>
      <w:r>
        <w:rPr>
          <w:rFonts w:eastAsia="Times New Roman"/>
          <w:sz w:val="26"/>
          <w:szCs w:val="26"/>
        </w:rPr>
        <w:t>- Các uỷ viên: Đại diện Lãnh đạo các khoa, phòng có liên quan, Đoàn Thanh niên và Hội Sinh viên cấp trường.</w:t>
      </w:r>
    </w:p>
    <w:p>
      <w:pPr>
        <w:pStyle w:val="Normal"/>
        <w:spacing w:lineRule="auto" w:line="360" w:before="0" w:after="0"/>
        <w:ind w:firstLine="720" w:end="0"/>
        <w:jc w:val="both"/>
        <w:rPr/>
      </w:pPr>
      <w:r>
        <w:rPr>
          <w:rFonts w:eastAsia="Times New Roman"/>
          <w:sz w:val="26"/>
          <w:szCs w:val="26"/>
        </w:rPr>
        <w:t>b) Nhiệm vụ của Hội đồng đánh giá kết quả rèn luyện của sinh viên cấp trường: căn cứ vào các quy định hiện hành, trên cơ sở đề nghị của các Hội đồng đánh giá kết quả rèn luyện cấp khoa, tiến hành xem xét</w:t>
      </w:r>
      <w:r>
        <w:rPr>
          <w:rFonts w:eastAsia="Times New Roman"/>
          <w:spacing w:val="-4"/>
          <w:sz w:val="26"/>
          <w:szCs w:val="26"/>
        </w:rPr>
        <w:t>, đánh giá kết quả rèn luyện của từng sinh viên, đề nghị Hiệu trưởng công nhận.</w:t>
      </w:r>
    </w:p>
    <w:p>
      <w:pPr>
        <w:pStyle w:val="Normal"/>
        <w:spacing w:lineRule="auto" w:line="360" w:before="0" w:after="0"/>
        <w:ind w:firstLine="567" w:end="0"/>
        <w:jc w:val="both"/>
        <w:rPr>
          <w:rFonts w:eastAsia="Times New Roman"/>
          <w:spacing w:val="-6"/>
          <w:sz w:val="26"/>
          <w:szCs w:val="26"/>
        </w:rPr>
      </w:pPr>
      <w:r>
        <w:rPr>
          <w:rFonts w:eastAsia="Times New Roman"/>
          <w:spacing w:val="-6"/>
          <w:sz w:val="26"/>
          <w:szCs w:val="26"/>
        </w:rPr>
        <w:t>2. Hội đồng đánh giá kết quả rèn luyện của sinh viên cấp khoa có nhiệm vụ giúp Trưởng khoa xem xét, đánh giá kết quả rèn luyện của từng sinh viên.</w:t>
      </w:r>
    </w:p>
    <w:p>
      <w:pPr>
        <w:pStyle w:val="Normal"/>
        <w:spacing w:lineRule="auto" w:line="360" w:before="0" w:after="0"/>
        <w:ind w:firstLine="567" w:end="0"/>
        <w:jc w:val="both"/>
        <w:rPr>
          <w:rFonts w:eastAsia="Times New Roman"/>
          <w:sz w:val="26"/>
          <w:szCs w:val="26"/>
          <w:lang w:val="en-US"/>
        </w:rPr>
      </w:pPr>
      <w:r>
        <w:rPr>
          <w:rFonts w:eastAsia="Times New Roman"/>
          <w:sz w:val="26"/>
          <w:szCs w:val="26"/>
          <w:lang w:val="en-US"/>
        </w:rPr>
        <w:t>a) Thành phần Hội đồng cấp Khoa, gồm:</w:t>
      </w:r>
    </w:p>
    <w:p>
      <w:pPr>
        <w:pStyle w:val="Normal"/>
        <w:spacing w:lineRule="auto" w:line="360" w:before="0" w:after="0"/>
        <w:ind w:firstLine="567" w:end="0"/>
        <w:jc w:val="both"/>
        <w:rPr>
          <w:rFonts w:eastAsia="Times New Roman"/>
          <w:sz w:val="26"/>
          <w:szCs w:val="26"/>
          <w:lang w:val="en-US"/>
        </w:rPr>
      </w:pPr>
      <w:r>
        <w:rPr>
          <w:rFonts w:eastAsia="Times New Roman"/>
          <w:sz w:val="26"/>
          <w:szCs w:val="26"/>
          <w:lang w:val="en-US"/>
        </w:rPr>
        <w:t>- Chủ tịch Hội đồng: Trưởng khoa hoặc Phó Trưởng khoa được Trưởng khoa uỷ quyền;</w:t>
      </w:r>
    </w:p>
    <w:p>
      <w:pPr>
        <w:pStyle w:val="Normal"/>
        <w:spacing w:lineRule="auto" w:line="360" w:before="0" w:after="0"/>
        <w:ind w:firstLine="567" w:end="0"/>
        <w:jc w:val="both"/>
        <w:rPr>
          <w:rFonts w:eastAsia="Times New Roman"/>
          <w:sz w:val="26"/>
          <w:szCs w:val="26"/>
          <w:lang w:val="en-US"/>
        </w:rPr>
      </w:pPr>
      <w:r>
        <w:rPr>
          <w:rFonts w:eastAsia="Times New Roman"/>
          <w:sz w:val="26"/>
          <w:szCs w:val="26"/>
          <w:lang w:val="en-US"/>
        </w:rPr>
        <w:t>- Thường trực Hội đồng: Trợ lý Trưởng khoa theo dõi công tác sinh viên;</w:t>
      </w:r>
    </w:p>
    <w:p>
      <w:pPr>
        <w:pStyle w:val="Normal"/>
        <w:spacing w:lineRule="auto" w:line="360" w:before="0" w:after="0"/>
        <w:ind w:firstLine="567" w:end="0"/>
        <w:jc w:val="both"/>
        <w:rPr>
          <w:rFonts w:eastAsia="Times New Roman"/>
          <w:sz w:val="26"/>
          <w:szCs w:val="26"/>
        </w:rPr>
      </w:pPr>
      <w:r>
        <w:rPr>
          <w:rFonts w:eastAsia="Times New Roman"/>
          <w:sz w:val="26"/>
          <w:szCs w:val="26"/>
        </w:rPr>
        <w:t>- Các uỷ viên: Giáo viên chủ nhiệm kiêm cố vấn học tập các lớp, đại diện Liên chi Đoàn Thanh niên cấp khoa.</w:t>
      </w:r>
    </w:p>
    <w:p>
      <w:pPr>
        <w:pStyle w:val="Normal"/>
        <w:spacing w:lineRule="auto" w:line="360" w:before="0" w:after="0"/>
        <w:ind w:firstLine="567" w:end="0"/>
        <w:jc w:val="both"/>
        <w:rPr>
          <w:rFonts w:eastAsia="Times New Roman"/>
          <w:sz w:val="26"/>
          <w:szCs w:val="26"/>
        </w:rPr>
      </w:pPr>
      <w:r>
        <w:rPr>
          <w:rFonts w:eastAsia="Times New Roman"/>
          <w:sz w:val="26"/>
          <w:szCs w:val="26"/>
        </w:rPr>
        <w:t>b) Nhiệm vụ của Hội đồng đánh giá kết quả rèn luyện của sinh viên cấp Khoa: căn cứ đề nghị của tập thể lớp sinh viên, giúp Trưởng khoa đánh giá chính xác, công bằng, công khai và dân chủ kết quả rèn luyện của từng sinh viên trong khoa.</w:t>
      </w:r>
    </w:p>
    <w:p>
      <w:pPr>
        <w:pStyle w:val="Normal"/>
        <w:spacing w:lineRule="auto" w:line="360" w:before="0" w:after="0"/>
        <w:ind w:firstLine="567" w:end="0"/>
        <w:jc w:val="both"/>
        <w:rPr>
          <w:rFonts w:eastAsia="Times New Roman"/>
          <w:b/>
          <w:bCs/>
          <w:color w:val="000000"/>
          <w:sz w:val="26"/>
          <w:szCs w:val="26"/>
        </w:rPr>
      </w:pPr>
      <w:r>
        <w:rPr>
          <w:rFonts w:eastAsia="Times New Roman"/>
          <w:b/>
          <w:bCs/>
          <w:color w:val="000000"/>
          <w:sz w:val="26"/>
          <w:szCs w:val="26"/>
        </w:rPr>
        <w:t>Điều 13. Cách đánh giá kết quả rèn luyện</w:t>
      </w:r>
    </w:p>
    <w:p>
      <w:pPr>
        <w:pStyle w:val="Normal"/>
        <w:spacing w:lineRule="auto" w:line="360" w:before="0" w:after="0"/>
        <w:ind w:firstLine="567" w:end="0"/>
        <w:jc w:val="both"/>
        <w:rPr/>
      </w:pPr>
      <w:r>
        <w:rPr>
          <w:rFonts w:eastAsia="Times New Roman"/>
          <w:sz w:val="26"/>
          <w:szCs w:val="26"/>
          <w:lang w:val="en-US"/>
        </w:rPr>
        <w:t xml:space="preserve">1. Điểm rèn luyện của học kỳ </w:t>
      </w:r>
      <w:r>
        <w:rPr>
          <w:rFonts w:eastAsia="Times New Roman"/>
          <w:sz w:val="26"/>
          <w:szCs w:val="26"/>
        </w:rPr>
        <w:t>là</w:t>
      </w:r>
      <w:r>
        <w:rPr>
          <w:rFonts w:eastAsia="Times New Roman"/>
          <w:sz w:val="26"/>
          <w:szCs w:val="26"/>
          <w:lang w:val="en-US"/>
        </w:rPr>
        <w:t xml:space="preserve"> tổng điểm đạt</w:t>
      </w:r>
      <w:r>
        <w:rPr>
          <w:rFonts w:eastAsia="Times New Roman"/>
          <w:sz w:val="26"/>
          <w:szCs w:val="26"/>
        </w:rPr>
        <w:t xml:space="preserve"> được </w:t>
      </w:r>
      <w:r>
        <w:rPr>
          <w:rFonts w:eastAsia="Times New Roman"/>
          <w:sz w:val="26"/>
          <w:szCs w:val="26"/>
          <w:lang w:val="en-US"/>
        </w:rPr>
        <w:t>của 5 nội dung đánh giá quy định tại đ</w:t>
      </w:r>
      <w:r>
        <w:rPr>
          <w:rFonts w:eastAsia="Times New Roman"/>
          <w:sz w:val="26"/>
          <w:szCs w:val="26"/>
        </w:rPr>
        <w:t xml:space="preserve">iều 4, </w:t>
      </w:r>
      <w:r>
        <w:rPr>
          <w:rFonts w:eastAsia="Times New Roman"/>
          <w:sz w:val="26"/>
          <w:szCs w:val="26"/>
          <w:lang w:val="en-US"/>
        </w:rPr>
        <w:t>điều 5, điều 6, điều 7</w:t>
      </w:r>
      <w:r>
        <w:rPr>
          <w:rFonts w:eastAsia="Times New Roman"/>
          <w:sz w:val="26"/>
          <w:szCs w:val="26"/>
        </w:rPr>
        <w:t xml:space="preserve"> và</w:t>
      </w:r>
      <w:r>
        <w:rPr>
          <w:rFonts w:eastAsia="Times New Roman"/>
          <w:sz w:val="26"/>
          <w:szCs w:val="26"/>
          <w:lang w:val="en-US"/>
        </w:rPr>
        <w:t xml:space="preserve"> điều 8; trong đó điểm thành phần và điểm tổng của các nội dung đánh giá được làm tròn đến 0,5</w:t>
      </w:r>
      <w:r>
        <w:rPr>
          <w:rFonts w:eastAsia="Times New Roman"/>
          <w:sz w:val="26"/>
          <w:szCs w:val="26"/>
        </w:rPr>
        <w:t xml:space="preserve"> và</w:t>
      </w:r>
      <w:r>
        <w:rPr>
          <w:rFonts w:eastAsia="Times New Roman"/>
          <w:sz w:val="26"/>
          <w:szCs w:val="26"/>
          <w:lang w:val="en-US"/>
        </w:rPr>
        <w:t xml:space="preserve"> không vượt quá điểm quy định.</w:t>
      </w:r>
    </w:p>
    <w:p>
      <w:pPr>
        <w:pStyle w:val="Normal"/>
        <w:spacing w:lineRule="auto" w:line="360" w:before="0" w:after="0"/>
        <w:ind w:firstLine="567" w:end="0"/>
        <w:jc w:val="both"/>
        <w:rPr/>
      </w:pPr>
      <w:r>
        <w:rPr>
          <w:rFonts w:eastAsia="Times New Roman"/>
          <w:sz w:val="26"/>
          <w:szCs w:val="26"/>
        </w:rPr>
        <w:t>2. Điểm rèn luyện của năm học là trung bình cộng của điểm rèn luyện các học kỳ của năm học đó.</w:t>
      </w:r>
      <w:r>
        <w:rPr>
          <w:rFonts w:eastAsia="Times New Roman"/>
          <w:spacing w:val="-4"/>
          <w:sz w:val="26"/>
          <w:szCs w:val="26"/>
        </w:rPr>
        <w:t xml:space="preserve"> Nếu năm học sinh viên học chưa đủ một năm học (như sinh viên ngừng học, sinh viên năm cuối) thì kỳ sinh viên theo học được tính tròn thành 1 năm học.</w:t>
      </w:r>
    </w:p>
    <w:p>
      <w:pPr>
        <w:pStyle w:val="Normal"/>
        <w:spacing w:lineRule="auto" w:line="360" w:before="0" w:after="0"/>
        <w:ind w:firstLine="567" w:end="0"/>
        <w:jc w:val="both"/>
        <w:rPr/>
      </w:pPr>
      <w:r>
        <w:rPr>
          <w:rFonts w:eastAsia="Times New Roman"/>
          <w:sz w:val="26"/>
          <w:szCs w:val="26"/>
        </w:rPr>
        <w:t>3</w:t>
      </w:r>
      <w:r>
        <w:rPr>
          <w:rFonts w:eastAsia="Times New Roman"/>
          <w:sz w:val="26"/>
          <w:szCs w:val="26"/>
          <w:lang w:val="en-US"/>
        </w:rPr>
        <w:t>. Điểm rèn luyện toàn khoá là trung bình cộng của điểm rèn luyện các học kỳ sinh viên theo học trong toàn khoá học</w:t>
      </w:r>
      <w:r>
        <w:rPr>
          <w:rFonts w:eastAsia="Times New Roman"/>
          <w:sz w:val="26"/>
          <w:szCs w:val="26"/>
        </w:rPr>
        <w:t>.</w:t>
      </w:r>
    </w:p>
    <w:p>
      <w:pPr>
        <w:pStyle w:val="Normal"/>
        <w:spacing w:lineRule="auto" w:line="360" w:before="0" w:after="0"/>
        <w:ind w:firstLine="567" w:end="0"/>
        <w:jc w:val="both"/>
        <w:rPr>
          <w:rFonts w:eastAsia="Times New Roman"/>
          <w:sz w:val="26"/>
          <w:szCs w:val="26"/>
        </w:rPr>
      </w:pPr>
      <w:r>
        <w:rPr>
          <w:rFonts w:eastAsia="Times New Roman"/>
          <w:sz w:val="26"/>
          <w:szCs w:val="26"/>
        </w:rPr>
        <w:t>4. Điểm rèn luyện quy đổi được tính từng học kỳ theo công thức sau và làm tròn đến 2 chữ số thập phân:</w:t>
      </w:r>
    </w:p>
    <w:p>
      <w:pPr>
        <w:pStyle w:val="Normal"/>
        <w:spacing w:lineRule="auto" w:line="360" w:before="0" w:after="0"/>
        <w:ind w:start="2160" w:end="0"/>
        <w:rPr>
          <w:rFonts w:eastAsia="Times New Roman"/>
          <w:sz w:val="26"/>
          <w:szCs w:val="26"/>
        </w:rPr>
      </w:pPr>
      <w:r>
        <w:rPr>
          <w:rFonts w:eastAsia="Times New Roman"/>
          <w:sz w:val="26"/>
          <w:szCs w:val="26"/>
        </w:rPr>
        <w:t xml:space="preserve"> </w:t>
      </w:r>
      <w:r>
        <w:rPr/>
        <w:drawing>
          <wp:inline distT="0" distB="0" distL="0" distR="0">
            <wp:extent cx="1168400" cy="46990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168400" cy="469900"/>
                    </a:xfrm>
                    <a:prstGeom prst="rect">
                      <a:avLst/>
                    </a:prstGeom>
                  </pic:spPr>
                </pic:pic>
              </a:graphicData>
            </a:graphic>
          </wp:inline>
        </w:drawing>
      </w:r>
    </w:p>
    <w:p>
      <w:pPr>
        <w:pStyle w:val="Normal"/>
        <w:spacing w:lineRule="auto" w:line="360" w:before="0" w:after="0"/>
        <w:ind w:firstLine="720" w:end="0"/>
        <w:rPr>
          <w:rFonts w:eastAsia="Times New Roman"/>
          <w:sz w:val="26"/>
          <w:szCs w:val="26"/>
        </w:rPr>
      </w:pPr>
      <w:r>
        <mc:AlternateContent>
          <mc:Choice Requires="wps">
            <w:drawing>
              <wp:anchor behindDoc="0" distT="0" distB="0" distL="0" distR="0" simplePos="0" locked="0" layoutInCell="1" allowOverlap="1" relativeHeight="3">
                <wp:simplePos x="0" y="0"/>
                <wp:positionH relativeFrom="column">
                  <wp:posOffset>2540000</wp:posOffset>
                </wp:positionH>
                <wp:positionV relativeFrom="paragraph">
                  <wp:posOffset>-241935</wp:posOffset>
                </wp:positionV>
                <wp:extent cx="711200" cy="635"/>
                <wp:effectExtent l="0" t="0" r="0" b="0"/>
                <wp:wrapNone/>
                <wp:docPr id="2" name="Shape4"/>
                <a:graphic xmlns:a="http://schemas.openxmlformats.org/drawingml/2006/main">
                  <a:graphicData uri="http://schemas.microsoft.com/office/word/2010/wordprocessingShape">
                    <wps:wsp>
                      <wps:cNvSpPr/>
                      <wps:spPr>
                        <a:xfrm>
                          <a:off x="0" y="0"/>
                          <a:ext cx="711360" cy="720"/>
                        </a:xfrm>
                        <a:prstGeom prst="line">
                          <a:avLst/>
                        </a:prstGeom>
                        <a:ln w="0">
                          <a:noFill/>
                        </a:ln>
                      </wps:spPr>
                      <wps:style>
                        <a:lnRef idx="0"/>
                        <a:fillRef idx="0"/>
                        <a:effectRef idx="0"/>
                        <a:fontRef idx="minor"/>
                      </wps:style>
                      <wps:bodyPr/>
                    </wps:wsp>
                  </a:graphicData>
                </a:graphic>
              </wp:anchor>
            </w:drawing>
          </mc:Choice>
          <mc:Fallback>
            <w:pict>
              <v:line id="shape_0" from="200pt,-19.05pt" to="255.95pt,-19.05pt" ID="Shape4" stroked="f" o:allowincell="f" style="position:absolute">
                <v:stroke color="#3465a4" joinstyle="round" endcap="flat"/>
                <v:fill o:detectmouseclick="t" on="false"/>
                <w10:wrap type="none"/>
              </v:line>
            </w:pict>
          </mc:Fallback>
        </mc:AlternateContent>
      </w:r>
      <w:r>
        <w:rPr>
          <w:rFonts w:eastAsia="Times New Roman"/>
          <w:sz w:val="26"/>
          <w:szCs w:val="26"/>
        </w:rPr>
        <w:t>Trong đó:</w:t>
      </w:r>
    </w:p>
    <w:p>
      <w:pPr>
        <w:pStyle w:val="Normal"/>
        <w:spacing w:lineRule="auto" w:line="360" w:before="0" w:after="0"/>
        <w:ind w:firstLine="720" w:end="0"/>
        <w:rPr/>
      </w:pPr>
      <w:r>
        <w:rPr>
          <w:rFonts w:eastAsia="Times New Roman"/>
          <w:spacing w:val="-8"/>
          <w:sz w:val="26"/>
          <w:szCs w:val="26"/>
        </w:rPr>
        <w:t xml:space="preserve">- r </w:t>
      </w:r>
      <w:r>
        <w:rPr>
          <w:rFonts w:eastAsia="Times New Roman"/>
          <w:spacing w:val="-8"/>
          <w:sz w:val="26"/>
          <w:szCs w:val="26"/>
          <w:vertAlign w:val="subscript"/>
        </w:rPr>
        <w:t>i</w:t>
      </w:r>
      <w:r>
        <w:rPr>
          <w:rFonts w:eastAsia="Times New Roman"/>
          <w:b/>
          <w:spacing w:val="-8"/>
          <w:sz w:val="26"/>
          <w:szCs w:val="26"/>
        </w:rPr>
        <w:t xml:space="preserve"> </w:t>
      </w:r>
      <w:r>
        <w:rPr>
          <w:rFonts w:eastAsia="Times New Roman"/>
          <w:spacing w:val="-8"/>
          <w:sz w:val="26"/>
          <w:szCs w:val="26"/>
        </w:rPr>
        <w:t xml:space="preserve">là điểm rèn luyện của kỳ học thứ i  </w:t>
      </w:r>
    </w:p>
    <w:p>
      <w:pPr>
        <w:pStyle w:val="Normal"/>
        <w:spacing w:lineRule="auto" w:line="360" w:before="0" w:after="0"/>
        <w:ind w:firstLine="720" w:end="0"/>
        <w:rPr/>
      </w:pPr>
      <w:r>
        <w:rPr>
          <w:rFonts w:eastAsia="Times New Roman"/>
          <w:sz w:val="26"/>
          <w:szCs w:val="26"/>
        </w:rPr>
        <w:t xml:space="preserve">- ĐRLqđ </w:t>
      </w:r>
      <w:r>
        <w:rPr>
          <w:rFonts w:eastAsia="Times New Roman"/>
          <w:sz w:val="26"/>
          <w:szCs w:val="26"/>
          <w:vertAlign w:val="subscript"/>
        </w:rPr>
        <w:t>i</w:t>
      </w:r>
      <w:r>
        <w:rPr>
          <w:rFonts w:eastAsia="Times New Roman"/>
          <w:sz w:val="26"/>
          <w:szCs w:val="26"/>
        </w:rPr>
        <w:t xml:space="preserve"> là điểm rèn luyện quy đổi của kỳ học thứ i </w:t>
      </w:r>
    </w:p>
    <w:p>
      <w:pPr>
        <w:pStyle w:val="Normal"/>
        <w:spacing w:lineRule="auto" w:line="360" w:before="0" w:after="0"/>
        <w:ind w:firstLine="567" w:end="0"/>
        <w:jc w:val="both"/>
        <w:rPr>
          <w:rFonts w:eastAsia="Times New Roman"/>
          <w:b/>
          <w:bCs/>
          <w:color w:val="000000"/>
          <w:sz w:val="26"/>
          <w:szCs w:val="26"/>
        </w:rPr>
      </w:pPr>
      <w:r>
        <w:rPr>
          <w:rFonts w:eastAsia="Times New Roman"/>
          <w:b/>
          <w:bCs/>
          <w:color w:val="000000"/>
          <w:sz w:val="26"/>
          <w:szCs w:val="26"/>
        </w:rPr>
        <w:t>Điều 14. Sử dụng kết quả rèn luyện</w:t>
      </w:r>
    </w:p>
    <w:p>
      <w:pPr>
        <w:pStyle w:val="Normal"/>
        <w:tabs>
          <w:tab w:val="left" w:pos="720" w:leader="none"/>
          <w:tab w:val="left" w:pos="872" w:leader="none"/>
        </w:tabs>
        <w:spacing w:lineRule="auto" w:line="360" w:before="0" w:after="0"/>
        <w:ind w:firstLine="544" w:end="0"/>
        <w:jc w:val="both"/>
        <w:rPr>
          <w:rFonts w:eastAsia="Times New Roman"/>
          <w:color w:val="000000"/>
          <w:sz w:val="26"/>
          <w:szCs w:val="26"/>
        </w:rPr>
      </w:pPr>
      <w:r>
        <w:rPr>
          <w:rFonts w:eastAsia="Times New Roman"/>
          <w:color w:val="000000"/>
          <w:sz w:val="26"/>
          <w:szCs w:val="26"/>
        </w:rPr>
        <w:t>1. Kết quả đánh giá rèn luyện từng học kỳ, năm học của từng sinh viên được lưu trong hồ sơ quản lý sinh viên của Trường, được sử dụng trong việc xét duyệt học bổng, xét khen thưởng - kỷ luật, xét thôi học, ngừng học.</w:t>
      </w:r>
    </w:p>
    <w:p>
      <w:pPr>
        <w:pStyle w:val="Normal"/>
        <w:tabs>
          <w:tab w:val="left" w:pos="720" w:leader="none"/>
          <w:tab w:val="left" w:pos="872" w:leader="none"/>
        </w:tabs>
        <w:spacing w:lineRule="auto" w:line="360" w:before="0" w:after="0"/>
        <w:ind w:firstLine="544" w:end="0"/>
        <w:jc w:val="both"/>
        <w:rPr>
          <w:rFonts w:eastAsia="Times New Roman"/>
          <w:color w:val="000000"/>
          <w:sz w:val="26"/>
          <w:szCs w:val="26"/>
        </w:rPr>
      </w:pPr>
      <w:r>
        <w:rPr>
          <w:rFonts w:eastAsia="Times New Roman"/>
          <w:color w:val="000000"/>
          <w:sz w:val="26"/>
          <w:szCs w:val="26"/>
        </w:rPr>
        <w:t>2. Kết quả đánh giá rèn luyện toàn khoá học được ghi chung vào bảng điểm kết quả học tập và lưu trong hồ sơ từng học kỳ và toàn khóa của từng sinh viên khi tốt nghiệp ra trường.</w:t>
      </w:r>
    </w:p>
    <w:p>
      <w:pPr>
        <w:pStyle w:val="Normal"/>
        <w:tabs>
          <w:tab w:val="left" w:pos="720" w:leader="none"/>
          <w:tab w:val="left" w:pos="872" w:leader="none"/>
        </w:tabs>
        <w:spacing w:lineRule="auto" w:line="360" w:before="0" w:after="0"/>
        <w:ind w:firstLine="544" w:end="0"/>
        <w:jc w:val="both"/>
        <w:rPr>
          <w:rFonts w:eastAsia="Times New Roman"/>
          <w:color w:val="000000"/>
          <w:sz w:val="26"/>
          <w:szCs w:val="26"/>
        </w:rPr>
      </w:pPr>
      <w:r>
        <w:rPr>
          <w:rFonts w:eastAsia="Times New Roman"/>
          <w:color w:val="000000"/>
          <w:sz w:val="26"/>
          <w:szCs w:val="26"/>
        </w:rPr>
        <w:t>3. Sinh viên bị xếp loại rèn luyện yếu, kém trong hai học kỳ liên tiếp thì phải tạm ngừng học ít nhất một học kỳ ở học kỳ tiếp theo và nếu bị xếp loại rèn luyện yếu, kém hai học kỳ liên tiếp lần thứ hai thì sẽ bị buộc thôi học.</w:t>
      </w:r>
    </w:p>
    <w:p>
      <w:pPr>
        <w:pStyle w:val="Normal"/>
        <w:spacing w:lineRule="auto" w:line="360" w:before="0" w:after="0"/>
        <w:ind w:firstLine="567" w:end="0"/>
        <w:jc w:val="both"/>
        <w:rPr>
          <w:rFonts w:eastAsia="Times New Roman"/>
          <w:b/>
          <w:bCs/>
          <w:color w:val="000000"/>
          <w:sz w:val="26"/>
          <w:szCs w:val="26"/>
        </w:rPr>
      </w:pPr>
      <w:r>
        <w:rPr>
          <w:rFonts w:eastAsia="Times New Roman"/>
          <w:b/>
          <w:bCs/>
          <w:color w:val="000000"/>
          <w:sz w:val="26"/>
          <w:szCs w:val="26"/>
        </w:rPr>
        <w:t xml:space="preserve">Điều 15. Quyền khiếu nại </w:t>
      </w:r>
    </w:p>
    <w:p>
      <w:pPr>
        <w:pStyle w:val="Normal"/>
        <w:spacing w:lineRule="auto" w:line="360" w:before="0" w:after="0"/>
        <w:ind w:firstLine="567" w:end="0"/>
        <w:jc w:val="both"/>
        <w:rPr>
          <w:rFonts w:eastAsia="Times New Roman"/>
          <w:b/>
          <w:bCs/>
          <w:color w:val="000000"/>
          <w:sz w:val="26"/>
          <w:szCs w:val="26"/>
        </w:rPr>
      </w:pPr>
      <w:r>
        <w:rPr>
          <w:rFonts w:eastAsia="Times New Roman"/>
          <w:color w:val="000000"/>
          <w:sz w:val="26"/>
          <w:szCs w:val="26"/>
        </w:rPr>
        <w:t>Sinh viên có quyền khiếu nại về việc đánh giá kết quả rèn luyện bằng cách gửi đơn khiếu nại đến Nhà trường (qua Phòng Công tác chính trị và Quản lý sinh viên). Khi nhận đơn khiếu nại, Nhà trường sẽ có trách nhiệm giải quyết, trả lời cho sinh viên.</w:t>
      </w:r>
    </w:p>
    <w:p>
      <w:pPr>
        <w:pStyle w:val="Normal"/>
        <w:tabs>
          <w:tab w:val="left" w:pos="720" w:leader="none"/>
          <w:tab w:val="left" w:pos="872" w:leader="none"/>
        </w:tabs>
        <w:spacing w:lineRule="auto" w:line="360" w:before="0" w:after="0"/>
        <w:ind w:hanging="0" w:end="0"/>
        <w:jc w:val="both"/>
        <w:rPr>
          <w:rFonts w:eastAsia="Times New Roman"/>
          <w:b/>
          <w:sz w:val="20"/>
          <w:szCs w:val="28"/>
        </w:rPr>
      </w:pPr>
      <w:r>
        <w:rPr>
          <w:rFonts w:eastAsia="Times New Roman"/>
          <w:b/>
          <w:sz w:val="20"/>
          <w:szCs w:val="28"/>
        </w:rPr>
      </w:r>
    </w:p>
    <w:sectPr>
      <w:footerReference w:type="even" r:id="rId3"/>
      <w:footerReference w:type="default" r:id="rId4"/>
      <w:footerReference w:type="first" r:id="rId5"/>
      <w:type w:val="nextPage"/>
      <w:pgSz w:w="11906" w:h="16838"/>
      <w:pgMar w:left="1701" w:right="851" w:gutter="0" w:header="0" w:top="1134" w:footer="450" w:bottom="1134"/>
      <w:pgNumType w:start="0" w:fmt="decimal"/>
      <w:formProt w:val="false"/>
      <w:titlePg/>
      <w:textDirection w:val="lrTb"/>
      <w:docGrid w:type="default" w:linePitch="29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roman"/>
    <w:pitch w:val="variable"/>
  </w:font>
  <w:font w:name=".VnArialH">
    <w:charset w:val="01" w:characterSet="utf-8"/>
    <w:family w:val="roman"/>
    <w:pitch w:val="variable"/>
  </w:font>
  <w:font w:name=".VnTime">
    <w:charset w:val="01" w:characterSet="utf-8"/>
    <w:family w:val="roman"/>
    <w:pitch w:val="variable"/>
  </w:font>
  <w:font w:name="Symbol">
    <w:charset w:val="01" w:characterSet="utf-8"/>
    <w:family w:val="roman"/>
    <w:pitch w:val="variable"/>
  </w:font>
  <w:font w:name="VNI-Times">
    <w:charset w:val="01" w:characterSet="utf-8"/>
    <w:family w:val="roman"/>
    <w:pitch w:val="variable"/>
  </w:font>
  <w:font w:name="Tahoma">
    <w:charset w:val="01" w:characterSet="utf-8"/>
    <w:family w:val="roman"/>
    <w:pitch w:val="variable"/>
  </w:font>
  <w:font w:name="Liberation Sans">
    <w:altName w:val="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cs="Times New Roman" w:ascii="Times New Roman" w:hAnsi="Times New Roman"/>
        <w:sz w:val="18"/>
        <w:szCs w:val="18"/>
      </w:rPr>
      <w:t xml:space="preserve">- </w:t>
    </w:r>
    <w:r>
      <w:rPr>
        <w:rFonts w:cs="Times New Roman" w:ascii="Times New Roman" w:hAnsi="Times New Roman"/>
        <w:sz w:val="18"/>
        <w:szCs w:val="18"/>
      </w:rPr>
      <w:fldChar w:fldCharType="begin"/>
    </w:r>
    <w:r>
      <w:rPr>
        <w:sz w:val="18"/>
        <w:szCs w:val="18"/>
        <w:rFonts w:cs="Times New Roman" w:ascii="Times New Roman" w:hAnsi="Times New Roman"/>
      </w:rPr>
      <w:instrText xml:space="preserve"> PAGE </w:instrText>
    </w:r>
    <w:r>
      <w:rPr>
        <w:sz w:val="18"/>
        <w:szCs w:val="18"/>
        <w:rFonts w:cs="Times New Roman" w:ascii="Times New Roman" w:hAnsi="Times New Roman"/>
      </w:rPr>
      <w:fldChar w:fldCharType="separate"/>
    </w:r>
    <w:r>
      <w:rPr>
        <w:sz w:val="18"/>
        <w:szCs w:val="18"/>
        <w:rFonts w:cs="Times New Roman" w:ascii="Times New Roman" w:hAnsi="Times New Roman"/>
      </w:rPr>
      <w:t>6</w:t>
    </w:r>
    <w:r>
      <w:rPr>
        <w:sz w:val="18"/>
        <w:szCs w:val="18"/>
        <w:rFonts w:cs="Times New Roman" w:ascii="Times New Roman" w:hAnsi="Times New Roman"/>
      </w:rPr>
      <w:fldChar w:fldCharType="end"/>
    </w:r>
    <w:r>
      <w:rPr>
        <w:rFonts w:cs="Times New Roman" w:ascii="Times New Roman" w:hAnsi="Times New Roman"/>
        <w:sz w:val="18"/>
        <w:szCs w:val="18"/>
      </w:rPr>
      <w:t xml:space="preserve"> -</w:t>
    </w:r>
  </w:p>
  <w:p>
    <w:pPr>
      <w:pStyle w:val="Footer"/>
      <w:tabs>
        <w:tab w:val="clear" w:pos="8640"/>
        <w:tab w:val="center" w:pos="4320" w:leader="none"/>
        <w:tab w:val="right" w:pos="9047" w:leader="none"/>
      </w:tabs>
      <w:ind w:end="25"/>
      <w:jc w:val="center"/>
      <w:rPr>
        <w:rFonts w:ascii="Times New Roman" w:hAnsi="Times New Roman" w:cs="Times New Roman"/>
        <w:sz w:val="18"/>
        <w:szCs w:val="18"/>
      </w:rPr>
    </w:pPr>
    <w:r>
      <w:rPr>
        <w:rFonts w:cs="Times New Roman" w:ascii="Times New Roman" w:hAnsi="Times New Roman"/>
        <w:sz w:val="18"/>
        <w:szCs w:val="18"/>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0"/>
        <w:szCs w:val="20"/>
      </w:rPr>
    </w:pPr>
    <w:r>
      <w:rPr>
        <w:rFonts w:cs="Times New Roman" w:ascii="Times New Roman" w:hAnsi="Times New Roman"/>
        <w:sz w:val="20"/>
        <w:szCs w:val="20"/>
      </w:rPr>
      <w:t xml:space="preserve">- </w:t>
    </w:r>
    <w:r>
      <w:rPr>
        <w:rFonts w:cs="Times New Roman" w:ascii="Times New Roman" w:hAnsi="Times New Roman"/>
        <w:sz w:val="20"/>
        <w:szCs w:val="20"/>
      </w:rPr>
      <w:fldChar w:fldCharType="begin"/>
    </w:r>
    <w:r>
      <w:rPr>
        <w:sz w:val="20"/>
        <w:szCs w:val="20"/>
        <w:rFonts w:cs="Times New Roman" w:ascii="Times New Roman" w:hAnsi="Times New Roman"/>
      </w:rPr>
      <w:instrText xml:space="preserve"> PAGE </w:instrText>
    </w:r>
    <w:r>
      <w:rPr>
        <w:sz w:val="20"/>
        <w:szCs w:val="20"/>
        <w:rFonts w:cs="Times New Roman" w:ascii="Times New Roman" w:hAnsi="Times New Roman"/>
      </w:rPr>
      <w:fldChar w:fldCharType="separate"/>
    </w:r>
    <w:r>
      <w:rPr>
        <w:sz w:val="20"/>
        <w:szCs w:val="20"/>
        <w:rFonts w:cs="Times New Roman" w:ascii="Times New Roman" w:hAnsi="Times New Roman"/>
      </w:rPr>
      <w:t>0</w:t>
    </w:r>
    <w:r>
      <w:rPr>
        <w:sz w:val="20"/>
        <w:szCs w:val="20"/>
        <w:rFonts w:cs="Times New Roman" w:ascii="Times New Roman" w:hAnsi="Times New Roman"/>
      </w:rPr>
      <w:fldChar w:fldCharType="end"/>
    </w:r>
    <w:r>
      <w:rPr>
        <w:rFonts w:cs="Times New Roman" w:ascii="Times New Roman" w:hAnsi="Times New Roman"/>
        <w:sz w:val="20"/>
        <w:szCs w:val="20"/>
      </w:rPr>
      <w:t xml:space="preserve"> -</w:t>
    </w:r>
  </w:p>
  <w:p>
    <w:pPr>
      <w:pStyle w:val="Footer"/>
      <w:jc w:val="center"/>
      <w:rPr>
        <w:rFonts w:ascii="Times New Roman" w:hAnsi="Times New Roman" w:cs="Times New Roman"/>
        <w:sz w:val="20"/>
        <w:szCs w:val="20"/>
      </w:rPr>
    </w:pPr>
    <w:r>
      <w:rPr>
        <w:rFonts w:cs="Times New Roman" w:ascii="Times New Roman" w:hAnsi="Times New Roman"/>
        <w:sz w:val="20"/>
        <w:szCs w:val="20"/>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jc w:val="start"/>
    </w:pPr>
    <w:rPr>
      <w:rFonts w:ascii="Times New Roman" w:hAnsi="Times New Roman" w:eastAsia="Calibri" w:cs="Times New Roman"/>
      <w:color w:val="auto"/>
      <w:kern w:val="0"/>
      <w:sz w:val="24"/>
      <w:szCs w:val="22"/>
      <w:lang w:val="en-US" w:eastAsia="zh-CN" w:bidi="ar-SA"/>
    </w:rPr>
  </w:style>
  <w:style w:type="paragraph" w:styleId="Heading1">
    <w:name w:val="Heading 1"/>
    <w:basedOn w:val="Normal"/>
    <w:next w:val="Normal"/>
    <w:qFormat/>
    <w:pPr>
      <w:keepNext w:val="true"/>
      <w:numPr>
        <w:ilvl w:val="0"/>
        <w:numId w:val="1"/>
      </w:numPr>
      <w:spacing w:lineRule="auto" w:line="240" w:before="240" w:after="60"/>
      <w:outlineLvl w:val="0"/>
    </w:pPr>
    <w:rPr>
      <w:rFonts w:ascii="Arial" w:hAnsi="Arial" w:eastAsia="Times New Roman" w:cs="Arial"/>
      <w:b/>
      <w:bCs/>
      <w:kern w:val="2"/>
      <w:sz w:val="32"/>
      <w:szCs w:val="32"/>
    </w:rPr>
  </w:style>
  <w:style w:type="paragraph" w:styleId="Heading2">
    <w:name w:val="Heading 2"/>
    <w:basedOn w:val="Normal"/>
    <w:next w:val="Normal"/>
    <w:qFormat/>
    <w:pPr>
      <w:keepNext w:val="true"/>
      <w:numPr>
        <w:ilvl w:val="1"/>
        <w:numId w:val="1"/>
      </w:numPr>
      <w:spacing w:lineRule="auto" w:line="240" w:before="0" w:after="0"/>
      <w:jc w:val="center"/>
      <w:outlineLvl w:val="1"/>
    </w:pPr>
    <w:rPr>
      <w:rFonts w:ascii=".VnArialH" w:hAnsi=".VnArialH" w:eastAsia="Times New Roman" w:cs="Times New Roman"/>
      <w:b/>
      <w:sz w:val="28"/>
      <w:szCs w:val="20"/>
    </w:rPr>
  </w:style>
  <w:style w:type="paragraph" w:styleId="Heading3">
    <w:name w:val="Heading 3"/>
    <w:basedOn w:val="Normal"/>
    <w:next w:val="Normal"/>
    <w:qFormat/>
    <w:pPr>
      <w:keepNext w:val="true"/>
      <w:numPr>
        <w:ilvl w:val="2"/>
        <w:numId w:val="1"/>
      </w:numPr>
      <w:overflowPunct w:val="true"/>
      <w:spacing w:lineRule="auto" w:line="240" w:before="0" w:after="0"/>
      <w:ind w:firstLine="340" w:start="0" w:end="0"/>
      <w:jc w:val="both"/>
      <w:outlineLvl w:val="2"/>
    </w:pPr>
    <w:rPr>
      <w:rFonts w:ascii=".VnTime" w:hAnsi=".VnTime" w:eastAsia="Arial Unicode MS" w:cs="Arial Unicode MS"/>
      <w:sz w:val="26"/>
      <w:szCs w:val="20"/>
    </w:rPr>
  </w:style>
  <w:style w:type="paragraph" w:styleId="Heading4">
    <w:name w:val="Heading 4"/>
    <w:basedOn w:val="Normal"/>
    <w:next w:val="Normal"/>
    <w:qFormat/>
    <w:pPr>
      <w:keepNext w:val="true"/>
      <w:numPr>
        <w:ilvl w:val="3"/>
        <w:numId w:val="1"/>
      </w:numPr>
      <w:overflowPunct w:val="true"/>
      <w:spacing w:lineRule="auto" w:line="240" w:before="0" w:after="0"/>
      <w:ind w:firstLine="340" w:start="0" w:end="0"/>
      <w:jc w:val="both"/>
      <w:outlineLvl w:val="3"/>
    </w:pPr>
    <w:rPr>
      <w:rFonts w:ascii=".VnTime" w:hAnsi=".VnTime" w:eastAsia="Arial Unicode MS" w:cs="Arial Unicode MS"/>
      <w:b/>
      <w:sz w:val="28"/>
      <w:szCs w:val="20"/>
    </w:rPr>
  </w:style>
  <w:style w:type="paragraph" w:styleId="Heading6">
    <w:name w:val="Heading 6"/>
    <w:basedOn w:val="Normal"/>
    <w:next w:val="Normal"/>
    <w:qFormat/>
    <w:pPr>
      <w:numPr>
        <w:ilvl w:val="5"/>
        <w:numId w:val="1"/>
      </w:numPr>
      <w:spacing w:lineRule="auto" w:line="240" w:before="240" w:after="60"/>
      <w:outlineLvl w:val="5"/>
    </w:pPr>
    <w:rPr>
      <w:rFonts w:eastAsia="Times New Roman" w:cs="Times New Roman"/>
      <w:b/>
      <w:bCs/>
      <w:sz w:val="22"/>
    </w:rPr>
  </w:style>
  <w:style w:type="character" w:styleId="WW8Num1z0">
    <w:name w:val="WW8Num1z0"/>
    <w:qFormat/>
    <w:rPr/>
  </w:style>
  <w:style w:type="character" w:styleId="WW8Num1z1">
    <w:name w:val="WW8Num1z1"/>
    <w:qFormat/>
    <w:rPr>
      <w:rFonts w:ascii="Symbol" w:hAnsi="Symbol" w:cs="Symbol"/>
      <w:color w:val="000000"/>
    </w:rPr>
  </w:style>
  <w:style w:type="character" w:styleId="WW8Num1z2">
    <w:name w:val="WW8Num1z2"/>
    <w:qFormat/>
    <w:rPr>
      <w:rFonts w:ascii="VNI-Times" w:hAnsi="VNI-Times" w:eastAsia="Times New Roman" w:cs="Arial"/>
    </w:rPr>
  </w:style>
  <w:style w:type="character" w:styleId="WW8Num2z0">
    <w:name w:val="WW8Num2z0"/>
    <w:qFormat/>
    <w:rPr/>
  </w:style>
  <w:style w:type="character" w:styleId="WW8Num3z0">
    <w:name w:val="WW8Num3z0"/>
    <w:qFormat/>
    <w:rPr/>
  </w:style>
  <w:style w:type="character" w:styleId="WW8Num3z2">
    <w:name w:val="WW8Num3z2"/>
    <w:qFormat/>
    <w:rPr>
      <w:rFonts w:ascii="VNI-Times" w:hAnsi="VNI-Times" w:eastAsia="Times New Roman" w:cs="Arial"/>
    </w:rPr>
  </w:style>
  <w:style w:type="character" w:styleId="WW8Num3z3">
    <w:name w:val="WW8Num3z3"/>
    <w:qFormat/>
    <w:rPr>
      <w:rFonts w:ascii="Symbol" w:hAnsi="Symbol" w:cs="Symbol"/>
    </w:rPr>
  </w:style>
  <w:style w:type="character" w:styleId="WW8Num4z0">
    <w:name w:val="WW8Num4z0"/>
    <w:qFormat/>
    <w:rPr>
      <w:rFonts w:ascii="Times New Roman" w:hAnsi="Times New Roman" w:cs="Times New Roman"/>
    </w:rPr>
  </w:style>
  <w:style w:type="character" w:styleId="WW8Num5z0">
    <w:name w:val="WW8Num5z0"/>
    <w:qFormat/>
    <w:rPr/>
  </w:style>
  <w:style w:type="character" w:styleId="WW8Num6z0">
    <w:name w:val="WW8Num6z0"/>
    <w:qFormat/>
    <w:rPr>
      <w:rFonts w:ascii="Times New Roman" w:hAnsi="Times New Roman" w:eastAsia="Times New Roman" w:cs="Times New Roman"/>
    </w:rPr>
  </w:style>
  <w:style w:type="character" w:styleId="WW8Num6z1">
    <w:name w:val="WW8Num6z1"/>
    <w:qFormat/>
    <w:rPr>
      <w:b w:val="false"/>
      <w:sz w:val="26"/>
      <w:szCs w:val="26"/>
    </w:rPr>
  </w:style>
  <w:style w:type="character" w:styleId="WW8Num6z2">
    <w:name w:val="WW8Num6z2"/>
    <w:qFormat/>
    <w:rPr>
      <w:rFonts w:ascii="VNI-Times" w:hAnsi="VNI-Times" w:eastAsia="Times New Roman" w:cs="Arial"/>
    </w:rPr>
  </w:style>
  <w:style w:type="character" w:styleId="WW8Num6z3">
    <w:name w:val="WW8Num6z3"/>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4z0">
    <w:name w:val="WW8Num14z0"/>
    <w:qFormat/>
    <w:rPr/>
  </w:style>
  <w:style w:type="character" w:styleId="WW8Num14z1">
    <w:name w:val="WW8Num14z1"/>
    <w:qFormat/>
    <w:rPr>
      <w:rFonts w:ascii="Symbol" w:hAnsi="Symbol" w:cs="Symbol"/>
      <w:color w:val="000000"/>
    </w:rPr>
  </w:style>
  <w:style w:type="character" w:styleId="WW8Num14z2">
    <w:name w:val="WW8Num14z2"/>
    <w:qFormat/>
    <w:rPr>
      <w:rFonts w:ascii="VNI-Times" w:hAnsi="VNI-Times" w:eastAsia="Times New Roman" w:cs="Arial"/>
    </w:rPr>
  </w:style>
  <w:style w:type="character" w:styleId="WW8Num15z0">
    <w:name w:val="WW8Num15z0"/>
    <w:qFormat/>
    <w:rPr/>
  </w:style>
  <w:style w:type="character" w:styleId="WW8Num16z0">
    <w:name w:val="WW8Num16z0"/>
    <w:qFormat/>
    <w:rPr>
      <w:rFonts w:ascii="Times New Roman" w:hAnsi="Times New Roman" w:eastAsia="Times New Roman" w:cs="Times New Roman"/>
    </w:rPr>
  </w:style>
  <w:style w:type="character" w:styleId="WW8Num16z1">
    <w:name w:val="WW8Num16z1"/>
    <w:qFormat/>
    <w:rPr>
      <w:b w:val="false"/>
      <w:sz w:val="26"/>
      <w:szCs w:val="26"/>
    </w:rPr>
  </w:style>
  <w:style w:type="character" w:styleId="WW8Num16z2">
    <w:name w:val="WW8Num16z2"/>
    <w:qFormat/>
    <w:rPr>
      <w:rFonts w:ascii="VNI-Times" w:hAnsi="VNI-Times" w:eastAsia="Times New Roman" w:cs="Arial"/>
    </w:rPr>
  </w:style>
  <w:style w:type="character" w:styleId="WW8Num16z3">
    <w:name w:val="WW8Num16z3"/>
    <w:qFormat/>
    <w:rPr/>
  </w:style>
  <w:style w:type="character" w:styleId="WW8Num17z0">
    <w:name w:val="WW8Num17z0"/>
    <w:qFormat/>
    <w:rPr>
      <w:rFonts w:ascii="Times New Roman" w:hAnsi="Times New Roman" w:eastAsia="Times New Roman" w:cs="Times New Roman"/>
    </w:rPr>
  </w:style>
  <w:style w:type="character" w:styleId="WW8Num17z1">
    <w:name w:val="WW8Num17z1"/>
    <w:qFormat/>
    <w:rPr>
      <w:b w:val="false"/>
      <w:sz w:val="26"/>
      <w:szCs w:val="26"/>
    </w:rPr>
  </w:style>
  <w:style w:type="character" w:styleId="WW8Num17z2">
    <w:name w:val="WW8Num17z2"/>
    <w:qFormat/>
    <w:rPr>
      <w:rFonts w:ascii="VNI-Times" w:hAnsi="VNI-Times" w:eastAsia="Times New Roman" w:cs="Arial"/>
    </w:rPr>
  </w:style>
  <w:style w:type="character" w:styleId="WW8Num17z3">
    <w:name w:val="WW8Num17z3"/>
    <w:qFormat/>
    <w:rPr/>
  </w:style>
  <w:style w:type="character" w:styleId="WW8Num18z0">
    <w:name w:val="WW8Num18z0"/>
    <w:qFormat/>
    <w:rPr/>
  </w:style>
  <w:style w:type="character" w:styleId="WW8Num19z0">
    <w:name w:val="WW8Num19z0"/>
    <w:qFormat/>
    <w:rPr/>
  </w:style>
  <w:style w:type="character" w:styleId="WW8Num19z1">
    <w:name w:val="WW8Num19z1"/>
    <w:qFormat/>
    <w:rPr>
      <w:rFonts w:ascii="VNI-Times" w:hAnsi="VNI-Times" w:cs="VNI-Times"/>
    </w:rPr>
  </w:style>
  <w:style w:type="character" w:styleId="WW8Num20z0">
    <w:name w:val="WW8Num20z0"/>
    <w:qFormat/>
    <w:rPr/>
  </w:style>
  <w:style w:type="character" w:styleId="WW8Num20z1">
    <w:name w:val="WW8Num20z1"/>
    <w:qFormat/>
    <w:rPr>
      <w:rFonts w:ascii="VNI-Times" w:hAnsi="VNI-Times" w:eastAsia="Times New Roman" w:cs="Arial"/>
    </w:rPr>
  </w:style>
  <w:style w:type="character" w:styleId="DefaultParagraphFont">
    <w:name w:val="Default Paragraph Font"/>
    <w:qFormat/>
    <w:rPr/>
  </w:style>
  <w:style w:type="character" w:styleId="Heading1Char">
    <w:name w:val="Heading 1 Char"/>
    <w:basedOn w:val="DefaultParagraphFont"/>
    <w:qFormat/>
    <w:rPr>
      <w:rFonts w:ascii="Arial" w:hAnsi="Arial" w:eastAsia="Times New Roman" w:cs="Arial"/>
      <w:b/>
      <w:bCs/>
      <w:kern w:val="2"/>
      <w:sz w:val="32"/>
      <w:szCs w:val="32"/>
    </w:rPr>
  </w:style>
  <w:style w:type="character" w:styleId="Heading2Char">
    <w:name w:val="Heading 2 Char"/>
    <w:basedOn w:val="DefaultParagraphFont"/>
    <w:qFormat/>
    <w:rPr>
      <w:rFonts w:ascii=".VnArialH" w:hAnsi=".VnArialH" w:eastAsia="Times New Roman" w:cs="Times New Roman"/>
      <w:b/>
      <w:sz w:val="28"/>
      <w:szCs w:val="20"/>
    </w:rPr>
  </w:style>
  <w:style w:type="character" w:styleId="Heading3Char">
    <w:name w:val="Heading 3 Char"/>
    <w:basedOn w:val="DefaultParagraphFont"/>
    <w:qFormat/>
    <w:rPr>
      <w:rFonts w:ascii=".VnTime" w:hAnsi=".VnTime" w:eastAsia="Arial Unicode MS" w:cs="Arial Unicode MS"/>
      <w:sz w:val="26"/>
      <w:szCs w:val="20"/>
    </w:rPr>
  </w:style>
  <w:style w:type="character" w:styleId="Heading4Char">
    <w:name w:val="Heading 4 Char"/>
    <w:basedOn w:val="DefaultParagraphFont"/>
    <w:qFormat/>
    <w:rPr>
      <w:rFonts w:ascii=".VnTime" w:hAnsi=".VnTime" w:eastAsia="Arial Unicode MS" w:cs="Arial Unicode MS"/>
      <w:b/>
      <w:sz w:val="28"/>
      <w:szCs w:val="20"/>
    </w:rPr>
  </w:style>
  <w:style w:type="character" w:styleId="Heading6Char">
    <w:name w:val="Heading 6 Char"/>
    <w:basedOn w:val="DefaultParagraphFont"/>
    <w:qFormat/>
    <w:rPr>
      <w:rFonts w:eastAsia="Times New Roman" w:cs="Times New Roman"/>
      <w:b/>
      <w:bCs/>
      <w:sz w:val="22"/>
    </w:rPr>
  </w:style>
  <w:style w:type="character" w:styleId="HeaderChar">
    <w:name w:val="Header Char"/>
    <w:basedOn w:val="DefaultParagraphFont"/>
    <w:qFormat/>
    <w:rPr>
      <w:rFonts w:ascii=".VnTime" w:hAnsi=".VnTime" w:eastAsia="Times New Roman" w:cs="Times New Roman"/>
      <w:sz w:val="28"/>
      <w:szCs w:val="28"/>
    </w:rPr>
  </w:style>
  <w:style w:type="character" w:styleId="FooterChar">
    <w:name w:val="Footer Char"/>
    <w:basedOn w:val="DefaultParagraphFont"/>
    <w:qFormat/>
    <w:rPr>
      <w:rFonts w:ascii=".VnTime" w:hAnsi=".VnTime" w:eastAsia="Times New Roman" w:cs="Times New Roman"/>
      <w:sz w:val="28"/>
      <w:szCs w:val="28"/>
    </w:rPr>
  </w:style>
  <w:style w:type="character" w:styleId="BalloonTextChar">
    <w:name w:val="Balloon Text Char"/>
    <w:basedOn w:val="DefaultParagraphFont"/>
    <w:qFormat/>
    <w:rPr>
      <w:rFonts w:ascii="Tahoma" w:hAnsi="Tahoma" w:eastAsia="Times New Roman" w:cs="Tahoma"/>
      <w:sz w:val="16"/>
      <w:szCs w:val="16"/>
    </w:rPr>
  </w:style>
  <w:style w:type="character" w:styleId="PageNumber">
    <w:name w:val="Page Number"/>
    <w:basedOn w:val="DefaultParagraphFont"/>
    <w:rPr/>
  </w:style>
  <w:style w:type="character" w:styleId="SubtitleChar">
    <w:name w:val="Subtitle Char"/>
    <w:basedOn w:val="DefaultParagraphFont"/>
    <w:qFormat/>
    <w:rPr>
      <w:rFonts w:ascii="VNI-Times" w:hAnsi="VNI-Times" w:eastAsia="Times New Roman" w:cs="Times New Roman"/>
      <w:b/>
      <w:sz w:val="20"/>
      <w:szCs w:val="20"/>
      <w:lang w:val="en-US"/>
    </w:rPr>
  </w:style>
  <w:style w:type="character" w:styleId="BodyTextIndentChar">
    <w:name w:val="Body Text Indent Char"/>
    <w:basedOn w:val="DefaultParagraphFont"/>
    <w:qFormat/>
    <w:rPr>
      <w:rFonts w:ascii="VNI-Times" w:hAnsi="VNI-Times" w:eastAsia="Times New Roman" w:cs="Times New Roman"/>
      <w:szCs w:val="20"/>
      <w:lang w:val="en-US"/>
    </w:rPr>
  </w:style>
  <w:style w:type="character" w:styleId="BodyTextIndent3Char">
    <w:name w:val="Body Text Indent 3 Char"/>
    <w:basedOn w:val="DefaultParagraphFont"/>
    <w:qFormat/>
    <w:rPr>
      <w:rFonts w:ascii=".VnTime" w:hAnsi=".VnTime" w:eastAsia="Times New Roman" w:cs="Times New Roman"/>
      <w:sz w:val="16"/>
      <w:szCs w:val="16"/>
      <w:lang w:val="en-US"/>
    </w:rPr>
  </w:style>
  <w:style w:type="character" w:styleId="BodyTextChar">
    <w:name w:val="Body Text Char"/>
    <w:basedOn w:val="DefaultParagraphFont"/>
    <w:qFormat/>
    <w:rPr>
      <w:rFonts w:ascii=".VnTime" w:hAnsi=".VnTime" w:eastAsia="Times New Roman" w:cs="Times New Roman"/>
      <w:sz w:val="28"/>
      <w:szCs w:val="20"/>
    </w:rPr>
  </w:style>
  <w:style w:type="character" w:styleId="BodyText2Char">
    <w:name w:val="Body Text 2 Char"/>
    <w:basedOn w:val="DefaultParagraphFont"/>
    <w:qFormat/>
    <w:rPr>
      <w:rFonts w:ascii=".VnTime" w:hAnsi=".VnTime" w:eastAsia="Times New Roman" w:cs="Times New Roman"/>
      <w:sz w:val="28"/>
      <w:szCs w:val="20"/>
    </w:rPr>
  </w:style>
  <w:style w:type="character" w:styleId="BodyTextIndent2Char">
    <w:name w:val="Body Text Indent 2 Char"/>
    <w:basedOn w:val="DefaultParagraphFont"/>
    <w:qFormat/>
    <w:rPr>
      <w:rFonts w:ascii=".VnTime" w:hAnsi=".VnTime" w:eastAsia="Times New Roman" w:cs="Times New Roman"/>
      <w:sz w:val="28"/>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300" w:before="0" w:after="0"/>
      <w:jc w:val="both"/>
    </w:pPr>
    <w:rPr>
      <w:rFonts w:ascii=".VnTime" w:hAnsi=".VnTime" w:eastAsia="Times New Roman" w:cs="Times New Roman"/>
      <w:sz w:val="28"/>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spacing w:lineRule="auto" w:line="240" w:before="0" w:after="0"/>
    </w:pPr>
    <w:rPr>
      <w:rFonts w:ascii=".VnTime" w:hAnsi=".VnTime" w:eastAsia="Times New Roman" w:cs="Times New Roman"/>
      <w:sz w:val="28"/>
      <w:szCs w:val="28"/>
    </w:rPr>
  </w:style>
  <w:style w:type="paragraph" w:styleId="Footer">
    <w:name w:val="Footer"/>
    <w:basedOn w:val="Normal"/>
    <w:pPr>
      <w:tabs>
        <w:tab w:val="clear" w:pos="720"/>
        <w:tab w:val="center" w:pos="4320" w:leader="none"/>
        <w:tab w:val="right" w:pos="8640" w:leader="none"/>
      </w:tabs>
      <w:spacing w:lineRule="auto" w:line="240" w:before="0" w:after="0"/>
    </w:pPr>
    <w:rPr>
      <w:rFonts w:ascii=".VnTime" w:hAnsi=".VnTime" w:eastAsia="Times New Roman" w:cs="Times New Roman"/>
      <w:sz w:val="28"/>
      <w:szCs w:val="28"/>
    </w:rPr>
  </w:style>
  <w:style w:type="paragraph" w:styleId="BalloonText">
    <w:name w:val="Balloon Text"/>
    <w:basedOn w:val="Normal"/>
    <w:qFormat/>
    <w:pPr>
      <w:spacing w:lineRule="auto" w:line="240" w:before="0" w:after="0"/>
    </w:pPr>
    <w:rPr>
      <w:rFonts w:ascii="Tahoma" w:hAnsi="Tahoma" w:eastAsia="Times New Roman" w:cs="Tahoma"/>
      <w:sz w:val="16"/>
      <w:szCs w:val="16"/>
    </w:rPr>
  </w:style>
  <w:style w:type="paragraph" w:styleId="Subtitle">
    <w:name w:val="Subtitle"/>
    <w:basedOn w:val="Normal"/>
    <w:next w:val="BodyText"/>
    <w:qFormat/>
    <w:pPr>
      <w:spacing w:lineRule="auto" w:line="240" w:before="0" w:after="0"/>
    </w:pPr>
    <w:rPr>
      <w:rFonts w:ascii="VNI-Times" w:hAnsi="VNI-Times" w:eastAsia="Times New Roman" w:cs="Times New Roman"/>
      <w:b/>
      <w:sz w:val="20"/>
      <w:szCs w:val="20"/>
      <w:lang w:val="en-US"/>
    </w:rPr>
  </w:style>
  <w:style w:type="paragraph" w:styleId="BodyTextIndent">
    <w:name w:val="Body Text Indent"/>
    <w:basedOn w:val="Normal"/>
    <w:pPr>
      <w:spacing w:lineRule="auto" w:line="240" w:before="60" w:after="60"/>
      <w:ind w:firstLine="270" w:start="0" w:end="0"/>
      <w:jc w:val="both"/>
    </w:pPr>
    <w:rPr>
      <w:rFonts w:ascii="VNI-Times" w:hAnsi="VNI-Times" w:eastAsia="Times New Roman" w:cs="Times New Roman"/>
      <w:szCs w:val="20"/>
      <w:lang w:val="en-US"/>
    </w:rPr>
  </w:style>
  <w:style w:type="paragraph" w:styleId="BodyTextIndent3">
    <w:name w:val="Body Text Indent 3"/>
    <w:basedOn w:val="Normal"/>
    <w:qFormat/>
    <w:pPr>
      <w:spacing w:lineRule="auto" w:line="240" w:before="0" w:after="120"/>
      <w:ind w:hanging="0" w:start="360" w:end="0"/>
    </w:pPr>
    <w:rPr>
      <w:rFonts w:ascii=".VnTime" w:hAnsi=".VnTime" w:eastAsia="Times New Roman" w:cs="Times New Roman"/>
      <w:sz w:val="16"/>
      <w:szCs w:val="16"/>
      <w:lang w:val="en-US"/>
    </w:rPr>
  </w:style>
  <w:style w:type="paragraph" w:styleId="BodyText2">
    <w:name w:val="Body Text 2"/>
    <w:basedOn w:val="Normal"/>
    <w:qFormat/>
    <w:pPr>
      <w:spacing w:lineRule="auto" w:line="480" w:before="0" w:after="120"/>
    </w:pPr>
    <w:rPr>
      <w:rFonts w:ascii=".VnTime" w:hAnsi=".VnTime" w:eastAsia="Times New Roman" w:cs="Times New Roman"/>
      <w:sz w:val="28"/>
      <w:szCs w:val="20"/>
    </w:rPr>
  </w:style>
  <w:style w:type="paragraph" w:styleId="BodyTextIndent2">
    <w:name w:val="Body Text Indent 2"/>
    <w:basedOn w:val="Normal"/>
    <w:qFormat/>
    <w:pPr>
      <w:spacing w:lineRule="auto" w:line="480" w:before="0" w:after="120"/>
      <w:ind w:hanging="0" w:start="360" w:end="0"/>
    </w:pPr>
    <w:rPr>
      <w:rFonts w:ascii=".VnTime" w:hAnsi=".VnTime" w:eastAsia="Times New Roman" w:cs="Times New Roman"/>
      <w:sz w:val="28"/>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LibreOffice/24.2.7.2$Linux_X86_64 LibreOffice_project/420$Build-2</Application>
  <AppVersion>15.0000</AppVersion>
  <Pages>7</Pages>
  <Words>2556</Words>
  <Characters>8984</Characters>
  <CharactersWithSpaces>11445</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2016-08-18T11:25:00Z</dcterms:created>
  <dc:creator>User</dc:creator>
  <dc:description/>
  <dc:language>en-US</dc:language>
  <cp:lastModifiedBy/>
  <cp:lastPrinted>2016-08-18T11:37:00Z</cp:lastPrinted>
  <dcterms:modified xsi:type="dcterms:W3CDTF">2026-05-10T14:12:16Z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