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tLeast" w:line="293"/>
        <w:ind w:right="-315"/>
        <w:jc w:val="right"/>
        <w:rPr>
          <w:rStyle w:val="Emphasis"/>
          <w:rFonts w:ascii="Times New Roman" w:hAnsi="Times New Roman"/>
          <w:color w:val="000000"/>
          <w:sz w:val="26"/>
          <w:szCs w:val="26"/>
        </w:rPr>
      </w:pPr>
      <w:r>
        <w:rPr/>
      </w:r>
    </w:p>
    <w:p>
      <w:pPr>
        <w:sectPr>
          <w:type w:val="nextPage"/>
          <w:pgSz w:w="11906" w:h="16838"/>
          <w:pgMar w:left="1701" w:right="1134" w:gutter="0" w:header="0" w:top="1134" w:footer="0" w:bottom="1134"/>
          <w:pgNumType w:fmt="decimal"/>
          <w:formProt w:val="false"/>
          <w:textDirection w:val="lrTb"/>
          <w:docGrid w:type="default" w:linePitch="600" w:charSpace="32768"/>
        </w:sectPr>
      </w:pPr>
    </w:p>
    <w:p>
      <w:pPr>
        <w:pStyle w:val="Normal"/>
        <w:spacing w:before="0" w:after="120"/>
        <w:ind w:firstLine="720"/>
        <w:jc w:val="both"/>
        <w:rPr>
          <w:rFonts w:ascii="Times New Roman" w:hAnsi="Times New Roman"/>
          <w:b/>
          <w:sz w:val="26"/>
          <w:szCs w:val="26"/>
        </w:rPr>
      </w:pPr>
      <w:r>
        <w:rPr>
          <w:rFonts w:ascii="Times New Roman" w:hAnsi="Times New Roman"/>
          <w:b/>
          <w:sz w:val="26"/>
          <w:szCs w:val="26"/>
        </w:rPr>
      </w:r>
    </w:p>
    <w:p>
      <w:pPr>
        <w:pStyle w:val="Normal"/>
        <w:spacing w:lineRule="auto" w:line="360"/>
        <w:ind w:firstLine="720"/>
        <w:jc w:val="both"/>
        <w:rPr>
          <w:rFonts w:ascii="Times New Roman" w:hAnsi="Times New Roman"/>
          <w:b/>
          <w:sz w:val="26"/>
          <w:szCs w:val="26"/>
        </w:rPr>
      </w:pPr>
      <w:r>
        <w:rPr>
          <w:rFonts w:ascii="Times New Roman" w:hAnsi="Times New Roman"/>
          <w:b/>
          <w:sz w:val="26"/>
          <w:szCs w:val="26"/>
        </w:rPr>
        <w:t>Điều 1. Phạm vi điều chỉnh, đối tượng áp dụng</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xml:space="preserve">Văn bản này quy định về chương trình môn học giáo dục thể chất, tổ chức, quản lý, đánh giá các môn học Giáo dục thể chất (GDTC) cho </w:t>
      </w:r>
      <w:r>
        <w:rPr>
          <w:rFonts w:ascii="Times New Roman" w:hAnsi="Times New Roman"/>
          <w:color w:val="000000"/>
          <w:sz w:val="26"/>
          <w:szCs w:val="26"/>
        </w:rPr>
        <w:t>sinh viên đào tạo theo hình thức chính quy</w:t>
      </w:r>
      <w:r>
        <w:rPr>
          <w:rFonts w:ascii="Times New Roman" w:hAnsi="Times New Roman"/>
          <w:sz w:val="26"/>
          <w:szCs w:val="26"/>
        </w:rPr>
        <w:t xml:space="preserve"> của Trường Đại học Thủy lợi.</w:t>
      </w:r>
    </w:p>
    <w:p>
      <w:pPr>
        <w:pStyle w:val="Normal"/>
        <w:spacing w:lineRule="auto" w:line="360"/>
        <w:ind w:firstLine="720"/>
        <w:rPr>
          <w:rFonts w:ascii="Times New Roman" w:hAnsi="Times New Roman"/>
          <w:b/>
          <w:bCs/>
          <w:sz w:val="26"/>
          <w:szCs w:val="26"/>
        </w:rPr>
      </w:pPr>
      <w:r>
        <w:rPr>
          <w:rFonts w:ascii="Times New Roman" w:hAnsi="Times New Roman"/>
          <w:b/>
          <w:bCs/>
          <w:sz w:val="26"/>
          <w:szCs w:val="26"/>
        </w:rPr>
        <w:t>Điều 2. Mục tiêu</w:t>
      </w:r>
    </w:p>
    <w:p>
      <w:pPr>
        <w:pStyle w:val="Normal"/>
        <w:spacing w:lineRule="auto" w:line="360"/>
        <w:ind w:firstLine="720"/>
        <w:jc w:val="both"/>
        <w:rPr>
          <w:rFonts w:ascii="Times New Roman" w:hAnsi="Times New Roman"/>
          <w:bCs/>
          <w:sz w:val="26"/>
          <w:szCs w:val="26"/>
        </w:rPr>
      </w:pPr>
      <w:r>
        <w:rPr>
          <w:rFonts w:ascii="Times New Roman" w:hAnsi="Times New Roman"/>
          <w:bCs/>
          <w:sz w:val="26"/>
          <w:szCs w:val="26"/>
        </w:rPr>
        <w:t>Chương trình môn học GDTC nhằm cung cấp kiến thức, kỹ năng vận động cơ bản, hình thành thói quen luyện tập thể dục, thể thao để nâng cao sức khỏe, phát triển thể lực, tầm vóc, hoàn thiện nhân cách, tạo niềm vui, phấn khởi; đáp ứng xu hướng,</w:t>
      </w:r>
      <w:r>
        <w:rPr>
          <w:rFonts w:ascii="Times New Roman" w:hAnsi="Times New Roman"/>
          <w:bCs/>
          <w:sz w:val="26"/>
          <w:szCs w:val="26"/>
          <w:lang w:val="vi-VN"/>
        </w:rPr>
        <w:t xml:space="preserve"> nhu cầu sinh viên có nguyện vọng tập luyện những môn Thể thao sôi động, hiện đại, mang tính biểu diễn trong nhiều hoạt động cộng đồng</w:t>
      </w:r>
      <w:r>
        <w:rPr>
          <w:rFonts w:ascii="Times New Roman" w:hAnsi="Times New Roman"/>
          <w:bCs/>
          <w:sz w:val="26"/>
          <w:szCs w:val="26"/>
        </w:rPr>
        <w:t>, từ đó nâng cao chất lượng học tập, kỹ năng hoạt động xã hội với tinh thần, thái độ tích cực, góp phần thực hiện mục tiêu giáo dục toàn diện. Thông qua các hoạt động GDTC để thúc đẩy các phong trào hoạt động thể dục, thể thao trong toàn trường và góp phần quảng bá hình ảnh nhà trường trong xã hội.</w:t>
      </w:r>
    </w:p>
    <w:p>
      <w:pPr>
        <w:pStyle w:val="Normal"/>
        <w:spacing w:lineRule="auto" w:line="360"/>
        <w:ind w:firstLine="720"/>
        <w:jc w:val="both"/>
        <w:rPr>
          <w:rFonts w:ascii="Times New Roman" w:hAnsi="Times New Roman"/>
          <w:b/>
          <w:sz w:val="26"/>
          <w:szCs w:val="26"/>
        </w:rPr>
      </w:pPr>
      <w:r>
        <w:rPr>
          <w:rFonts w:ascii="Times New Roman" w:hAnsi="Times New Roman"/>
          <w:b/>
          <w:sz w:val="26"/>
          <w:szCs w:val="26"/>
        </w:rPr>
        <w:t>Điều 4. Khối lượng kiến thức yêu cầu tích lũy của chương trình môn học GDTC</w:t>
      </w:r>
    </w:p>
    <w:p>
      <w:pPr>
        <w:pStyle w:val="Normal"/>
        <w:spacing w:lineRule="auto" w:line="360"/>
        <w:ind w:firstLine="720"/>
        <w:jc w:val="both"/>
        <w:rPr>
          <w:rFonts w:ascii="Times New Roman" w:hAnsi="Times New Roman"/>
          <w:sz w:val="26"/>
          <w:szCs w:val="26"/>
        </w:rPr>
      </w:pPr>
      <w:r>
        <w:rPr>
          <w:rFonts w:ascii="Times New Roman" w:hAnsi="Times New Roman"/>
          <w:bCs/>
          <w:iCs/>
          <w:sz w:val="26"/>
          <w:szCs w:val="26"/>
        </w:rPr>
        <w:t xml:space="preserve">1. Đối với sinh viên đại học: </w:t>
      </w:r>
      <w:r>
        <w:rPr>
          <w:rFonts w:ascii="Times New Roman" w:hAnsi="Times New Roman"/>
          <w:sz w:val="26"/>
          <w:szCs w:val="26"/>
        </w:rPr>
        <w:t>phải tích lũy tối thiểu 05 (năm) tín chỉ tương ứng 5 học phần, tự chọn trong danh mục các môn học tại điều 4.</w:t>
      </w:r>
    </w:p>
    <w:p>
      <w:pPr>
        <w:pStyle w:val="Normal"/>
        <w:spacing w:lineRule="auto" w:line="360"/>
        <w:ind w:firstLine="720"/>
        <w:jc w:val="both"/>
        <w:rPr>
          <w:rFonts w:ascii="Times New Roman" w:hAnsi="Times New Roman"/>
          <w:sz w:val="26"/>
          <w:szCs w:val="26"/>
        </w:rPr>
      </w:pPr>
      <w:r>
        <w:rPr>
          <w:rFonts w:ascii="Times New Roman" w:hAnsi="Times New Roman"/>
          <w:bCs/>
          <w:iCs/>
          <w:sz w:val="26"/>
          <w:szCs w:val="26"/>
        </w:rPr>
        <w:t xml:space="preserve">2. Đối với sinh viên liên thông từ cao đẳng lên đại học: </w:t>
      </w:r>
      <w:r>
        <w:rPr>
          <w:rFonts w:ascii="Times New Roman" w:hAnsi="Times New Roman"/>
          <w:sz w:val="26"/>
          <w:szCs w:val="26"/>
        </w:rPr>
        <w:t>phải tích lũy tối thiểu 02 (hai) tín chỉ tương ứng 2 học phần, tự chọn trong danh mục các môn học tại điều 4.</w:t>
      </w:r>
    </w:p>
    <w:p>
      <w:pPr>
        <w:pStyle w:val="Normal"/>
        <w:spacing w:lineRule="auto" w:line="360"/>
        <w:ind w:firstLine="720"/>
        <w:jc w:val="both"/>
        <w:rPr>
          <w:rFonts w:ascii="Times New Roman" w:hAnsi="Times New Roman"/>
          <w:iCs/>
          <w:sz w:val="26"/>
          <w:szCs w:val="26"/>
        </w:rPr>
      </w:pPr>
      <w:r>
        <w:rPr>
          <w:rFonts w:ascii="Times New Roman" w:hAnsi="Times New Roman"/>
          <w:b/>
          <w:iCs/>
          <w:sz w:val="26"/>
          <w:szCs w:val="26"/>
        </w:rPr>
        <w:t xml:space="preserve">Điều 5. Quy định cho sinh viên theo học các học phần GDTC chuyên sâu </w:t>
      </w:r>
      <w:r>
        <w:rPr>
          <w:rFonts w:ascii="Times New Roman" w:hAnsi="Times New Roman"/>
          <w:iCs/>
          <w:sz w:val="26"/>
          <w:szCs w:val="26"/>
        </w:rPr>
        <w:t xml:space="preserve"> </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1. Mục đích: đáp ứng sở thích, nguyện vọng, năng khiếu của sinh viên từ đó phát huy được năng lực tốt nhất của sinh viên, góp phần xây dựng các đội tuyển chuyên sâu, có kế cận và thi đấu đạt thành tích cao;</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2. Đối tượng: Tất cả sinh viên đáp ứng được các yêu cầu về thể lực, thể hình, kỹ năng của môn GDTC chuyên sâu tuyển chọn;</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3. Hình thức tuyển chọn:</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Tại học kỳ đầu tiên năm thứ nhất, sinh viên đăng ký tự nguyện với Bộ môn GDTC (qua giảng viên giảng dạy môn học GDTC).</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Bộ môn GDTC tiến hành sơ tuyển và gửi danh sách sinh viên đạt yêu cầu môn TDTT chuyên sâu về Phòng Đào tạo đăng ký vào lớp học chuyên sâu.</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4. Nội dung môn GDTC chuyên sâu: gồm các học phần môn học chuyên sâu theo danh mục môn học tại điều 4</w:t>
      </w:r>
    </w:p>
    <w:p>
      <w:pPr>
        <w:pStyle w:val="Normal"/>
        <w:spacing w:lineRule="auto" w:line="360"/>
        <w:ind w:firstLine="720"/>
        <w:jc w:val="both"/>
        <w:rPr>
          <w:rFonts w:ascii="Times New Roman" w:hAnsi="Times New Roman"/>
          <w:b/>
          <w:sz w:val="26"/>
          <w:szCs w:val="26"/>
        </w:rPr>
      </w:pPr>
      <w:r>
        <w:rPr>
          <w:rFonts w:ascii="Times New Roman" w:hAnsi="Times New Roman"/>
          <w:b/>
          <w:sz w:val="26"/>
          <w:szCs w:val="26"/>
        </w:rPr>
        <w:t>Điều 6. Đánh giá kết quả môn học và điều kiện hoàn thành chương trình môn học Giáo dục thể chất</w:t>
      </w:r>
    </w:p>
    <w:p>
      <w:pPr>
        <w:pStyle w:val="Normal"/>
        <w:spacing w:lineRule="auto" w:line="360"/>
        <w:ind w:firstLine="720"/>
        <w:jc w:val="both"/>
        <w:rPr>
          <w:rFonts w:ascii="Times New Roman" w:hAnsi="Times New Roman"/>
          <w:bCs/>
          <w:iCs/>
          <w:sz w:val="26"/>
          <w:szCs w:val="26"/>
        </w:rPr>
      </w:pPr>
      <w:r>
        <w:rPr>
          <w:rFonts w:ascii="Times New Roman" w:hAnsi="Times New Roman"/>
          <w:bCs/>
          <w:iCs/>
          <w:sz w:val="26"/>
          <w:szCs w:val="26"/>
        </w:rPr>
        <w:t>1. Đánh giá kết quả môn học: theo quy định hiện hành</w:t>
      </w:r>
    </w:p>
    <w:p>
      <w:pPr>
        <w:pStyle w:val="Normal"/>
        <w:spacing w:lineRule="auto" w:line="360"/>
        <w:ind w:firstLine="720"/>
        <w:jc w:val="both"/>
        <w:rPr>
          <w:rFonts w:ascii="Times New Roman" w:hAnsi="Times New Roman"/>
          <w:bCs/>
          <w:iCs/>
          <w:sz w:val="26"/>
          <w:szCs w:val="26"/>
        </w:rPr>
      </w:pPr>
      <w:r>
        <w:rPr>
          <w:rFonts w:ascii="Times New Roman" w:hAnsi="Times New Roman"/>
          <w:bCs/>
          <w:iCs/>
          <w:sz w:val="26"/>
          <w:szCs w:val="26"/>
        </w:rPr>
        <w:t>2. Điều kiện hoàn thành chương trình học GDTC: tích lũy 05 (năm) tín chỉ tương ứng 05 học phần GDTC đối với sinh viên đại học và 02 (hai) tín chỉ tương ứng 02 học phần GDTC đối với sinh viên liên thông từ cao đẳng lên đại học.</w:t>
      </w:r>
    </w:p>
    <w:p>
      <w:pPr>
        <w:pStyle w:val="Normal"/>
        <w:spacing w:lineRule="auto" w:line="360"/>
        <w:ind w:firstLine="720"/>
        <w:jc w:val="both"/>
        <w:rPr>
          <w:rFonts w:ascii="Times New Roman" w:hAnsi="Times New Roman"/>
          <w:b/>
          <w:sz w:val="26"/>
          <w:szCs w:val="26"/>
        </w:rPr>
      </w:pPr>
      <w:r>
        <w:rPr>
          <w:rFonts w:ascii="Times New Roman" w:hAnsi="Times New Roman"/>
          <w:b/>
          <w:sz w:val="26"/>
          <w:szCs w:val="26"/>
        </w:rPr>
        <w:t>Điều 7. Miễn học môn GDTC</w:t>
      </w:r>
    </w:p>
    <w:p>
      <w:pPr>
        <w:pStyle w:val="Normal"/>
        <w:spacing w:lineRule="auto" w:line="360"/>
        <w:ind w:firstLine="720"/>
        <w:jc w:val="both"/>
        <w:rPr>
          <w:rFonts w:ascii="Times New Roman" w:hAnsi="Times New Roman"/>
          <w:bCs/>
          <w:iCs/>
          <w:sz w:val="26"/>
          <w:szCs w:val="26"/>
        </w:rPr>
      </w:pPr>
      <w:r>
        <w:rPr>
          <w:rFonts w:ascii="Times New Roman" w:hAnsi="Times New Roman"/>
          <w:bCs/>
          <w:iCs/>
          <w:sz w:val="26"/>
          <w:szCs w:val="26"/>
        </w:rPr>
        <w:t>1. Miễn học tất cả các môn học GDTC</w:t>
      </w:r>
    </w:p>
    <w:p>
      <w:pPr>
        <w:pStyle w:val="Normal"/>
        <w:spacing w:lineRule="auto" w:line="360"/>
        <w:ind w:firstLine="567"/>
        <w:jc w:val="both"/>
        <w:rPr>
          <w:rFonts w:ascii="Times New Roman" w:hAnsi="Times New Roman"/>
          <w:sz w:val="26"/>
          <w:szCs w:val="26"/>
        </w:rPr>
      </w:pPr>
      <w:r>
        <w:rPr>
          <w:rFonts w:ascii="Times New Roman" w:hAnsi="Times New Roman"/>
          <w:sz w:val="26"/>
          <w:szCs w:val="26"/>
        </w:rPr>
        <w:t>- Đối tượng: Sinh viên đã tốt nghiệp trình độ đại học tại cơ sở giáo dục đại học khác hoặc sinh viên tốt nghiệp hệ cao đẳng đã được cấp chứng chỉ GDTC hệ đại học chính quy khi tiếp tục học liên thông lên đại học tại Trường Đại học Thủy lợi: được  miễn học các môn học GDTC và công nhận hoàn thành chương trình môn học GDTC.</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Thủ tục: Đầu khóa học, sinh viên nộp tại Phòng Đào tạo: đơn xin miễn học các môn học GDTC, bảng điểm các môn học GDTC và bản photo công chứng Chứng chỉ GDTC (nếu có).</w:t>
      </w:r>
    </w:p>
    <w:p>
      <w:pPr>
        <w:pStyle w:val="Normal"/>
        <w:spacing w:lineRule="auto" w:line="360"/>
        <w:ind w:firstLine="720"/>
        <w:jc w:val="both"/>
        <w:rPr>
          <w:rFonts w:ascii="Times New Roman" w:hAnsi="Times New Roman"/>
          <w:bCs/>
          <w:iCs/>
          <w:sz w:val="26"/>
          <w:szCs w:val="26"/>
        </w:rPr>
      </w:pPr>
      <w:r>
        <w:rPr>
          <w:rFonts w:ascii="Times New Roman" w:hAnsi="Times New Roman"/>
          <w:bCs/>
          <w:iCs/>
          <w:sz w:val="26"/>
          <w:szCs w:val="26"/>
        </w:rPr>
        <w:t>2. Miễn học một số nội dung của môn học có liên quan đến vận động</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xml:space="preserve">- Đối tượng: Sinh viên bị khuyết tật, </w:t>
      </w:r>
      <w:r>
        <w:rPr>
          <w:rStyle w:val="font-arial1"/>
          <w:rFonts w:cs="Times New Roman" w:ascii="Times New Roman" w:hAnsi="Times New Roman"/>
          <w:sz w:val="26"/>
          <w:szCs w:val="26"/>
        </w:rPr>
        <w:t>dị tật bẩm sinh, bị các bệnh tim mạch, không có khả năng vận động với khối lượng và cường độ vận động lớn</w:t>
      </w:r>
      <w:r>
        <w:rPr>
          <w:rFonts w:ascii="Times New Roman" w:hAnsi="Times New Roman"/>
          <w:sz w:val="26"/>
          <w:szCs w:val="26"/>
        </w:rPr>
        <w:t>.</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Quy định: Những sinh viên thuộc đối tượng trên</w:t>
      </w:r>
      <w:r>
        <w:rPr>
          <w:rStyle w:val="font-arial1"/>
          <w:rFonts w:cs="Times New Roman" w:ascii="Times New Roman" w:hAnsi="Times New Roman"/>
          <w:sz w:val="26"/>
          <w:szCs w:val="26"/>
        </w:rPr>
        <w:t xml:space="preserve"> vẫn phải tích lũy đủ khối lượng kiến thức môn học GDTC  nhưng sẽ học các nội dung của môn học phù hợp với sức khỏe và thể chất của sinh viên hoặc học môn học không liên quan đến vận động; đồng thời</w:t>
      </w:r>
      <w:r>
        <w:rPr>
          <w:rFonts w:ascii="Times New Roman" w:hAnsi="Times New Roman"/>
          <w:sz w:val="26"/>
          <w:szCs w:val="26"/>
        </w:rPr>
        <w:t xml:space="preserve"> v</w:t>
      </w:r>
      <w:r>
        <w:rPr>
          <w:rStyle w:val="font-arial1"/>
          <w:rFonts w:cs="Times New Roman" w:ascii="Times New Roman" w:hAnsi="Times New Roman"/>
          <w:sz w:val="26"/>
          <w:szCs w:val="26"/>
        </w:rPr>
        <w:t>iệc kiểm tra, đánh giá các môn học sẽ được vận dụng phù hợp.</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xml:space="preserve">- Thủ tục: Sinh viên nộp đơn </w:t>
      </w:r>
      <w:r>
        <w:rPr>
          <w:rFonts w:ascii="Times New Roman" w:hAnsi="Times New Roman"/>
          <w:i/>
          <w:sz w:val="26"/>
          <w:szCs w:val="26"/>
        </w:rPr>
        <w:t>(có ý kiến của Y tế trường)</w:t>
      </w:r>
      <w:r>
        <w:rPr>
          <w:rFonts w:ascii="Times New Roman" w:hAnsi="Times New Roman"/>
          <w:sz w:val="26"/>
          <w:szCs w:val="26"/>
        </w:rPr>
        <w:t xml:space="preserve"> và Giấy chứng nhận về khuyết tật, dị tật bẩm sinh hoặc Hồ sơ bệnh án của Bệnh viện cấp tỉnh, thành phố và tương đương tại Phòng Đào tạo để xem xét.</w:t>
      </w:r>
    </w:p>
    <w:p>
      <w:pPr>
        <w:pStyle w:val="Normal"/>
        <w:spacing w:lineRule="auto" w:line="360"/>
        <w:ind w:firstLine="720"/>
        <w:jc w:val="both"/>
        <w:rPr>
          <w:rFonts w:ascii="Times New Roman" w:hAnsi="Times New Roman"/>
          <w:b/>
          <w:sz w:val="26"/>
          <w:szCs w:val="26"/>
        </w:rPr>
      </w:pPr>
      <w:r>
        <w:rPr>
          <w:rFonts w:ascii="Times New Roman" w:hAnsi="Times New Roman"/>
          <w:b/>
          <w:sz w:val="26"/>
          <w:szCs w:val="26"/>
        </w:rPr>
        <w:t>Điều 8. Điều khoản thi hành</w:t>
      </w:r>
    </w:p>
    <w:p>
      <w:pPr>
        <w:pStyle w:val="Normal"/>
        <w:spacing w:lineRule="auto" w:line="360"/>
        <w:ind w:firstLine="720"/>
        <w:jc w:val="both"/>
        <w:rPr>
          <w:rFonts w:ascii="Times New Roman" w:hAnsi="Times New Roman"/>
          <w:sz w:val="26"/>
          <w:szCs w:val="26"/>
        </w:rPr>
      </w:pPr>
      <w:r>
        <w:rPr>
          <w:rFonts w:ascii="Times New Roman" w:hAnsi="Times New Roman"/>
          <w:sz w:val="26"/>
          <w:szCs w:val="26"/>
        </w:rPr>
        <w:t xml:space="preserve">Trong quá trình thực hiện, nếu có vướng mắc, các đơn vị, cá nhân báo cáo Ban Giám hiệu bằng văn bản </w:t>
      </w:r>
      <w:r>
        <w:rPr>
          <w:rFonts w:ascii="Times New Roman" w:hAnsi="Times New Roman"/>
          <w:i/>
          <w:sz w:val="26"/>
          <w:szCs w:val="26"/>
        </w:rPr>
        <w:t>(qua Phòng Đào tạo)</w:t>
      </w:r>
      <w:r>
        <w:rPr>
          <w:rFonts w:ascii="Times New Roman" w:hAnsi="Times New Roman"/>
          <w:sz w:val="26"/>
          <w:szCs w:val="26"/>
        </w:rPr>
        <w:t xml:space="preserve"> để được xem xét giải quyết.</w:t>
      </w:r>
    </w:p>
    <w:p>
      <w:pPr>
        <w:pStyle w:val="Normal"/>
        <w:spacing w:lineRule="auto" w:line="360"/>
        <w:rPr>
          <w:rFonts w:ascii="Times New Roman" w:hAnsi="Times New Roman"/>
          <w:b/>
          <w:sz w:val="26"/>
          <w:szCs w:val="26"/>
        </w:rPr>
      </w:pPr>
      <w:r>
        <w:rPr>
          <w:rFonts w:ascii="Times New Roman" w:hAnsi="Times New Roman"/>
          <w:b/>
          <w:sz w:val="26"/>
          <w:szCs w:val="26"/>
        </w:rPr>
      </w:r>
    </w:p>
    <w:sectPr>
      <w:type w:val="continuous"/>
      <w:pgSz w:w="11906" w:h="16838"/>
      <w:pgMar w:left="1701"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Time">
    <w:charset w:val="01"/>
    <w:family w:val="roman"/>
    <w:pitch w:val="variable"/>
  </w:font>
  <w:font w:name=".VnArialH">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vi-VN" w:eastAsia="vi-VN"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widowControl/>
      <w:bidi w:val="0"/>
      <w:spacing w:before="0" w:after="0"/>
      <w:jc w:val="left"/>
    </w:pPr>
    <w:rPr>
      <w:rFonts w:ascii=".VnTime" w:hAnsi=".VnTime" w:eastAsia="Times New Roman" w:cs="Times New Roman"/>
      <w:color w:val="auto"/>
      <w:kern w:val="0"/>
      <w:sz w:val="24"/>
      <w:szCs w:val="24"/>
      <w:lang w:val="en-US" w:eastAsia="en-US" w:bidi="ar-SA"/>
    </w:rPr>
  </w:style>
  <w:style w:type="paragraph" w:styleId="Heading2">
    <w:name w:val="Heading 2"/>
    <w:basedOn w:val="Normal"/>
    <w:next w:val="Normal"/>
    <w:qFormat/>
    <w:rsid w:val="002c0157"/>
    <w:pPr>
      <w:keepNext w:val="true"/>
      <w:jc w:val="center"/>
      <w:outlineLvl w:val="1"/>
    </w:pPr>
    <w:rPr>
      <w:rFonts w:ascii=".VnArialH" w:hAnsi=".VnArialH"/>
      <w:b/>
      <w:sz w:val="28"/>
      <w:szCs w:val="20"/>
    </w:rPr>
  </w:style>
  <w:style w:type="paragraph" w:styleId="Heading4">
    <w:name w:val="Heading 4"/>
    <w:basedOn w:val="Normal"/>
    <w:next w:val="Normal"/>
    <w:qFormat/>
    <w:rsid w:val="008922ea"/>
    <w:pPr>
      <w:keepNext w:val="true"/>
      <w:spacing w:before="240" w:after="60"/>
      <w:outlineLvl w:val="3"/>
    </w:pPr>
    <w:rPr>
      <w:rFonts w:ascii="Times New Roman" w:hAnsi="Times New Roman"/>
      <w:b/>
      <w:bCs/>
      <w:sz w:val="28"/>
      <w:szCs w:val="28"/>
    </w:rPr>
  </w:style>
  <w:style w:type="paragraph" w:styleId="Heading6">
    <w:name w:val="Heading 6"/>
    <w:basedOn w:val="Normal"/>
    <w:next w:val="Normal"/>
    <w:qFormat/>
    <w:rsid w:val="002c0157"/>
    <w:pPr>
      <w:spacing w:before="240" w:after="60"/>
      <w:outlineLvl w:val="5"/>
    </w:pPr>
    <w:rPr>
      <w:rFonts w:ascii="Times New Roman" w:hAnsi="Times New Roman"/>
      <w:b/>
      <w:bCs/>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44471a"/>
    <w:rPr/>
  </w:style>
  <w:style w:type="character" w:styleId="Emphasis">
    <w:name w:val="Emphasis"/>
    <w:qFormat/>
    <w:rsid w:val="00e701fc"/>
    <w:rPr>
      <w:i/>
      <w:iCs/>
    </w:rPr>
  </w:style>
  <w:style w:type="character" w:styleId="font-arial1" w:customStyle="1">
    <w:name w:val="font-arial1"/>
    <w:qFormat/>
    <w:rsid w:val="000a54c7"/>
    <w:rPr>
      <w:rFonts w:ascii="Arial" w:hAnsi="Arial" w:cs="Arial"/>
      <w:sz w:val="24"/>
      <w:szCs w:val="24"/>
    </w:rPr>
  </w:style>
  <w:style w:type="character" w:styleId="annotationreference">
    <w:name w:val="annotation reference"/>
    <w:qFormat/>
    <w:rsid w:val="00626f4e"/>
    <w:rPr>
      <w:sz w:val="16"/>
      <w:szCs w:val="16"/>
    </w:rPr>
  </w:style>
  <w:style w:type="character" w:styleId="CommentTextChar" w:customStyle="1">
    <w:name w:val="Comment Text Char"/>
    <w:link w:val="AnnotationText"/>
    <w:qFormat/>
    <w:rsid w:val="00626f4e"/>
    <w:rPr>
      <w:rFonts w:ascii=".VnTime" w:hAnsi=".VnTime"/>
    </w:rPr>
  </w:style>
  <w:style w:type="character" w:styleId="CommentSubjectChar" w:customStyle="1">
    <w:name w:val="Comment Subject Char"/>
    <w:link w:val="annotationsubject"/>
    <w:qFormat/>
    <w:rsid w:val="00626f4e"/>
    <w:rPr>
      <w:rFonts w:ascii=".VnTime" w:hAnsi=".VnTime"/>
      <w:b/>
      <w:bCs/>
    </w:rPr>
  </w:style>
  <w:style w:type="character" w:styleId="BalloonTextChar" w:customStyle="1">
    <w:name w:val="Balloon Text Char"/>
    <w:link w:val="BalloonText"/>
    <w:qFormat/>
    <w:rsid w:val="00626f4e"/>
    <w:rPr>
      <w:rFonts w:ascii="Tahoma" w:hAnsi="Tahoma" w:cs="Tahoma"/>
      <w:sz w:val="16"/>
      <w:szCs w:val="16"/>
    </w:rPr>
  </w:style>
  <w:style w:type="character" w:styleId="Strong">
    <w:name w:val="Strong"/>
    <w:qFormat/>
    <w:rsid w:val="00262015"/>
    <w:rPr>
      <w:b/>
      <w:bCs/>
    </w:rPr>
  </w:style>
  <w:style w:type="character" w:styleId="apple-converted-space" w:customStyle="1">
    <w:name w:val="apple-converted-space"/>
    <w:qFormat/>
    <w:rsid w:val="004f52a6"/>
    <w:rPr/>
  </w:style>
  <w:style w:type="character" w:styleId="FooterChar" w:customStyle="1">
    <w:name w:val="Footer Char"/>
    <w:link w:val="Footer"/>
    <w:uiPriority w:val="99"/>
    <w:qFormat/>
    <w:rsid w:val="00b12255"/>
    <w:rPr>
      <w:rFonts w:ascii=".VnTime" w:hAnsi=".VnTime"/>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2c0157"/>
    <w:pPr>
      <w:spacing w:lineRule="auto" w:line="300"/>
      <w:jc w:val="both"/>
    </w:pPr>
    <w:rPr>
      <w:sz w:val="28"/>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2">
    <w:name w:val="Body Text Indent 2"/>
    <w:basedOn w:val="Normal"/>
    <w:qFormat/>
    <w:rsid w:val="002c0157"/>
    <w:pPr>
      <w:spacing w:lineRule="auto" w:line="480" w:before="0" w:after="120"/>
      <w:ind w:left="360"/>
    </w:pPr>
    <w:rPr>
      <w:sz w:val="28"/>
      <w:szCs w:val="20"/>
    </w:rPr>
  </w:style>
  <w:style w:type="paragraph" w:styleId="BodyText2">
    <w:name w:val="Body Text 2"/>
    <w:basedOn w:val="Normal"/>
    <w:qFormat/>
    <w:rsid w:val="002c0157"/>
    <w:pPr>
      <w:spacing w:lineRule="auto" w:line="480" w:before="0" w:after="120"/>
    </w:pPr>
    <w:rPr>
      <w:sz w:val="28"/>
      <w:szCs w:val="20"/>
    </w:rPr>
  </w:style>
  <w:style w:type="paragraph" w:styleId="Char" w:customStyle="1">
    <w:name w:val="Char"/>
    <w:basedOn w:val="Normal"/>
    <w:qFormat/>
    <w:rsid w:val="00996c6a"/>
    <w:pPr>
      <w:spacing w:beforeAutospacing="1" w:afterAutospacing="1"/>
    </w:pPr>
    <w:rPr>
      <w:rFonts w:ascii="Tahoma" w:hAnsi="Tahoma"/>
      <w:sz w:val="20"/>
      <w:szCs w:val="20"/>
    </w:rPr>
  </w:style>
  <w:style w:type="paragraph" w:styleId="HeaderandFooter">
    <w:name w:val="Header and Footer"/>
    <w:basedOn w:val="Normal"/>
    <w:qFormat/>
    <w:pPr/>
    <w:rPr/>
  </w:style>
  <w:style w:type="paragraph" w:styleId="Header">
    <w:name w:val="Header"/>
    <w:basedOn w:val="Normal"/>
    <w:rsid w:val="0044471a"/>
    <w:pPr>
      <w:tabs>
        <w:tab w:val="clear" w:pos="720"/>
        <w:tab w:val="center" w:pos="4320" w:leader="none"/>
        <w:tab w:val="right" w:pos="8640" w:leader="none"/>
      </w:tabs>
    </w:pPr>
    <w:rPr/>
  </w:style>
  <w:style w:type="paragraph" w:styleId="Footer">
    <w:name w:val="Footer"/>
    <w:basedOn w:val="Normal"/>
    <w:link w:val="FooterChar"/>
    <w:uiPriority w:val="99"/>
    <w:rsid w:val="0044471a"/>
    <w:pPr>
      <w:tabs>
        <w:tab w:val="clear" w:pos="720"/>
        <w:tab w:val="center" w:pos="4320" w:leader="none"/>
        <w:tab w:val="right" w:pos="8640" w:leader="none"/>
      </w:tabs>
    </w:pPr>
    <w:rPr/>
  </w:style>
  <w:style w:type="paragraph" w:styleId="AnnotationText">
    <w:name w:val="Annotation Text"/>
    <w:basedOn w:val="Normal"/>
    <w:link w:val="CommentTextChar"/>
    <w:rsid w:val="00626f4e"/>
    <w:pPr/>
    <w:rPr>
      <w:sz w:val="20"/>
      <w:szCs w:val="20"/>
      <w:lang w:val="x-none" w:eastAsia="x-none"/>
    </w:rPr>
  </w:style>
  <w:style w:type="paragraph" w:styleId="annotationsubject">
    <w:name w:val="annotation subject"/>
    <w:basedOn w:val="AnnotationText"/>
    <w:next w:val="AnnotationText"/>
    <w:link w:val="CommentSubjectChar"/>
    <w:qFormat/>
    <w:rsid w:val="00626f4e"/>
    <w:pPr/>
    <w:rPr>
      <w:b/>
      <w:bCs/>
    </w:rPr>
  </w:style>
  <w:style w:type="paragraph" w:styleId="BalloonText">
    <w:name w:val="Balloon Text"/>
    <w:basedOn w:val="Normal"/>
    <w:link w:val="BalloonTextChar"/>
    <w:qFormat/>
    <w:rsid w:val="00626f4e"/>
    <w:pPr/>
    <w:rPr>
      <w:rFonts w:ascii="Tahoma" w:hAnsi="Tahoma"/>
      <w:sz w:val="16"/>
      <w:szCs w:val="16"/>
      <w:lang w:val="x-none" w:eastAsia="x-none"/>
    </w:rPr>
  </w:style>
  <w:style w:type="paragraph" w:styleId="a3" w:customStyle="1">
    <w:name w:val="a3"/>
    <w:basedOn w:val="Normal"/>
    <w:qFormat/>
    <w:rsid w:val="00ec302c"/>
    <w:pPr>
      <w:spacing w:before="120" w:after="0"/>
      <w:ind w:firstLine="289" w:left="289"/>
      <w:jc w:val="both"/>
    </w:pPr>
    <w:rPr>
      <w:rFonts w:ascii="Times New Roman" w:hAnsi="Times New Roman"/>
      <w:b/>
      <w:lang w:val="nl-NL"/>
    </w:rPr>
  </w:style>
  <w:style w:type="paragraph" w:styleId="NormalWeb">
    <w:name w:val="Normal (Web)"/>
    <w:basedOn w:val="Normal"/>
    <w:qFormat/>
    <w:rsid w:val="004f52a6"/>
    <w:pPr>
      <w:spacing w:beforeAutospacing="1" w:afterAutospacing="1"/>
    </w:pPr>
    <w:rPr>
      <w:rFonts w:ascii="Times New Roman" w:hAnsi="Times New Roma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fe2d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2D5E-48D9-42A8-8BE9-955AF6220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2</Pages>
  <Words>867</Words>
  <Characters>3076</Characters>
  <CharactersWithSpaces>3919</CharactersWithSpaces>
  <Paragraphs>28</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2022-01-27T03:36:00Z</dcterms:created>
  <dc:creator>DT</dc:creator>
  <dc:description/>
  <dc:language>en-US</dc:language>
  <cp:lastModifiedBy/>
  <cp:lastPrinted>2021-07-16T09:24:00Z</cp:lastPrinted>
  <dcterms:modified xsi:type="dcterms:W3CDTF">2026-05-09T22:55:04Z</dcterms:modified>
  <cp:revision>3</cp:revision>
  <dc:subject/>
  <dc:title>BỘ NÔNG NGHIỆP &amp; PTNT</dc:title>
</cp:coreProperties>
</file>

<file path=docProps/custom.xml><?xml version="1.0" encoding="utf-8"?>
<Properties xmlns="http://schemas.openxmlformats.org/officeDocument/2006/custom-properties" xmlns:vt="http://schemas.openxmlformats.org/officeDocument/2006/docPropsVTypes"/>
</file>