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MLZ Security Lab Starter Kit — Implementation Guide (Azure Commercial)</w:t>
      </w:r>
    </w:p>
    <w:p>
      <w:pPr>
        <w:spacing w:after="240"/>
      </w:pPr>
      <w:r>
        <w:rPr>
          <w:b/>
          <w:bCs/>
        </w:rPr>
        <w:t xml:space="preserve">Repository: </w:t>
      </w:r>
      <w:hyperlink w:history="1" r:id="rIdsykn_5692so8uciwto5qz">
        <w:r>
          <w:rPr>
            <w:rStyle w:val="Hyperlink"/>
          </w:rPr>
          <w:t xml:space="preserve">github.com/lee-aguilar-msft/Azure-MLZStarterKit-Security</w:t>
        </w:r>
      </w:hyperlink>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20"/>
      </w:pPr>
      <w:r>
        <w:t xml:space="preserve">Step-by-step, from an empty </w:t>
      </w:r>
      <w:r>
        <w:rPr>
          <w:b/>
          <w:bCs/>
        </w:rPr>
        <w:t xml:space="preserve">Azure Commercial</w:t>
      </w:r>
      <w:r>
        <w:t xml:space="preserve"> subscription to a running MLZ Security Lab with Microsoft Sentinel connectors, analytics rules and UEBA enabled — using only the Azure portal, Cloud Shell and the </w:t>
      </w:r>
      <w:r>
        <w:rPr>
          <w:b/>
          <w:bCs/>
        </w:rPr>
        <w:t xml:space="preserve">Deploy to Azure</w:t>
      </w:r>
      <w:r>
        <w:t xml:space="preserve"> button in the repository README.</w:t>
      </w:r>
    </w:p>
    <w:p>
      <w:pPr>
        <w:spacing w:after="120"/>
      </w:pPr>
      <w:r>
        <w:t xml:space="preserve">This is the Commercial counterpart of the Azure Government guide (</w:t>
      </w:r>
      <w:r>
        <w:rPr>
          <w:rFonts w:ascii="Consolas" w:cs="Consolas" w:eastAsia="Consolas" w:hAnsi="Consolas"/>
          <w:sz w:val="18"/>
          <w:szCs w:val="18"/>
        </w:rPr>
        <w:t xml:space="preserve">IMPLEMENTATION-GOV.md</w:t>
      </w:r>
      <w:r>
        <w:t xml:space="preserve">). The kit is the same; the portal, the endpoints, the region choice, the VM sizes and several pitfalls are not, so the steps are written out in full here rather than as a list of differences.</w:t>
      </w:r>
    </w:p>
    <w:p>
      <w:pPr>
        <w:spacing w:after="120"/>
      </w:pPr>
      <w:r>
        <w:t xml:space="preserve">Everything in this guide was performed for real in a Commercial test subscription (</w:t>
      </w:r>
      <w:r>
        <w:rPr>
          <w:rFonts w:ascii="Consolas" w:cs="Consolas" w:eastAsia="Consolas" w:hAnsi="Consolas"/>
          <w:sz w:val="18"/>
          <w:szCs w:val="18"/>
        </w:rPr>
        <w:t xml:space="preserve">westus2</w:t>
      </w:r>
      <w:r>
        <w:t xml:space="preserve">, tenant </w:t>
      </w:r>
      <w:r>
        <w:rPr>
          <w:rFonts w:ascii="Consolas" w:cs="Consolas" w:eastAsia="Consolas" w:hAnsi="Consolas"/>
          <w:sz w:val="18"/>
          <w:szCs w:val="18"/>
        </w:rPr>
        <w:t xml:space="preserve">contoso.onmicrosoft.com</w:t>
      </w:r>
      <w:r>
        <w:t xml:space="preserve">) on 27 October 2026. The screenshots are from those runs. Three deployment runs were needed to shake out the Commercial-specific defects listed in section 8 (#48–#59); every fix is on </w:t>
      </w:r>
      <w:r>
        <w:rPr>
          <w:rFonts w:ascii="Consolas" w:cs="Consolas" w:eastAsia="Consolas" w:hAnsi="Consolas"/>
          <w:sz w:val="18"/>
          <w:szCs w:val="18"/>
        </w:rPr>
        <w:t xml:space="preserve">main</w:t>
      </w:r>
      <w:r>
        <w:t xml:space="preserve">, so a fresh run of the kit follows the clean path described here.</w:t>
      </w:r>
    </w:p>
    <w:p>
      <w:pPr>
        <w:spacing w:after="120"/>
      </w:pPr>
      <w:r>
        <w:t xml:space="preserve">Repository: </w:t>
      </w:r>
      <w:hyperlink w:history="1" r:id="rIddnoj6vgot6sntapehdber">
        <w:r>
          <w:rPr>
            <w:rStyle w:val="Hyperlink"/>
          </w:rPr>
          <w:t xml:space="preserve">https://github.com/lee-aguilar-msft/Azure-MLZStarterKit-Security</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Section</w:t>
            </w:r>
          </w:p>
        </w:tc>
        <w:tc>
          <w:tcPr>
            <w:tcW w:type="dxa" w:w="0"/>
            <w:shd w:fill="DCE6F1" w:color="auto" w:val="clear"/>
            <w:tcMar>
              <w:top w:type="dxa" w:w="60"/>
              <w:left w:type="dxa" w:w="80"/>
              <w:bottom w:type="dxa" w:w="60"/>
              <w:right w:type="dxa" w:w="80"/>
            </w:tcMar>
          </w:tcPr>
          <w:p>
            <w:pPr>
              <w:spacing w:after="0"/>
            </w:pPr>
            <w:r>
              <w:rPr>
                <w:b/>
                <w:bCs/>
                <w:sz w:val="18"/>
                <w:szCs w:val="18"/>
              </w:rPr>
              <w:t xml:space="preserve">What you do</w:t>
            </w:r>
          </w:p>
        </w:tc>
        <w:tc>
          <w:tcPr>
            <w:tcW w:type="dxa" w:w="0"/>
            <w:shd w:fill="DCE6F1" w:color="auto" w:val="clear"/>
            <w:tcMar>
              <w:top w:type="dxa" w:w="60"/>
              <w:left w:type="dxa" w:w="80"/>
              <w:bottom w:type="dxa" w:w="60"/>
              <w:right w:type="dxa" w:w="80"/>
            </w:tcMar>
          </w:tcPr>
          <w:p>
            <w:pPr>
              <w:spacing w:after="0"/>
            </w:pPr>
            <w:r>
              <w:rPr>
                <w:b/>
                <w:bCs/>
                <w:sz w:val="18"/>
                <w:szCs w:val="18"/>
              </w:rPr>
              <w:t xml:space="preserve">Time</w:t>
            </w:r>
          </w:p>
        </w:tc>
      </w:tr>
      <w:tr>
        <w:tc>
          <w:tcPr>
            <w:tcW w:type="dxa" w:w="0"/>
            <w:tcMar>
              <w:top w:type="dxa" w:w="60"/>
              <w:left w:type="dxa" w:w="80"/>
              <w:bottom w:type="dxa" w:w="60"/>
              <w:right w:type="dxa" w:w="80"/>
            </w:tcMar>
          </w:tcPr>
          <w:p>
            <w:pPr>
              <w:spacing w:after="0"/>
            </w:pPr>
            <w:r>
              <w:rPr>
                <w:b w:val="false"/>
                <w:bCs w:val="false"/>
                <w:sz w:val="18"/>
                <w:szCs w:val="18"/>
              </w:rPr>
              <w:t xml:space="preserve">1. Before you start</w:t>
            </w:r>
          </w:p>
        </w:tc>
        <w:tc>
          <w:tcPr>
            <w:tcW w:type="dxa" w:w="0"/>
            <w:tcMar>
              <w:top w:type="dxa" w:w="60"/>
              <w:left w:type="dxa" w:w="80"/>
              <w:bottom w:type="dxa" w:w="60"/>
              <w:right w:type="dxa" w:w="80"/>
            </w:tcMar>
          </w:tcPr>
          <w:p>
            <w:pPr>
              <w:spacing w:after="0"/>
            </w:pPr>
            <w:r>
              <w:rPr>
                <w:b w:val="false"/>
                <w:bCs w:val="false"/>
                <w:sz w:val="18"/>
                <w:szCs w:val="18"/>
              </w:rPr>
              <w:t xml:space="preserve">Gather the inputs the form asks for</w:t>
            </w:r>
          </w:p>
        </w:tc>
        <w:tc>
          <w:tcPr>
            <w:tcW w:type="dxa" w:w="0"/>
            <w:tcMar>
              <w:top w:type="dxa" w:w="60"/>
              <w:left w:type="dxa" w:w="80"/>
              <w:bottom w:type="dxa" w:w="60"/>
              <w:right w:type="dxa" w:w="80"/>
            </w:tcMar>
          </w:tcPr>
          <w:p>
            <w:pPr>
              <w:spacing w:after="0"/>
            </w:pPr>
            <w:r>
              <w:rPr>
                <w:b w:val="false"/>
                <w:bCs w:val="false"/>
                <w:sz w:val="18"/>
                <w:szCs w:val="18"/>
              </w:rPr>
              <w:t xml:space="preserve">10 min</w:t>
            </w:r>
          </w:p>
        </w:tc>
      </w:tr>
      <w:tr>
        <w:tc>
          <w:tcPr>
            <w:tcW w:type="dxa" w:w="0"/>
            <w:tcMar>
              <w:top w:type="dxa" w:w="60"/>
              <w:left w:type="dxa" w:w="80"/>
              <w:bottom w:type="dxa" w:w="60"/>
              <w:right w:type="dxa" w:w="80"/>
            </w:tcMar>
          </w:tcPr>
          <w:p>
            <w:pPr>
              <w:spacing w:after="0"/>
            </w:pPr>
            <w:r>
              <w:rPr>
                <w:b w:val="false"/>
                <w:bCs w:val="false"/>
                <w:sz w:val="18"/>
                <w:szCs w:val="18"/>
              </w:rPr>
              <w:t xml:space="preserve">2. Subscription prerequisites</w:t>
            </w:r>
          </w:p>
        </w:tc>
        <w:tc>
          <w:tcPr>
            <w:tcW w:type="dxa" w:w="0"/>
            <w:tcMar>
              <w:top w:type="dxa" w:w="60"/>
              <w:left w:type="dxa" w:w="80"/>
              <w:bottom w:type="dxa" w:w="60"/>
              <w:right w:type="dxa" w:w="80"/>
            </w:tcMar>
          </w:tcPr>
          <w:p>
            <w:pPr>
              <w:spacing w:after="0"/>
            </w:pPr>
            <w:r>
              <w:rPr>
                <w:b w:val="false"/>
                <w:bCs w:val="false"/>
                <w:sz w:val="18"/>
                <w:szCs w:val="18"/>
              </w:rPr>
              <w:t xml:space="preserve">Register features and providers, </w:t>
            </w:r>
            <w:r>
              <w:rPr>
                <w:b w:val="false"/>
                <w:bCs w:val="false"/>
                <w:sz w:val="18"/>
                <w:szCs w:val="18"/>
              </w:rPr>
              <w:t xml:space="preserve">find a region the subscription can deploy VMs in</w:t>
            </w:r>
            <w:r>
              <w:rPr>
                <w:b w:val="false"/>
                <w:bCs w:val="false"/>
                <w:sz w:val="18"/>
                <w:szCs w:val="18"/>
              </w:rPr>
              <w:t xml:space="preserve">, confirm quota</w:t>
            </w:r>
          </w:p>
        </w:tc>
        <w:tc>
          <w:tcPr>
            <w:tcW w:type="dxa" w:w="0"/>
            <w:tcMar>
              <w:top w:type="dxa" w:w="60"/>
              <w:left w:type="dxa" w:w="80"/>
              <w:bottom w:type="dxa" w:w="60"/>
              <w:right w:type="dxa" w:w="80"/>
            </w:tcMar>
          </w:tcPr>
          <w:p>
            <w:pPr>
              <w:spacing w:after="0"/>
            </w:pPr>
            <w:r>
              <w:rPr>
                <w:b w:val="false"/>
                <w:bCs w:val="false"/>
                <w:sz w:val="18"/>
                <w:szCs w:val="18"/>
              </w:rPr>
              <w:t xml:space="preserve">20 min</w:t>
            </w:r>
          </w:p>
        </w:tc>
      </w:tr>
      <w:tr>
        <w:tc>
          <w:tcPr>
            <w:tcW w:type="dxa" w:w="0"/>
            <w:tcMar>
              <w:top w:type="dxa" w:w="60"/>
              <w:left w:type="dxa" w:w="80"/>
              <w:bottom w:type="dxa" w:w="60"/>
              <w:right w:type="dxa" w:w="80"/>
            </w:tcMar>
          </w:tcPr>
          <w:p>
            <w:pPr>
              <w:spacing w:after="0"/>
            </w:pPr>
            <w:r>
              <w:rPr>
                <w:b w:val="false"/>
                <w:bCs w:val="false"/>
                <w:sz w:val="18"/>
                <w:szCs w:val="18"/>
              </w:rPr>
              <w:t xml:space="preserve">3. Entra ID prerequisites</w:t>
            </w:r>
          </w:p>
        </w:tc>
        <w:tc>
          <w:tcPr>
            <w:tcW w:type="dxa" w:w="0"/>
            <w:tcMar>
              <w:top w:type="dxa" w:w="60"/>
              <w:left w:type="dxa" w:w="80"/>
              <w:bottom w:type="dxa" w:w="60"/>
              <w:right w:type="dxa" w:w="80"/>
            </w:tcMar>
          </w:tcPr>
          <w:p>
            <w:pPr>
              <w:spacing w:after="0"/>
            </w:pPr>
            <w:r>
              <w:rPr>
                <w:b w:val="false"/>
                <w:bCs w:val="false"/>
                <w:sz w:val="18"/>
                <w:szCs w:val="18"/>
              </w:rPr>
              <w:t xml:space="preserve">VM-login security group, break-glass account</w:t>
            </w:r>
          </w:p>
        </w:tc>
        <w:tc>
          <w:tcPr>
            <w:tcW w:type="dxa" w:w="0"/>
            <w:tcMar>
              <w:top w:type="dxa" w:w="60"/>
              <w:left w:type="dxa" w:w="80"/>
              <w:bottom w:type="dxa" w:w="60"/>
              <w:right w:type="dxa" w:w="80"/>
            </w:tcMar>
          </w:tcPr>
          <w:p>
            <w:pPr>
              <w:spacing w:after="0"/>
            </w:pPr>
            <w:r>
              <w:rPr>
                <w:b w:val="false"/>
                <w:bCs w:val="false"/>
                <w:sz w:val="18"/>
                <w:szCs w:val="18"/>
              </w:rPr>
              <w:t xml:space="preserve">10 min</w:t>
            </w:r>
          </w:p>
        </w:tc>
      </w:tr>
      <w:tr>
        <w:tc>
          <w:tcPr>
            <w:tcW w:type="dxa" w:w="0"/>
            <w:tcMar>
              <w:top w:type="dxa" w:w="60"/>
              <w:left w:type="dxa" w:w="80"/>
              <w:bottom w:type="dxa" w:w="60"/>
              <w:right w:type="dxa" w:w="80"/>
            </w:tcMar>
          </w:tcPr>
          <w:p>
            <w:pPr>
              <w:spacing w:after="0"/>
            </w:pPr>
            <w:r>
              <w:rPr>
                <w:b w:val="false"/>
                <w:bCs w:val="false"/>
                <w:sz w:val="18"/>
                <w:szCs w:val="18"/>
              </w:rPr>
              <w:t xml:space="preserve">4. Deploy from the portal</w:t>
            </w:r>
          </w:p>
        </w:tc>
        <w:tc>
          <w:tcPr>
            <w:tcW w:type="dxa" w:w="0"/>
            <w:tcMar>
              <w:top w:type="dxa" w:w="60"/>
              <w:left w:type="dxa" w:w="80"/>
              <w:bottom w:type="dxa" w:w="60"/>
              <w:right w:type="dxa" w:w="80"/>
            </w:tcMar>
          </w:tcPr>
          <w:p>
            <w:pPr>
              <w:spacing w:after="0"/>
            </w:pPr>
            <w:r>
              <w:rPr>
                <w:b w:val="false"/>
                <w:bCs w:val="false"/>
                <w:sz w:val="18"/>
                <w:szCs w:val="18"/>
              </w:rPr>
              <w:t xml:space="preserve">Blue button → 7 form tabs → Review + create</w:t>
            </w:r>
          </w:p>
        </w:tc>
        <w:tc>
          <w:tcPr>
            <w:tcW w:type="dxa" w:w="0"/>
            <w:tcMar>
              <w:top w:type="dxa" w:w="60"/>
              <w:left w:type="dxa" w:w="80"/>
              <w:bottom w:type="dxa" w:w="60"/>
              <w:right w:type="dxa" w:w="80"/>
            </w:tcMar>
          </w:tcPr>
          <w:p>
            <w:pPr>
              <w:spacing w:after="0"/>
            </w:pPr>
            <w:r>
              <w:rPr>
                <w:b w:val="false"/>
                <w:bCs w:val="false"/>
                <w:sz w:val="18"/>
                <w:szCs w:val="18"/>
              </w:rPr>
              <w:t xml:space="preserve">15 min form, ≈ 55 min deploy</w:t>
            </w:r>
          </w:p>
        </w:tc>
      </w:tr>
      <w:tr>
        <w:tc>
          <w:tcPr>
            <w:tcW w:type="dxa" w:w="0"/>
            <w:tcMar>
              <w:top w:type="dxa" w:w="60"/>
              <w:left w:type="dxa" w:w="80"/>
              <w:bottom w:type="dxa" w:w="60"/>
              <w:right w:type="dxa" w:w="80"/>
            </w:tcMar>
          </w:tcPr>
          <w:p>
            <w:pPr>
              <w:spacing w:after="0"/>
            </w:pPr>
            <w:r>
              <w:rPr>
                <w:b w:val="false"/>
                <w:bCs w:val="false"/>
                <w:sz w:val="18"/>
                <w:szCs w:val="18"/>
              </w:rPr>
              <w:t xml:space="preserve">5. Post-deploy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Post-Deploy.ps1 -Cloud Global</w:t>
            </w:r>
            <w:r>
              <w:rPr>
                <w:b w:val="false"/>
                <w:bCs w:val="false"/>
                <w:sz w:val="18"/>
                <w:szCs w:val="18"/>
              </w:rPr>
              <w:t xml:space="preserve">: Sentinel content, rules, UEBA, connectors; then the identity chain (Prepare-Tenant, Entra Connect, hybrid join, Intune, MDE)</w:t>
            </w:r>
          </w:p>
        </w:tc>
        <w:tc>
          <w:tcPr>
            <w:tcW w:type="dxa" w:w="0"/>
            <w:tcMar>
              <w:top w:type="dxa" w:w="60"/>
              <w:left w:type="dxa" w:w="80"/>
              <w:bottom w:type="dxa" w:w="60"/>
              <w:right w:type="dxa" w:w="80"/>
            </w:tcMar>
          </w:tcPr>
          <w:p>
            <w:pPr>
              <w:spacing w:after="0"/>
            </w:pPr>
            <w:r>
              <w:rPr>
                <w:b w:val="false"/>
                <w:bCs w:val="false"/>
                <w:sz w:val="18"/>
                <w:szCs w:val="18"/>
              </w:rPr>
              <w:t xml:space="preserve">35 min + ≈ 1 h identity</w:t>
            </w:r>
          </w:p>
        </w:tc>
      </w:tr>
      <w:tr>
        <w:tc>
          <w:tcPr>
            <w:tcW w:type="dxa" w:w="0"/>
            <w:tcMar>
              <w:top w:type="dxa" w:w="60"/>
              <w:left w:type="dxa" w:w="80"/>
              <w:bottom w:type="dxa" w:w="60"/>
              <w:right w:type="dxa" w:w="80"/>
            </w:tcMar>
          </w:tcPr>
          <w:p>
            <w:pPr>
              <w:spacing w:after="0"/>
            </w:pPr>
            <w:r>
              <w:rPr>
                <w:b w:val="false"/>
                <w:bCs w:val="false"/>
                <w:sz w:val="18"/>
                <w:szCs w:val="18"/>
              </w:rPr>
              <w:t xml:space="preserve">6. Verify</w:t>
            </w:r>
          </w:p>
        </w:tc>
        <w:tc>
          <w:tcPr>
            <w:tcW w:type="dxa" w:w="0"/>
            <w:tcMar>
              <w:top w:type="dxa" w:w="60"/>
              <w:left w:type="dxa" w:w="80"/>
              <w:bottom w:type="dxa" w:w="60"/>
              <w:right w:type="dxa" w:w="80"/>
            </w:tcMar>
          </w:tcPr>
          <w:p>
            <w:pPr>
              <w:spacing w:after="0"/>
            </w:pPr>
            <w:r>
              <w:rPr>
                <w:b w:val="false"/>
                <w:bCs w:val="false"/>
                <w:sz w:val="18"/>
                <w:szCs w:val="18"/>
              </w:rPr>
              <w:t xml:space="preserve">VMs, Sentinel, Defender plans, Intune / MDE, hydration</w:t>
            </w:r>
          </w:p>
        </w:tc>
        <w:tc>
          <w:tcPr>
            <w:tcW w:type="dxa" w:w="0"/>
            <w:tcMar>
              <w:top w:type="dxa" w:w="60"/>
              <w:left w:type="dxa" w:w="80"/>
              <w:bottom w:type="dxa" w:w="60"/>
              <w:right w:type="dxa" w:w="80"/>
            </w:tcMar>
          </w:tcPr>
          <w:p>
            <w:pPr>
              <w:spacing w:after="0"/>
            </w:pPr>
            <w:r>
              <w:rPr>
                <w:b w:val="false"/>
                <w:bCs w:val="false"/>
                <w:sz w:val="18"/>
                <w:szCs w:val="18"/>
              </w:rPr>
              <w:t xml:space="preserve">15 min</w:t>
            </w:r>
          </w:p>
        </w:tc>
      </w:tr>
      <w:tr>
        <w:tc>
          <w:tcPr>
            <w:tcW w:type="dxa" w:w="0"/>
            <w:tcMar>
              <w:top w:type="dxa" w:w="60"/>
              <w:left w:type="dxa" w:w="80"/>
              <w:bottom w:type="dxa" w:w="60"/>
              <w:right w:type="dxa" w:w="80"/>
            </w:tcMar>
          </w:tcPr>
          <w:p>
            <w:pPr>
              <w:spacing w:after="0"/>
            </w:pPr>
            <w:r>
              <w:rPr>
                <w:b w:val="false"/>
                <w:bCs w:val="false"/>
                <w:sz w:val="18"/>
                <w:szCs w:val="18"/>
              </w:rPr>
              <w:t xml:space="preserve">7. Teardown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destroy.ps1</w:t>
            </w:r>
            <w:r>
              <w:rPr>
                <w:b w:val="false"/>
                <w:bCs w:val="false"/>
                <w:sz w:val="18"/>
                <w:szCs w:val="18"/>
              </w:rPr>
              <w:t xml:space="preserve"> (includes NetworkWatcherRG flow logs and workspace purge)</w:t>
            </w:r>
          </w:p>
        </w:tc>
        <w:tc>
          <w:tcPr>
            <w:tcW w:type="dxa" w:w="0"/>
            <w:tcMar>
              <w:top w:type="dxa" w:w="60"/>
              <w:left w:type="dxa" w:w="80"/>
              <w:bottom w:type="dxa" w:w="60"/>
              <w:right w:type="dxa" w:w="80"/>
            </w:tcMar>
          </w:tcPr>
          <w:p>
            <w:pPr>
              <w:spacing w:after="0"/>
            </w:pPr>
            <w:r>
              <w:rPr>
                <w:b w:val="false"/>
                <w:bCs w:val="false"/>
                <w:sz w:val="18"/>
                <w:szCs w:val="18"/>
              </w:rPr>
              <w:t xml:space="preserve">20–40 min</w:t>
            </w:r>
          </w:p>
        </w:tc>
      </w:tr>
      <w:tr>
        <w:tc>
          <w:tcPr>
            <w:tcW w:type="dxa" w:w="0"/>
            <w:tcMar>
              <w:top w:type="dxa" w:w="60"/>
              <w:left w:type="dxa" w:w="80"/>
              <w:bottom w:type="dxa" w:w="60"/>
              <w:right w:type="dxa" w:w="80"/>
            </w:tcMar>
          </w:tcPr>
          <w:p>
            <w:pPr>
              <w:spacing w:after="0"/>
            </w:pPr>
            <w:r>
              <w:rPr>
                <w:b w:val="false"/>
                <w:bCs w:val="false"/>
                <w:sz w:val="18"/>
                <w:szCs w:val="18"/>
              </w:rPr>
              <w:t xml:space="preserve">8. Troubleshooting</w:t>
            </w:r>
          </w:p>
        </w:tc>
        <w:tc>
          <w:tcPr>
            <w:tcW w:type="dxa" w:w="0"/>
            <w:tcMar>
              <w:top w:type="dxa" w:w="60"/>
              <w:left w:type="dxa" w:w="80"/>
              <w:bottom w:type="dxa" w:w="60"/>
              <w:right w:type="dxa" w:w="80"/>
            </w:tcMar>
          </w:tcPr>
          <w:p>
            <w:pPr>
              <w:spacing w:after="0"/>
            </w:pPr>
            <w:r>
              <w:rPr>
                <w:b w:val="false"/>
                <w:bCs w:val="false"/>
                <w:sz w:val="18"/>
                <w:szCs w:val="18"/>
              </w:rPr>
              <w:t xml:space="preserve">Every Commercial error hit while writing this guide, with its fix</w:t>
            </w:r>
          </w:p>
        </w:tc>
        <w:tc>
          <w:tcPr>
            <w:tcW w:type="dxa" w:w="0"/>
            <w:tcMar>
              <w:top w:type="dxa" w:w="60"/>
              <w:left w:type="dxa" w:w="80"/>
              <w:bottom w:type="dxa" w:w="60"/>
              <w:right w:type="dxa" w:w="80"/>
            </w:tcMar>
          </w:tcPr>
          <w:p>
            <w:pPr>
              <w:spacing w:after="0"/>
            </w:pPr>
            <w:r>
              <w:rPr>
                <w:b w:val="false"/>
                <w:bCs w:val="false"/>
                <w:sz w:val="18"/>
                <w:szCs w:val="18"/>
              </w:rPr>
              <w:t xml:space="preserve">—</w:t>
            </w:r>
          </w:p>
        </w:tc>
      </w:tr>
    </w:tbl>
    <w:p>
      <w:pPr>
        <w:spacing w:after="120"/>
      </w:pPr>
    </w:p>
    <w:p>
      <w:pPr>
        <w:pStyle w:val="Heading1"/>
      </w:pPr>
      <w:r>
        <w:t xml:space="preserve">What gets deployed</w:t>
      </w:r>
    </w:p>
    <w:p>
      <w:pPr>
        <w:spacing w:after="120"/>
      </w:pPr>
      <w:r>
        <w:t xml:space="preserve">The kit sits on a standard Mission Landing Zone: the upstream </w:t>
      </w:r>
      <w:r>
        <w:rPr>
          <w:rFonts w:ascii="Consolas" w:cs="Consolas" w:eastAsia="Consolas" w:hAnsi="Consolas"/>
          <w:sz w:val="18"/>
          <w:szCs w:val="18"/>
        </w:rPr>
        <w:t xml:space="preserve">mlz.json</w:t>
      </w:r>
      <w:r>
        <w:t xml:space="preserve"> module builds the network hub and the T0/T1/T2 spokes, and the kit adds a Tier 3 security-lab spoke plus the subscription- and tenant-level security layer. The Commercial deployment is functionally identical to the Government one; only the endpoints (</w:t>
      </w:r>
      <w:r>
        <w:rPr>
          <w:rFonts w:ascii="Consolas" w:cs="Consolas" w:eastAsia="Consolas" w:hAnsi="Consolas"/>
          <w:sz w:val="18"/>
          <w:szCs w:val="18"/>
        </w:rPr>
        <w:t xml:space="preserve">.com</w:t>
      </w:r>
      <w:r>
        <w:t xml:space="preserve">) and the Defender plan list differ.</w:t>
      </w:r>
    </w:p>
    <w:p>
      <w:pPr>
        <w:keepNext/>
        <w:spacing w:after="20" w:before="60"/>
        <w:jc w:val="center"/>
      </w:pPr>
      <w:r>
        <w:drawing>
          <wp:inline distT="0" distB="0" distL="0" distR="0">
            <wp:extent cx="61722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2733675"/>
                    </a:xfrm>
                    <a:prstGeom prst="rect">
                      <a:avLst/>
                    </a:prstGeom>
                  </pic:spPr>
                </pic:pic>
              </a:graphicData>
            </a:graphic>
          </wp:inline>
        </w:drawing>
      </w:r>
    </w:p>
    <w:p>
      <w:pPr>
        <w:spacing w:after="200"/>
        <w:jc w:val="center"/>
      </w:pPr>
      <w:r>
        <w:rPr>
          <w:i/>
          <w:iCs/>
          <w:color w:val="595959"/>
          <w:sz w:val="17"/>
          <w:szCs w:val="17"/>
        </w:rPr>
        <w:t xml:space="preserve">Figure: Hub-and-spoke overview</w:t>
      </w:r>
    </w:p>
    <w:p>
      <w:pPr>
        <w:keepNext/>
        <w:spacing w:after="20" w:before="60"/>
        <w:jc w:val="center"/>
      </w:pPr>
      <w:r>
        <w:drawing>
          <wp:inline distT="0" distB="0" distL="0" distR="0">
            <wp:extent cx="61055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05525" cy="4095750"/>
                    </a:xfrm>
                    <a:prstGeom prst="rect">
                      <a:avLst/>
                    </a:prstGeom>
                  </pic:spPr>
                </pic:pic>
              </a:graphicData>
            </a:graphic>
          </wp:inline>
        </w:drawing>
      </w:r>
    </w:p>
    <w:p>
      <w:pPr>
        <w:spacing w:after="200"/>
        <w:jc w:val="center"/>
      </w:pPr>
      <w:r>
        <w:rPr>
          <w:i/>
          <w:iCs/>
          <w:color w:val="595959"/>
          <w:sz w:val="17"/>
          <w:szCs w:val="17"/>
        </w:rPr>
        <w:t xml:space="preserve">Figure: What the deployment creates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Layer</w:t>
            </w:r>
          </w:p>
        </w:tc>
        <w:tc>
          <w:tcPr>
            <w:tcW w:type="dxa" w:w="0"/>
            <w:shd w:fill="DCE6F1" w:color="auto" w:val="clear"/>
            <w:tcMar>
              <w:top w:type="dxa" w:w="60"/>
              <w:left w:type="dxa" w:w="80"/>
              <w:bottom w:type="dxa" w:w="60"/>
              <w:right w:type="dxa" w:w="80"/>
            </w:tcMar>
          </w:tcPr>
          <w:p>
            <w:pPr>
              <w:spacing w:after="0"/>
            </w:pPr>
            <w:r>
              <w:rPr>
                <w:b/>
                <w:bCs/>
                <w:sz w:val="18"/>
                <w:szCs w:val="18"/>
              </w:rPr>
              <w:t xml:space="preserve">Resources</w:t>
            </w:r>
          </w:p>
        </w:tc>
      </w:tr>
      <w:tr>
        <w:tc>
          <w:tcPr>
            <w:tcW w:type="dxa" w:w="0"/>
            <w:tcMar>
              <w:top w:type="dxa" w:w="60"/>
              <w:left w:type="dxa" w:w="80"/>
              <w:bottom w:type="dxa" w:w="60"/>
              <w:right w:type="dxa" w:w="80"/>
            </w:tcMar>
          </w:tcPr>
          <w:p>
            <w:pPr>
              <w:spacing w:after="0"/>
            </w:pPr>
            <w:r>
              <w:rPr>
                <w:b w:val="false"/>
                <w:bCs w:val="false"/>
                <w:sz w:val="18"/>
                <w:szCs w:val="18"/>
              </w:rPr>
              <w:t xml:space="preserve">MLZ hub</w:t>
            </w:r>
          </w:p>
        </w:tc>
        <w:tc>
          <w:tcPr>
            <w:tcW w:type="dxa" w:w="0"/>
            <w:tcMar>
              <w:top w:type="dxa" w:w="60"/>
              <w:left w:type="dxa" w:w="80"/>
              <w:bottom w:type="dxa" w:w="60"/>
              <w:right w:type="dxa" w:w="80"/>
            </w:tcMar>
          </w:tcPr>
          <w:p>
            <w:pPr>
              <w:spacing w:after="0"/>
            </w:pPr>
            <w:r>
              <w:rPr>
                <w:b w:val="false"/>
                <w:bCs w:val="false"/>
                <w:sz w:val="18"/>
                <w:szCs w:val="18"/>
              </w:rPr>
              <w:t xml:space="preserve">Hub VNet, Azure Firewall (Premium) with the lab rule collection groups, Bastion, hub Log Analytics, NSG flow logs</w:t>
            </w:r>
          </w:p>
        </w:tc>
      </w:tr>
      <w:tr>
        <w:tc>
          <w:tcPr>
            <w:tcW w:type="dxa" w:w="0"/>
            <w:tcMar>
              <w:top w:type="dxa" w:w="60"/>
              <w:left w:type="dxa" w:w="80"/>
              <w:bottom w:type="dxa" w:w="60"/>
              <w:right w:type="dxa" w:w="80"/>
            </w:tcMar>
          </w:tcPr>
          <w:p>
            <w:pPr>
              <w:spacing w:after="0"/>
            </w:pPr>
            <w:r>
              <w:rPr>
                <w:b w:val="false"/>
                <w:bCs w:val="false"/>
                <w:sz w:val="18"/>
                <w:szCs w:val="18"/>
              </w:rPr>
              <w:t xml:space="preserve">Tier-3 workload</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mca-dev-usw2-seclab-rg-network</w:t>
            </w:r>
            <w:r>
              <w:rPr>
                <w:b w:val="false"/>
                <w:bCs w:val="false"/>
                <w:sz w:val="18"/>
                <w:szCs w:val="18"/>
              </w:rPr>
              <w:t xml:space="preserve">: VNet </w:t>
            </w:r>
            <w:r>
              <w:rPr>
                <w:rFonts w:ascii="Consolas" w:cs="Consolas" w:eastAsia="Consolas" w:hAnsi="Consolas"/>
                <w:b w:val="false"/>
                <w:bCs w:val="false"/>
                <w:sz w:val="18"/>
                <w:szCs w:val="18"/>
              </w:rPr>
              <w:t xml:space="preserve">10.60.0.0/24</w:t>
            </w:r>
            <w:r>
              <w:rPr>
                <w:b w:val="false"/>
                <w:bCs w:val="false"/>
                <w:sz w:val="18"/>
                <w:szCs w:val="18"/>
              </w:rPr>
              <w:t xml:space="preserve">, NSG, route to the firewall</w:t>
            </w:r>
          </w:p>
        </w:tc>
      </w:tr>
      <w:tr>
        <w:tc>
          <w:tcPr>
            <w:tcW w:type="dxa" w:w="0"/>
            <w:tcMar>
              <w:top w:type="dxa" w:w="60"/>
              <w:left w:type="dxa" w:w="80"/>
              <w:bottom w:type="dxa" w:w="60"/>
              <w:right w:type="dxa" w:w="80"/>
            </w:tcMar>
          </w:tcPr>
          <w:p>
            <w:pPr>
              <w:spacing w:after="0"/>
            </w:pPr>
            <w:r>
              <w:rPr>
                <w:b w:val="false"/>
                <w:bCs w:val="false"/>
                <w:sz w:val="18"/>
                <w:szCs w:val="18"/>
              </w:rPr>
              <w:t xml:space="preserve">Identity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lab-dc01</w:t>
            </w:r>
            <w:r>
              <w:rPr>
                <w:b w:val="false"/>
                <w:bCs w:val="false"/>
                <w:sz w:val="18"/>
                <w:szCs w:val="18"/>
              </w:rPr>
              <w:t xml:space="preserve"> (new forest </w:t>
            </w:r>
            <w:r>
              <w:rPr>
                <w:rFonts w:ascii="Consolas" w:cs="Consolas" w:eastAsia="Consolas" w:hAnsi="Consolas"/>
                <w:b w:val="false"/>
                <w:bCs w:val="false"/>
                <w:sz w:val="18"/>
                <w:szCs w:val="18"/>
              </w:rPr>
              <w:t xml:space="preserve">corp.contoso.lab</w:t>
            </w:r>
            <w:r>
              <w:rPr>
                <w:b w:val="false"/>
                <w:bCs w:val="false"/>
                <w:sz w:val="18"/>
                <w:szCs w:val="18"/>
              </w:rPr>
              <w:t xml:space="preserve">), </w:t>
            </w:r>
            <w:r>
              <w:rPr>
                <w:rFonts w:ascii="Consolas" w:cs="Consolas" w:eastAsia="Consolas" w:hAnsi="Consolas"/>
                <w:b w:val="false"/>
                <w:bCs w:val="false"/>
                <w:sz w:val="18"/>
                <w:szCs w:val="18"/>
              </w:rPr>
              <w:t xml:space="preserve">lab-ms01</w:t>
            </w:r>
            <w:r>
              <w:rPr>
                <w:b w:val="false"/>
                <w:bCs w:val="false"/>
                <w:sz w:val="18"/>
                <w:szCs w:val="18"/>
              </w:rPr>
              <w:t xml:space="preserve"> / </w:t>
            </w:r>
            <w:r>
              <w:rPr>
                <w:rFonts w:ascii="Consolas" w:cs="Consolas" w:eastAsia="Consolas" w:hAnsi="Consolas"/>
                <w:b w:val="false"/>
                <w:bCs w:val="false"/>
                <w:sz w:val="18"/>
                <w:szCs w:val="18"/>
              </w:rPr>
              <w:t xml:space="preserve">lab-ms02</w:t>
            </w:r>
            <w:r>
              <w:rPr>
                <w:b w:val="false"/>
                <w:bCs w:val="false"/>
                <w:sz w:val="18"/>
                <w:szCs w:val="18"/>
              </w:rPr>
              <w:t xml:space="preserve"> member servers, </w:t>
            </w: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lab-cl03</w:t>
            </w:r>
            <w:r>
              <w:rPr>
                <w:b w:val="false"/>
                <w:bCs w:val="false"/>
                <w:sz w:val="18"/>
                <w:szCs w:val="18"/>
              </w:rPr>
              <w:t xml:space="preserve"> Windows 11 clients, all domain-joined; Entra VM login role for one security group</w:t>
            </w:r>
          </w:p>
        </w:tc>
      </w:tr>
      <w:tr>
        <w:tc>
          <w:tcPr>
            <w:tcW w:type="dxa" w:w="0"/>
            <w:tcMar>
              <w:top w:type="dxa" w:w="60"/>
              <w:left w:type="dxa" w:w="80"/>
              <w:bottom w:type="dxa" w:w="60"/>
              <w:right w:type="dxa" w:w="80"/>
            </w:tcMar>
          </w:tcPr>
          <w:p>
            <w:pPr>
              <w:spacing w:after="0"/>
            </w:pPr>
            <w:r>
              <w:rPr>
                <w:b w:val="false"/>
                <w:bCs w:val="false"/>
                <w:sz w:val="18"/>
                <w:szCs w:val="18"/>
              </w:rPr>
              <w:t xml:space="preserve">Linux</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lab-rhel01</w:t>
            </w:r>
            <w:r>
              <w:rPr>
                <w:b w:val="false"/>
                <w:bCs w:val="false"/>
                <w:sz w:val="18"/>
                <w:szCs w:val="18"/>
              </w:rPr>
              <w:t xml:space="preserve">, </w:t>
            </w:r>
            <w:r>
              <w:rPr>
                <w:rFonts w:ascii="Consolas" w:cs="Consolas" w:eastAsia="Consolas" w:hAnsi="Consolas"/>
                <w:b w:val="false"/>
                <w:bCs w:val="false"/>
                <w:sz w:val="18"/>
                <w:szCs w:val="18"/>
              </w:rPr>
              <w:t xml:space="preserve">lab-ubu01</w:t>
            </w:r>
            <w:r>
              <w:rPr>
                <w:b w:val="false"/>
                <w:bCs w:val="false"/>
                <w:sz w:val="18"/>
                <w:szCs w:val="18"/>
              </w:rPr>
              <w:t xml:space="preserve">, </w:t>
            </w:r>
            <w:r>
              <w:rPr>
                <w:rFonts w:ascii="Consolas" w:cs="Consolas" w:eastAsia="Consolas" w:hAnsi="Consolas"/>
                <w:b w:val="false"/>
                <w:bCs w:val="false"/>
                <w:sz w:val="18"/>
                <w:szCs w:val="18"/>
              </w:rPr>
              <w:t xml:space="preserve">lab-sles01</w:t>
            </w:r>
            <w:r>
              <w:rPr>
                <w:b w:val="false"/>
                <w:bCs w:val="false"/>
                <w:sz w:val="18"/>
                <w:szCs w:val="18"/>
              </w:rPr>
              <w:t xml:space="preserve"> (RHEL 9, Ubuntu 22.04, SLES 15 SP6) with Entra SSH login and Azure Monitor Agent</w:t>
            </w:r>
          </w:p>
        </w:tc>
      </w:tr>
      <w:tr>
        <w:tc>
          <w:tcPr>
            <w:tcW w:type="dxa" w:w="0"/>
            <w:tcMar>
              <w:top w:type="dxa" w:w="60"/>
              <w:left w:type="dxa" w:w="80"/>
              <w:bottom w:type="dxa" w:w="60"/>
              <w:right w:type="dxa" w:w="80"/>
            </w:tcMar>
          </w:tcPr>
          <w:p>
            <w:pPr>
              <w:spacing w:after="0"/>
            </w:pPr>
            <w:r>
              <w:rPr>
                <w:b w:val="false"/>
                <w:bCs w:val="false"/>
                <w:sz w:val="18"/>
                <w:szCs w:val="18"/>
              </w:rPr>
              <w:t xml:space="preserve">Security</w:t>
            </w:r>
          </w:p>
        </w:tc>
        <w:tc>
          <w:tcPr>
            <w:tcW w:type="dxa" w:w="0"/>
            <w:tcMar>
              <w:top w:type="dxa" w:w="60"/>
              <w:left w:type="dxa" w:w="80"/>
              <w:bottom w:type="dxa" w:w="60"/>
              <w:right w:type="dxa" w:w="80"/>
            </w:tcMar>
          </w:tcPr>
          <w:p>
            <w:pPr>
              <w:spacing w:after="0"/>
            </w:pPr>
            <w:r>
              <w:rPr>
                <w:b w:val="false"/>
                <w:bCs w:val="false"/>
                <w:sz w:val="18"/>
                <w:szCs w:val="18"/>
              </w:rPr>
              <w:t xml:space="preserve">Sentinel workspace </w:t>
            </w:r>
            <w:r>
              <w:rPr>
                <w:rFonts w:ascii="Consolas" w:cs="Consolas" w:eastAsia="Consolas" w:hAnsi="Consolas"/>
                <w:b w:val="false"/>
                <w:bCs w:val="false"/>
                <w:sz w:val="18"/>
                <w:szCs w:val="18"/>
              </w:rPr>
              <w:t xml:space="preserve">law-mca-lab</w:t>
            </w:r>
            <w:r>
              <w:rPr>
                <w:b w:val="false"/>
                <w:bCs w:val="false"/>
                <w:sz w:val="18"/>
                <w:szCs w:val="18"/>
              </w:rPr>
              <w:t xml:space="preserve">, DCE + Windows/Linux data collection rules, Defender for Cloud plans (all plans, including App Service — APIs optional), MLZ policy set + NIST SP 800-53 R5 + Microsoft cloud security benchmark, Arc Private Link Scope + private DNS zones, CSPM coverage samples (SQL, Key Vault, App Service)</w:t>
            </w:r>
          </w:p>
        </w:tc>
      </w:tr>
      <w:tr>
        <w:tc>
          <w:tcPr>
            <w:tcW w:type="dxa" w:w="0"/>
            <w:tcMar>
              <w:top w:type="dxa" w:w="60"/>
              <w:left w:type="dxa" w:w="80"/>
              <w:bottom w:type="dxa" w:w="60"/>
              <w:right w:type="dxa" w:w="80"/>
            </w:tcMar>
          </w:tcPr>
          <w:p>
            <w:pPr>
              <w:spacing w:after="0"/>
            </w:pPr>
            <w:r>
              <w:rPr>
                <w:b w:val="false"/>
                <w:bCs w:val="false"/>
                <w:sz w:val="18"/>
                <w:szCs w:val="18"/>
              </w:rPr>
              <w:t xml:space="preserve">Post-deploy</w:t>
            </w:r>
          </w:p>
        </w:tc>
        <w:tc>
          <w:tcPr>
            <w:tcW w:type="dxa" w:w="0"/>
            <w:tcMar>
              <w:top w:type="dxa" w:w="60"/>
              <w:left w:type="dxa" w:w="80"/>
              <w:bottom w:type="dxa" w:w="60"/>
              <w:right w:type="dxa" w:w="80"/>
            </w:tcMar>
          </w:tcPr>
          <w:p>
            <w:pPr>
              <w:spacing w:after="0"/>
            </w:pPr>
            <w:r>
              <w:rPr>
                <w:b w:val="false"/>
                <w:bCs w:val="false"/>
                <w:sz w:val="18"/>
                <w:szCs w:val="18"/>
              </w:rPr>
              <w:t xml:space="preserve">Sentinel Content Hub solutions, analytics rules, UEBA, Defender XDR connector, Entra ID + Azure Activity log routing</w:t>
            </w:r>
          </w:p>
        </w:tc>
      </w:tr>
      <w:tr>
        <w:tc>
          <w:tcPr>
            <w:tcW w:type="dxa" w:w="0"/>
            <w:tcMar>
              <w:top w:type="dxa" w:w="60"/>
              <w:left w:type="dxa" w:w="80"/>
              <w:bottom w:type="dxa" w:w="60"/>
              <w:right w:type="dxa" w:w="80"/>
            </w:tcMar>
          </w:tcPr>
          <w:p>
            <w:pPr>
              <w:spacing w:after="0"/>
            </w:pPr>
            <w:r>
              <w:rPr>
                <w:b w:val="false"/>
                <w:bCs w:val="false"/>
                <w:sz w:val="18"/>
                <w:szCs w:val="18"/>
              </w:rPr>
              <w:t xml:space="preserve">Data hydration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LAB-Hydration</w:t>
            </w:r>
            <w:r>
              <w:rPr>
                <w:b w:val="false"/>
                <w:bCs w:val="false"/>
                <w:sz w:val="18"/>
                <w:szCs w:val="18"/>
              </w:rPr>
              <w:t xml:space="preserve"> scheduled task on every Windows VM and a </w:t>
            </w:r>
            <w:r>
              <w:rPr>
                <w:rFonts w:ascii="Consolas" w:cs="Consolas" w:eastAsia="Consolas" w:hAnsi="Consolas"/>
                <w:b w:val="false"/>
                <w:bCs w:val="false"/>
                <w:sz w:val="18"/>
                <w:szCs w:val="18"/>
              </w:rPr>
              <w:t xml:space="preserve">lab-hydrate</w:t>
            </w:r>
            <w:r>
              <w:rPr>
                <w:b w:val="false"/>
                <w:bCs w:val="false"/>
                <w:sz w:val="18"/>
                <w:szCs w:val="18"/>
              </w:rPr>
              <w:t xml:space="preserve"> systemd timer on every Linux VM: hourly benign user/admin activity so Sentinel and MDE have data to hunt over (section 5.3)</w:t>
            </w:r>
          </w:p>
        </w:tc>
      </w:tr>
    </w:tbl>
    <w:p>
      <w:pPr>
        <w:spacing w:after="120"/>
      </w:pPr>
    </w:p>
    <w:p>
      <w:pPr>
        <w:pStyle w:val="Heading1"/>
        <w:pageBreakBefore/>
      </w:pPr>
      <w:r>
        <w:t xml:space="preserve">1. Before you start — inputs checklist</w:t>
      </w:r>
    </w:p>
    <w:p>
      <w:pPr>
        <w:spacing w:after="120"/>
      </w:pPr>
      <w:r>
        <w:t xml:space="preserve">Collect these before opening the form; the portal form does </w:t>
      </w:r>
      <w:r>
        <w:rPr>
          <w:b/>
          <w:bCs/>
        </w:rPr>
        <w:t xml:space="preserve">not</w:t>
      </w:r>
      <w:r>
        <w:t xml:space="preserve"> save progress if you navigate away, and changing anything on the Basics tab later resets the Compute tab.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Input</w:t>
            </w:r>
          </w:p>
        </w:tc>
        <w:tc>
          <w:tcPr>
            <w:tcW w:type="dxa" w:w="0"/>
            <w:shd w:fill="DCE6F1" w:color="auto" w:val="clear"/>
            <w:tcMar>
              <w:top w:type="dxa" w:w="60"/>
              <w:left w:type="dxa" w:w="80"/>
              <w:bottom w:type="dxa" w:w="60"/>
              <w:right w:type="dxa" w:w="80"/>
            </w:tcMar>
          </w:tcPr>
          <w:p>
            <w:pPr>
              <w:spacing w:after="0"/>
            </w:pPr>
            <w:r>
              <w:rPr>
                <w:b/>
                <w:bCs/>
                <w:sz w:val="18"/>
                <w:szCs w:val="18"/>
              </w:rPr>
              <w:t xml:space="preserve">Form tab</w:t>
            </w:r>
          </w:p>
        </w:tc>
        <w:tc>
          <w:tcPr>
            <w:tcW w:type="dxa" w:w="0"/>
            <w:shd w:fill="DCE6F1" w:color="auto" w:val="clear"/>
            <w:tcMar>
              <w:top w:type="dxa" w:w="60"/>
              <w:left w:type="dxa" w:w="80"/>
              <w:bottom w:type="dxa" w:w="60"/>
              <w:right w:type="dxa" w:w="80"/>
            </w:tcMar>
          </w:tcPr>
          <w:p>
            <w:pPr>
              <w:spacing w:after="0"/>
            </w:pPr>
            <w:r>
              <w:rPr>
                <w:b/>
                <w:bCs/>
                <w:sz w:val="18"/>
                <w:szCs w:val="18"/>
              </w:rPr>
              <w:t xml:space="preserve">Value used in this guide</w:t>
            </w:r>
          </w:p>
        </w:tc>
      </w:tr>
      <w:tr>
        <w:tc>
          <w:tcPr>
            <w:tcW w:type="dxa" w:w="0"/>
            <w:tcMar>
              <w:top w:type="dxa" w:w="60"/>
              <w:left w:type="dxa" w:w="80"/>
              <w:bottom w:type="dxa" w:w="60"/>
              <w:right w:type="dxa" w:w="80"/>
            </w:tcMar>
          </w:tcPr>
          <w:p>
            <w:pPr>
              <w:spacing w:after="0"/>
            </w:pPr>
            <w:r>
              <w:rPr>
                <w:b w:val="false"/>
                <w:bCs w:val="false"/>
                <w:sz w:val="18"/>
                <w:szCs w:val="18"/>
              </w:rPr>
              <w:t xml:space="preserve">Subscription</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b w:val="false"/>
                <w:bCs w:val="false"/>
                <w:sz w:val="18"/>
                <w:szCs w:val="18"/>
              </w:rPr>
              <w:t xml:space="preserve">the Commercial test subscription (</w:t>
            </w:r>
            <w:r>
              <w:rPr>
                <w:rFonts w:ascii="Consolas" w:cs="Consolas" w:eastAsia="Consolas" w:hAnsi="Consolas"/>
                <w:b w:val="false"/>
                <w:bCs w:val="false"/>
                <w:sz w:val="18"/>
                <w:szCs w:val="18"/>
              </w:rPr>
              <w:t xml:space="preserve">&lt;subscription-id&gt;</w:t>
            </w:r>
            <w:r>
              <w:rPr>
                <w:b w:val="false"/>
                <w:bCs w:val="false"/>
                <w:sz w:val="18"/>
                <w:szCs w:val="18"/>
              </w:rPr>
              <w:t xml:space="preserve">)</w:t>
            </w:r>
          </w:p>
        </w:tc>
      </w:tr>
      <w:tr>
        <w:tc>
          <w:tcPr>
            <w:tcW w:type="dxa" w:w="0"/>
            <w:tcMar>
              <w:top w:type="dxa" w:w="60"/>
              <w:left w:type="dxa" w:w="80"/>
              <w:bottom w:type="dxa" w:w="60"/>
              <w:right w:type="dxa" w:w="80"/>
            </w:tcMar>
          </w:tcPr>
          <w:p>
            <w:pPr>
              <w:spacing w:after="0"/>
            </w:pPr>
            <w:r>
              <w:rPr>
                <w:b w:val="false"/>
                <w:bCs w:val="false"/>
                <w:sz w:val="18"/>
                <w:szCs w:val="18"/>
              </w:rPr>
              <w:t xml:space="preserve">Region</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(US) West US 2</w:t>
            </w:r>
            <w:r>
              <w:rPr>
                <w:b w:val="false"/>
                <w:bCs w:val="false"/>
                <w:sz w:val="18"/>
                <w:szCs w:val="18"/>
              </w:rPr>
              <w:t xml:space="preserve"> — </w:t>
            </w:r>
            <w:r>
              <w:rPr>
                <w:b w:val="false"/>
                <w:bCs w:val="false"/>
                <w:sz w:val="18"/>
                <w:szCs w:val="18"/>
              </w:rPr>
              <w:t xml:space="preserve">chosen in step 2.4, not by habit</w:t>
            </w:r>
          </w:p>
        </w:tc>
      </w:tr>
      <w:tr>
        <w:tc>
          <w:tcPr>
            <w:tcW w:type="dxa" w:w="0"/>
            <w:tcMar>
              <w:top w:type="dxa" w:w="60"/>
              <w:left w:type="dxa" w:w="80"/>
              <w:bottom w:type="dxa" w:w="60"/>
              <w:right w:type="dxa" w:w="80"/>
            </w:tcMar>
          </w:tcPr>
          <w:p>
            <w:pPr>
              <w:spacing w:after="0"/>
            </w:pPr>
            <w:r>
              <w:rPr>
                <w:b w:val="false"/>
                <w:bCs w:val="false"/>
                <w:sz w:val="18"/>
                <w:szCs w:val="18"/>
              </w:rPr>
              <w:t xml:space="preserve">Resource naming identifier / environment</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mca</w:t>
            </w:r>
            <w:r>
              <w:rPr>
                <w:b w:val="false"/>
                <w:bCs w:val="false"/>
                <w:sz w:val="18"/>
                <w:szCs w:val="18"/>
              </w:rPr>
              <w:t xml:space="preserve"> / </w:t>
            </w:r>
            <w:r>
              <w:rPr>
                <w:rFonts w:ascii="Consolas" w:cs="Consolas" w:eastAsia="Consolas" w:hAnsi="Consolas"/>
                <w:b w:val="false"/>
                <w:bCs w:val="false"/>
                <w:sz w:val="18"/>
                <w:szCs w:val="18"/>
              </w:rPr>
              <w:t xml:space="preserve">dev</w:t>
            </w:r>
            <w:r>
              <w:rPr>
                <w:b w:val="false"/>
                <w:bCs w:val="false"/>
                <w:sz w:val="18"/>
                <w:szCs w:val="18"/>
              </w:rPr>
              <w:t xml:space="preserve"> (identifier is 1–3 characters)</w:t>
            </w:r>
          </w:p>
        </w:tc>
      </w:tr>
      <w:tr>
        <w:tc>
          <w:tcPr>
            <w:tcW w:type="dxa" w:w="0"/>
            <w:tcMar>
              <w:top w:type="dxa" w:w="60"/>
              <w:left w:type="dxa" w:w="80"/>
              <w:bottom w:type="dxa" w:w="60"/>
              <w:right w:type="dxa" w:w="80"/>
            </w:tcMar>
          </w:tcPr>
          <w:p>
            <w:pPr>
              <w:spacing w:after="0"/>
            </w:pPr>
            <w:r>
              <w:rPr>
                <w:b w:val="false"/>
                <w:bCs w:val="false"/>
                <w:sz w:val="18"/>
                <w:szCs w:val="18"/>
              </w:rPr>
              <w:t xml:space="preserve">Workload name / short name</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seclab</w:t>
            </w:r>
            <w:r>
              <w:rPr>
                <w:b w:val="false"/>
                <w:bCs w:val="false"/>
                <w:sz w:val="18"/>
                <w:szCs w:val="18"/>
              </w:rPr>
              <w:t xml:space="preserve"> / </w:t>
            </w:r>
            <w:r>
              <w:rPr>
                <w:rFonts w:ascii="Consolas" w:cs="Consolas" w:eastAsia="Consolas" w:hAnsi="Consolas"/>
                <w:b w:val="false"/>
                <w:bCs w:val="false"/>
                <w:sz w:val="18"/>
                <w:szCs w:val="18"/>
              </w:rPr>
              <w:t xml:space="preserve">sec</w:t>
            </w:r>
          </w:p>
        </w:tc>
      </w:tr>
      <w:tr>
        <w:tc>
          <w:tcPr>
            <w:tcW w:type="dxa" w:w="0"/>
            <w:tcMar>
              <w:top w:type="dxa" w:w="60"/>
              <w:left w:type="dxa" w:w="80"/>
              <w:bottom w:type="dxa" w:w="60"/>
              <w:right w:type="dxa" w:w="80"/>
            </w:tcMar>
          </w:tcPr>
          <w:p>
            <w:pPr>
              <w:spacing w:after="0"/>
            </w:pPr>
            <w:r>
              <w:rPr>
                <w:b w:val="false"/>
                <w:bCs w:val="false"/>
                <w:sz w:val="18"/>
                <w:szCs w:val="18"/>
              </w:rPr>
              <w:t xml:space="preserve">Resource prefix</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w:t>
            </w:r>
            <w:r>
              <w:rPr>
                <w:b w:val="false"/>
                <w:bCs w:val="false"/>
                <w:sz w:val="18"/>
                <w:szCs w:val="18"/>
              </w:rPr>
              <w:t xml:space="preserve"> (VM names </w:t>
            </w:r>
            <w:r>
              <w:rPr>
                <w:rFonts w:ascii="Consolas" w:cs="Consolas" w:eastAsia="Consolas" w:hAnsi="Consolas"/>
                <w:b w:val="false"/>
                <w:bCs w:val="false"/>
                <w:sz w:val="18"/>
                <w:szCs w:val="18"/>
              </w:rPr>
              <w:t xml:space="preserve">lab-dc01</w:t>
            </w:r>
            <w:r>
              <w:rPr>
                <w:b w:val="false"/>
                <w:bCs w:val="false"/>
                <w:sz w:val="18"/>
                <w:szCs w:val="18"/>
              </w:rPr>
              <w:t xml:space="preserve">, </w:t>
            </w:r>
            <w:r>
              <w:rPr>
                <w:rFonts w:ascii="Consolas" w:cs="Consolas" w:eastAsia="Consolas" w:hAnsi="Consolas"/>
                <w:b w:val="false"/>
                <w:bCs w:val="false"/>
                <w:sz w:val="18"/>
                <w:szCs w:val="18"/>
              </w:rPr>
              <w:t xml:space="preserve">lab-cl01</w:t>
            </w:r>
            <w:r>
              <w:rPr>
                <w:b w:val="false"/>
                <w:bCs w:val="false"/>
                <w:sz w:val="18"/>
                <w:szCs w:val="18"/>
              </w:rPr>
              <w:t xml:space="preserve">, …)</w:t>
            </w:r>
          </w:p>
        </w:tc>
      </w:tr>
      <w:tr>
        <w:tc>
          <w:tcPr>
            <w:tcW w:type="dxa" w:w="0"/>
            <w:tcMar>
              <w:top w:type="dxa" w:w="60"/>
              <w:left w:type="dxa" w:w="80"/>
              <w:bottom w:type="dxa" w:w="60"/>
              <w:right w:type="dxa" w:w="80"/>
            </w:tcMar>
          </w:tcPr>
          <w:p>
            <w:pPr>
              <w:spacing w:after="0"/>
            </w:pPr>
            <w:r>
              <w:rPr>
                <w:b w:val="false"/>
                <w:bCs w:val="false"/>
                <w:sz w:val="18"/>
                <w:szCs w:val="18"/>
              </w:rPr>
              <w:t xml:space="preserve">Security contact e-mail</w:t>
            </w:r>
          </w:p>
        </w:tc>
        <w:tc>
          <w:tcPr>
            <w:tcW w:type="dxa" w:w="0"/>
            <w:tcMar>
              <w:top w:type="dxa" w:w="60"/>
              <w:left w:type="dxa" w:w="80"/>
              <w:bottom w:type="dxa" w:w="60"/>
              <w:right w:type="dxa" w:w="80"/>
            </w:tcMar>
          </w:tcPr>
          <w:p>
            <w:pPr>
              <w:spacing w:after="0"/>
            </w:pPr>
            <w:r>
              <w:rPr>
                <w:b w:val="false"/>
                <w:bCs w:val="false"/>
                <w:sz w:val="18"/>
                <w:szCs w:val="18"/>
              </w:rPr>
              <w:t xml:space="preserve">Security and Compliance</w:t>
            </w:r>
          </w:p>
        </w:tc>
        <w:tc>
          <w:tcPr>
            <w:tcW w:type="dxa" w:w="0"/>
            <w:tcMar>
              <w:top w:type="dxa" w:w="60"/>
              <w:left w:type="dxa" w:w="80"/>
              <w:bottom w:type="dxa" w:w="60"/>
              <w:right w:type="dxa" w:w="80"/>
            </w:tcMar>
          </w:tcPr>
          <w:p>
            <w:pPr>
              <w:spacing w:after="0"/>
            </w:pPr>
            <w:r>
              <w:rPr>
                <w:b w:val="false"/>
                <w:bCs w:val="false"/>
                <w:sz w:val="18"/>
                <w:szCs w:val="18"/>
              </w:rPr>
              <w:t xml:space="preserve">a monitored tenant mailbox</w:t>
            </w:r>
          </w:p>
        </w:tc>
      </w:tr>
      <w:tr>
        <w:tc>
          <w:tcPr>
            <w:tcW w:type="dxa" w:w="0"/>
            <w:tcMar>
              <w:top w:type="dxa" w:w="60"/>
              <w:left w:type="dxa" w:w="80"/>
              <w:bottom w:type="dxa" w:w="60"/>
              <w:right w:type="dxa" w:w="80"/>
            </w:tcMar>
          </w:tcPr>
          <w:p>
            <w:pPr>
              <w:spacing w:after="0"/>
            </w:pPr>
            <w:r>
              <w:rPr>
                <w:b w:val="false"/>
                <w:bCs w:val="false"/>
                <w:sz w:val="18"/>
                <w:szCs w:val="18"/>
              </w:rPr>
              <w:t xml:space="preserve">New Sentinel workspace name</w:t>
            </w:r>
          </w:p>
        </w:tc>
        <w:tc>
          <w:tcPr>
            <w:tcW w:type="dxa" w:w="0"/>
            <w:tcMar>
              <w:top w:type="dxa" w:w="60"/>
              <w:left w:type="dxa" w:w="80"/>
              <w:bottom w:type="dxa" w:w="60"/>
              <w:right w:type="dxa" w:w="80"/>
            </w:tcMar>
          </w:tcPr>
          <w:p>
            <w:pPr>
              <w:spacing w:after="0"/>
            </w:pPr>
            <w:r>
              <w:rPr>
                <w:b w:val="false"/>
                <w:bCs w:val="false"/>
                <w:sz w:val="18"/>
                <w:szCs w:val="18"/>
              </w:rPr>
              <w:t xml:space="preserve">Security and Compliance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law-mca-lab</w:t>
            </w:r>
          </w:p>
        </w:tc>
      </w:tr>
      <w:tr>
        <w:tc>
          <w:tcPr>
            <w:tcW w:type="dxa" w:w="0"/>
            <w:tcMar>
              <w:top w:type="dxa" w:w="60"/>
              <w:left w:type="dxa" w:w="80"/>
              <w:bottom w:type="dxa" w:w="60"/>
              <w:right w:type="dxa" w:w="80"/>
            </w:tcMar>
          </w:tcPr>
          <w:p>
            <w:pPr>
              <w:spacing w:after="0"/>
            </w:pPr>
            <w:r>
              <w:rPr>
                <w:b w:val="false"/>
                <w:bCs w:val="false"/>
                <w:sz w:val="18"/>
                <w:szCs w:val="18"/>
              </w:rPr>
              <w:t xml:space="preserve">Verified Entra UPN suffix</w:t>
            </w:r>
          </w:p>
        </w:tc>
        <w:tc>
          <w:tcPr>
            <w:tcW w:type="dxa" w:w="0"/>
            <w:tcMar>
              <w:top w:type="dxa" w:w="60"/>
              <w:left w:type="dxa" w:w="80"/>
              <w:bottom w:type="dxa" w:w="60"/>
              <w:right w:type="dxa" w:w="80"/>
            </w:tcMar>
          </w:tcPr>
          <w:p>
            <w:pPr>
              <w:spacing w:after="0"/>
            </w:pPr>
            <w:r>
              <w:rPr>
                <w:b w:val="false"/>
                <w:bCs w:val="false"/>
                <w:sz w:val="18"/>
                <w:szCs w:val="18"/>
              </w:rPr>
              <w:t xml:space="preserve">Lab Options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contoso.onmicrosoft.com</w:t>
            </w:r>
          </w:p>
        </w:tc>
      </w:tr>
      <w:tr>
        <w:tc>
          <w:tcPr>
            <w:tcW w:type="dxa" w:w="0"/>
            <w:tcMar>
              <w:top w:type="dxa" w:w="60"/>
              <w:left w:type="dxa" w:w="80"/>
              <w:bottom w:type="dxa" w:w="60"/>
              <w:right w:type="dxa" w:w="80"/>
            </w:tcMar>
          </w:tcPr>
          <w:p>
            <w:pPr>
              <w:spacing w:after="0"/>
            </w:pPr>
            <w:r>
              <w:rPr>
                <w:b w:val="false"/>
                <w:bCs w:val="false"/>
                <w:sz w:val="18"/>
                <w:szCs w:val="18"/>
              </w:rPr>
              <w:t xml:space="preserve">Lab user sAMAccountName</w:t>
            </w:r>
          </w:p>
        </w:tc>
        <w:tc>
          <w:tcPr>
            <w:tcW w:type="dxa" w:w="0"/>
            <w:tcMar>
              <w:top w:type="dxa" w:w="60"/>
              <w:left w:type="dxa" w:w="80"/>
              <w:bottom w:type="dxa" w:w="60"/>
              <w:right w:type="dxa" w:w="80"/>
            </w:tcMar>
          </w:tcPr>
          <w:p>
            <w:pPr>
              <w:spacing w:after="0"/>
            </w:pPr>
            <w:r>
              <w:rPr>
                <w:b w:val="false"/>
                <w:bCs w:val="false"/>
                <w:sz w:val="18"/>
                <w:szCs w:val="18"/>
              </w:rPr>
              <w:t xml:space="preserve">Lab Options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lab.user</w:t>
            </w:r>
          </w:p>
        </w:tc>
      </w:tr>
      <w:tr>
        <w:tc>
          <w:tcPr>
            <w:tcW w:type="dxa" w:w="0"/>
            <w:tcMar>
              <w:top w:type="dxa" w:w="60"/>
              <w:left w:type="dxa" w:w="80"/>
              <w:bottom w:type="dxa" w:w="60"/>
              <w:right w:type="dxa" w:w="80"/>
            </w:tcMar>
          </w:tcPr>
          <w:p>
            <w:pPr>
              <w:spacing w:after="0"/>
            </w:pPr>
            <w:r>
              <w:rPr>
                <w:b w:val="false"/>
                <w:bCs w:val="false"/>
                <w:sz w:val="18"/>
                <w:szCs w:val="18"/>
              </w:rPr>
              <w:t xml:space="preserve">AD domain name / NetBIOS</w:t>
            </w:r>
          </w:p>
        </w:tc>
        <w:tc>
          <w:tcPr>
            <w:tcW w:type="dxa" w:w="0"/>
            <w:tcMar>
              <w:top w:type="dxa" w:w="60"/>
              <w:left w:type="dxa" w:w="80"/>
              <w:bottom w:type="dxa" w:w="60"/>
              <w:right w:type="dxa" w:w="80"/>
            </w:tcMar>
          </w:tcPr>
          <w:p>
            <w:pPr>
              <w:spacing w:after="0"/>
            </w:pPr>
            <w:r>
              <w:rPr>
                <w:b w:val="false"/>
                <w:bCs w:val="false"/>
                <w:sz w:val="18"/>
                <w:szCs w:val="18"/>
              </w:rPr>
              <w:t xml:space="preserve">Identity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corp.contoso.lab</w:t>
            </w:r>
            <w:r>
              <w:rPr>
                <w:b w:val="false"/>
                <w:bCs w:val="false"/>
                <w:sz w:val="18"/>
                <w:szCs w:val="18"/>
              </w:rPr>
              <w:t xml:space="preserve"> / </w:t>
            </w:r>
            <w:r>
              <w:rPr>
                <w:rFonts w:ascii="Consolas" w:cs="Consolas" w:eastAsia="Consolas" w:hAnsi="Consolas"/>
                <w:b w:val="false"/>
                <w:bCs w:val="false"/>
                <w:sz w:val="18"/>
                <w:szCs w:val="18"/>
              </w:rPr>
              <w:t xml:space="preserve">CORP</w:t>
            </w:r>
            <w:r>
              <w:rPr>
                <w:b w:val="false"/>
                <w:bCs w:val="false"/>
                <w:sz w:val="18"/>
                <w:szCs w:val="18"/>
              </w:rPr>
              <w:t xml:space="preserve"> (</w:t>
            </w:r>
            <w:r>
              <w:rPr>
                <w:b w:val="false"/>
                <w:bCs w:val="false"/>
                <w:sz w:val="18"/>
                <w:szCs w:val="18"/>
              </w:rPr>
              <w:t xml:space="preserve">type</w:t>
            </w:r>
            <w:r>
              <w:rPr>
                <w:b w:val="false"/>
                <w:bCs w:val="false"/>
                <w:sz w:val="18"/>
                <w:szCs w:val="18"/>
              </w:rPr>
              <w:t xml:space="preserve"> </w:t>
            </w:r>
            <w:r>
              <w:rPr>
                <w:rFonts w:ascii="Consolas" w:cs="Consolas" w:eastAsia="Consolas" w:hAnsi="Consolas"/>
                <w:b w:val="false"/>
                <w:bCs w:val="false"/>
                <w:sz w:val="18"/>
                <w:szCs w:val="18"/>
              </w:rPr>
              <w:t xml:space="preserve">CORP</w:t>
            </w:r>
            <w:r>
              <w:rPr>
                <w:b w:val="false"/>
                <w:bCs w:val="false"/>
                <w:sz w:val="18"/>
                <w:szCs w:val="18"/>
              </w:rPr>
              <w:t xml:space="preserve"> — the field only shows it as a placeholder)</w:t>
            </w:r>
          </w:p>
        </w:tc>
      </w:tr>
      <w:tr>
        <w:tc>
          <w:tcPr>
            <w:tcW w:type="dxa" w:w="0"/>
            <w:tcMar>
              <w:top w:type="dxa" w:w="60"/>
              <w:left w:type="dxa" w:w="80"/>
              <w:bottom w:type="dxa" w:w="60"/>
              <w:right w:type="dxa" w:w="80"/>
            </w:tcMar>
          </w:tcPr>
          <w:p>
            <w:pPr>
              <w:spacing w:after="0"/>
            </w:pPr>
            <w:r>
              <w:rPr>
                <w:b w:val="false"/>
                <w:bCs w:val="false"/>
                <w:sz w:val="18"/>
                <w:szCs w:val="18"/>
              </w:rPr>
              <w:t xml:space="preserve">Admin username + two passwords (admin, DSRM)</w:t>
            </w:r>
          </w:p>
        </w:tc>
        <w:tc>
          <w:tcPr>
            <w:tcW w:type="dxa" w:w="0"/>
            <w:tcMar>
              <w:top w:type="dxa" w:w="60"/>
              <w:left w:type="dxa" w:w="80"/>
              <w:bottom w:type="dxa" w:w="60"/>
              <w:right w:type="dxa" w:w="80"/>
            </w:tcMar>
          </w:tcPr>
          <w:p>
            <w:pPr>
              <w:spacing w:after="0"/>
            </w:pPr>
            <w:r>
              <w:rPr>
                <w:b w:val="false"/>
                <w:bCs w:val="false"/>
                <w:sz w:val="18"/>
                <w:szCs w:val="18"/>
              </w:rPr>
              <w:t xml:space="preserve">Identity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w:t>
            </w:r>
            <w:r>
              <w:rPr>
                <w:b w:val="false"/>
                <w:bCs w:val="false"/>
                <w:sz w:val="18"/>
                <w:szCs w:val="18"/>
              </w:rPr>
              <w:t xml:space="preserve"> (passwords are typed by the operator only)</w:t>
            </w:r>
          </w:p>
        </w:tc>
      </w:tr>
      <w:tr>
        <w:tc>
          <w:tcPr>
            <w:tcW w:type="dxa" w:w="0"/>
            <w:tcMar>
              <w:top w:type="dxa" w:w="60"/>
              <w:left w:type="dxa" w:w="80"/>
              <w:bottom w:type="dxa" w:w="60"/>
              <w:right w:type="dxa" w:w="80"/>
            </w:tcMar>
          </w:tcPr>
          <w:p>
            <w:pPr>
              <w:spacing w:after="0"/>
            </w:pPr>
            <w:r>
              <w:rPr>
                <w:b w:val="false"/>
                <w:bCs w:val="false"/>
                <w:sz w:val="18"/>
                <w:szCs w:val="18"/>
              </w:rPr>
              <w:t xml:space="preserve">Entra security group </w:t>
            </w:r>
            <w:r>
              <w:rPr>
                <w:b w:val="false"/>
                <w:bCs w:val="false"/>
                <w:sz w:val="18"/>
                <w:szCs w:val="18"/>
              </w:rPr>
              <w:t xml:space="preserve">object ID</w:t>
            </w:r>
            <w:r>
              <w:rPr>
                <w:b w:val="false"/>
                <w:bCs w:val="false"/>
                <w:sz w:val="18"/>
                <w:szCs w:val="18"/>
              </w:rPr>
              <w:t xml:space="preserve"> for VM login</w:t>
            </w:r>
          </w:p>
        </w:tc>
        <w:tc>
          <w:tcPr>
            <w:tcW w:type="dxa" w:w="0"/>
            <w:tcMar>
              <w:top w:type="dxa" w:w="60"/>
              <w:left w:type="dxa" w:w="80"/>
              <w:bottom w:type="dxa" w:w="60"/>
              <w:right w:type="dxa" w:w="80"/>
            </w:tcMar>
          </w:tcPr>
          <w:p>
            <w:pPr>
              <w:spacing w:after="0"/>
            </w:pPr>
            <w:r>
              <w:rPr>
                <w:b w:val="false"/>
                <w:bCs w:val="false"/>
                <w:sz w:val="18"/>
                <w:szCs w:val="18"/>
              </w:rPr>
              <w:t xml:space="preserve">Identity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&lt;entra-group-object-id&gt;</w:t>
            </w:r>
          </w:p>
        </w:tc>
      </w:tr>
      <w:tr>
        <w:tc>
          <w:tcPr>
            <w:tcW w:type="dxa" w:w="0"/>
            <w:tcMar>
              <w:top w:type="dxa" w:w="60"/>
              <w:left w:type="dxa" w:w="80"/>
              <w:bottom w:type="dxa" w:w="60"/>
              <w:right w:type="dxa" w:w="80"/>
            </w:tcMar>
          </w:tcPr>
          <w:p>
            <w:pPr>
              <w:spacing w:after="0"/>
            </w:pPr>
            <w:r>
              <w:rPr>
                <w:b w:val="false"/>
                <w:bCs w:val="false"/>
                <w:sz w:val="18"/>
                <w:szCs w:val="18"/>
              </w:rPr>
              <w:t xml:space="preserve">VM sizes</w:t>
            </w:r>
          </w:p>
        </w:tc>
        <w:tc>
          <w:tcPr>
            <w:tcW w:type="dxa" w:w="0"/>
            <w:tcMar>
              <w:top w:type="dxa" w:w="60"/>
              <w:left w:type="dxa" w:w="80"/>
              <w:bottom w:type="dxa" w:w="60"/>
              <w:right w:type="dxa" w:w="80"/>
            </w:tcMar>
          </w:tcPr>
          <w:p>
            <w:pPr>
              <w:spacing w:after="0"/>
            </w:pPr>
            <w:r>
              <w:rPr>
                <w:b w:val="false"/>
                <w:bCs w:val="false"/>
                <w:sz w:val="18"/>
                <w:szCs w:val="18"/>
              </w:rPr>
              <w:t xml:space="preserve">Compute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Standard_D2as_v7</w:t>
            </w:r>
            <w:r>
              <w:rPr>
                <w:b w:val="false"/>
                <w:bCs w:val="false"/>
                <w:sz w:val="18"/>
                <w:szCs w:val="18"/>
              </w:rPr>
              <w:t xml:space="preserve"> for servers, clients and Linux (what step 2.4 showed to be deployable)</w:t>
            </w:r>
          </w:p>
        </w:tc>
      </w:tr>
    </w:tbl>
    <w:p>
      <w:pPr>
        <w:spacing w:after="120"/>
      </w:pPr>
    </w:p>
    <w:p>
      <w:pPr>
        <w:spacing w:after="120"/>
      </w:pPr>
      <w:r>
        <w:t xml:space="preserve">Password rules: 12+ characters, 3 of 4 character classes, no part of the username. The same rules apply to the DSRM password. Nothing in this kit stores or echoes the passwords.</w:t>
      </w:r>
    </w:p>
    <w:p>
      <w:pPr>
        <w:spacing w:after="120"/>
      </w:pPr>
      <w:r>
        <w:t xml:space="preserve">Roles you need: </w:t>
      </w:r>
      <w:r>
        <w:rPr>
          <w:b/>
          <w:bCs/>
        </w:rPr>
        <w:t xml:space="preserve">Owner</w:t>
      </w:r>
      <w:r>
        <w:t xml:space="preserve"> on the subscription (the template assigns RBAC and Defender plans at subscription scope); in the tenant </w:t>
      </w:r>
      <w:r>
        <w:rPr>
          <w:b/>
          <w:bCs/>
        </w:rPr>
        <w:t xml:space="preserve">Global Administrator</w:t>
      </w:r>
      <w:r>
        <w:t xml:space="preserve"> (or Security Administrator + Intune Administrator + Cloud Application Administrator + License Administrator) for step 5 — UEBA, the Entra ID log routing, the Intune settings and the Conditional Access exclusion are tenant-level — and </w:t>
      </w:r>
      <w:r>
        <w:rPr>
          <w:b/>
          <w:bCs/>
        </w:rPr>
        <w:t xml:space="preserve">Hybrid Identity Administrator</w:t>
      </w:r>
      <w:r>
        <w:t xml:space="preserve"> for the Entra Connect wizard. Activate them through PIM before step 5.</w:t>
      </w:r>
    </w:p>
    <w:p>
      <w:pPr>
        <w:spacing w:after="120"/>
      </w:pPr>
      <w:r>
        <w:t xml:space="preserve">Licensing in the tenant (not deployed by the kit): Entra ID P1/P2 + Intune for the lab user (any Microsoft 365 E3/E5-class SKU — </w:t>
      </w:r>
      <w:r>
        <w:rPr>
          <w:rFonts w:ascii="Consolas" w:cs="Consolas" w:eastAsia="Consolas" w:hAnsi="Consolas"/>
          <w:sz w:val="18"/>
          <w:szCs w:val="18"/>
        </w:rPr>
        <w:t xml:space="preserve">Prepare-Tenant.ps1 -LabUserUpn</w:t>
      </w:r>
      <w:r>
        <w:t xml:space="preserve"> assigns the first one it finds) and Defender for Endpoint P2 for the clients; the servers are covered by Defender for Servers P2.</w:t>
      </w:r>
    </w:p>
    <w:p>
      <w:pPr>
        <w:pStyle w:val="Heading1"/>
        <w:pageBreakBefore/>
      </w:pPr>
      <w:r>
        <w:t xml:space="preserve">2. Subscription prerequisites</w:t>
      </w:r>
    </w:p>
    <w:p>
      <w:pPr>
        <w:pStyle w:val="Heading2"/>
      </w:pPr>
      <w:r>
        <w:t xml:space="preserve">2.1 Sign in to the Azure portal and pick the subscription</w:t>
      </w:r>
    </w:p>
    <w:p>
      <w:pPr>
        <w:spacing w:after="120"/>
      </w:pPr>
      <w:r>
        <w:t xml:space="preserve">Open </w:t>
      </w:r>
      <w:hyperlink w:history="1" r:id="rIdhml_-n-yrsqgqng3rr9om">
        <w:r>
          <w:rPr>
            <w:rStyle w:val="Hyperlink"/>
          </w:rPr>
          <w:t xml:space="preserve">https://portal.azure.com</w:t>
        </w:r>
      </w:hyperlink>
      <w:r>
        <w:t xml:space="preserve">, sign in with the Owner account, open </w:t>
      </w:r>
      <w:r>
        <w:rPr>
          <w:b/>
          <w:bCs/>
        </w:rPr>
        <w:t xml:space="preserve">Subscriptions</w:t>
      </w:r>
      <w:r>
        <w:t xml:space="preserve"> and confirm the subscription you will deploy into. If you have several (a </w:t>
      </w:r>
      <w:r>
        <w:rPr>
          <w:i/>
          <w:iCs/>
        </w:rPr>
        <w:t xml:space="preserve">Dev</w:t>
      </w:r>
      <w:r>
        <w:t xml:space="preserve">, </w:t>
      </w:r>
      <w:r>
        <w:rPr>
          <w:i/>
          <w:iCs/>
        </w:rPr>
        <w:t xml:space="preserve">Prod</w:t>
      </w:r>
      <w:r>
        <w:t xml:space="preserve"> and </w:t>
      </w:r>
      <w:r>
        <w:rPr>
          <w:i/>
          <w:iCs/>
        </w:rPr>
        <w:t xml:space="preserve">Test</w:t>
      </w:r>
      <w:r>
        <w:t xml:space="preserve"> subscription in the same tenant, say), note the exact name — the form defaults to the first one alphabetically.</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Subscriptions</w:t>
      </w:r>
    </w:p>
    <w:p>
      <w:pPr>
        <w:pStyle w:val="Heading2"/>
      </w:pPr>
      <w:r>
        <w:t xml:space="preserve">2.2 Open Cloud Shell (Bash)</w:t>
      </w:r>
    </w:p>
    <w:p>
      <w:pPr>
        <w:spacing w:after="120"/>
      </w:pPr>
      <w:r>
        <w:t xml:space="preserve">Click the Cloud Shell icon in the top bar. On first use choose </w:t>
      </w:r>
      <w:r>
        <w:rPr>
          <w:b/>
          <w:bCs/>
        </w:rPr>
        <w:t xml:space="preserve">Bash</w:t>
      </w:r>
      <w:r>
        <w:t xml:space="preserve">, pick the subscription, and select </w:t>
      </w:r>
      <w:r>
        <w:rPr>
          <w:b/>
          <w:bCs/>
        </w:rPr>
        <w:t xml:space="preserve">No storage account required</w:t>
      </w:r>
      <w:r>
        <w:t xml:space="preserve"> — the session is ephemeral, which is fine: everything the guide runs in Cloud Shell is re-downloadable from the repository. Bash is used for the checks in sections 2.3–2.4; </w:t>
      </w:r>
      <w:r>
        <w:rPr>
          <w:b/>
          <w:bCs/>
        </w:rPr>
        <w:t xml:space="preserve">step 5 needs the shell switched to PowerShell</w:t>
      </w:r>
      <w:r>
        <w:t xml:space="preserve"> (toolbar → </w:t>
      </w:r>
      <w:r>
        <w:rPr>
          <w:i/>
          <w:iCs/>
        </w:rPr>
        <w:t xml:space="preserve">Switch to PowerShell</w:t>
      </w:r>
      <w:r>
        <w:t xml:space="preserve">): the kit's post-deploy scripts use the </w:t>
      </w:r>
      <w:r>
        <w:rPr>
          <w:rFonts w:ascii="Consolas" w:cs="Consolas" w:eastAsia="Consolas" w:hAnsi="Consolas"/>
          <w:sz w:val="18"/>
          <w:szCs w:val="18"/>
        </w:rPr>
        <w:t xml:space="preserve">Az</w:t>
      </w:r>
      <w:r>
        <w:t xml:space="preserve"> sign-in that only the PowerShell-mode shell carries (#53).</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Cloud Shell ready</w:t>
      </w:r>
    </w:p>
    <w:p>
      <w:pPr>
        <w:pBdr>
          <w:left w:val="single" w:color="C09000" w:sz="18" w:space="8"/>
        </w:pBdr>
        <w:shd w:fill="FFF4CE" w:color="auto" w:val="clear"/>
        <w:spacing w:after="160" w:before="60"/>
        <w:ind w:left="240" w:right="240"/>
      </w:pPr>
      <w:r>
        <w:rPr>
          <w:i/>
          <w:iCs/>
        </w:rPr>
        <w:t xml:space="preserve">Cloud Shell disconnects after about 20 minutes of inactivity. If the pane shows </w:t>
      </w:r>
      <w:r>
        <w:rPr>
          <w:i/>
          <w:iCs/>
        </w:rPr>
        <w:t xml:space="preserve">Cloud Shell disconnected</w:t>
      </w:r>
      <w:r>
        <w:rPr>
          <w:i/>
          <w:iCs/>
        </w:rPr>
        <w:t xml:space="preserve">, click </w:t>
      </w:r>
      <w:r>
        <w:rPr>
          <w:b/>
          <w:bCs/>
          <w:i/>
          <w:iCs/>
        </w:rPr>
        <w:t xml:space="preserve">Restart</w:t>
      </w:r>
      <w:r>
        <w:rPr>
          <w:i/>
          <w:iCs/>
        </w:rPr>
        <w:t xml:space="preserve"> in its toolbar and re-run the </w:t>
      </w:r>
      <w:r>
        <w:rPr>
          <w:rFonts w:ascii="Consolas" w:cs="Consolas" w:eastAsia="Consolas" w:hAnsi="Consolas"/>
          <w:i/>
          <w:iCs/>
          <w:sz w:val="18"/>
          <w:szCs w:val="18"/>
        </w:rPr>
        <w:t xml:space="preserve">git clone</w:t>
      </w:r>
      <w:r>
        <w:rPr>
          <w:i/>
          <w:iCs/>
        </w:rPr>
        <w:t xml:space="preserve"> from step 5.1 — the home directory is not kept when you chose </w:t>
      </w:r>
      <w:r>
        <w:rPr>
          <w:i/>
          <w:iCs/>
        </w:rPr>
        <w:t xml:space="preserve">No storage account</w:t>
      </w:r>
      <w:r>
        <w:rPr>
          <w:i/>
          <w:iCs/>
        </w:rPr>
        <w:t xml:space="preserve">.</w:t>
      </w:r>
    </w:p>
    <w:p>
      <w:pPr>
        <w:pStyle w:val="Heading2"/>
      </w:pPr>
      <w:r>
        <w:t xml:space="preserve">2.3 Register the features and resource providers</w:t>
      </w:r>
    </w:p>
    <w:p>
      <w:pPr>
        <w:spacing w:after="120"/>
      </w:pPr>
      <w:r>
        <w:t xml:space="preserve">Paste the block below into Cloud Shell. It is idempotent — re-running it is harmless. The second feature, </w:t>
      </w:r>
      <w:r>
        <w:rPr>
          <w:rFonts w:ascii="Consolas" w:cs="Consolas" w:eastAsia="Consolas" w:hAnsi="Consolas"/>
          <w:sz w:val="18"/>
          <w:szCs w:val="18"/>
        </w:rPr>
        <w:t xml:space="preserve">AllowBringYourOwnPublicIpAddress</w:t>
      </w:r>
      <w:r>
        <w:t xml:space="preserve">, is the Commercial-specific one: some subscriptions (Microsoft-internal ones, and any subscription with a policy that adds IP tags to public IPs) refuse the MLZ firewall and Bastion public IPs without it (troubleshooting #48).</w:t>
      </w:r>
    </w:p>
    <w:p>
      <w:pPr>
        <w:keepNext/>
        <w:shd w:fill="F2F2F2" w:color="auto" w:val="clear"/>
        <w:spacing w:after="0" w:before="0" w:line="240"/>
        <w:ind w:left="120" w:right="120"/>
      </w:pPr>
      <w:r>
        <w:rPr>
          <w:rFonts w:ascii="Consolas" w:cs="Consolas" w:eastAsia="Consolas" w:hAnsi="Consolas"/>
          <w:sz w:val="17"/>
          <w:szCs w:val="17"/>
        </w:rPr>
        <w:t xml:space="preserve">az account set --subscription &lt;subscription-id&gt;</w:t>
      </w:r>
    </w:p>
    <w:p>
      <w:pPr>
        <w:keepNext/>
        <w:shd w:fill="F2F2F2" w:color="auto" w:val="clear"/>
        <w:spacing w:after="0" w:before="0" w:line="240"/>
        <w:ind w:left="120" w:right="120"/>
      </w:pPr>
      <w:r>
        <w:rPr>
          <w:rFonts w:ascii="Consolas" w:cs="Consolas" w:eastAsia="Consolas" w:hAnsi="Consolas"/>
          <w:sz w:val="17"/>
          <w:szCs w:val="17"/>
        </w:rPr>
        <w:t xml:space="preserve"> </w:t>
      </w:r>
    </w:p>
    <w:p>
      <w:pPr>
        <w:keepNext/>
        <w:shd w:fill="F2F2F2" w:color="auto" w:val="clear"/>
        <w:spacing w:after="0" w:before="0" w:line="240"/>
        <w:ind w:left="120" w:right="120"/>
      </w:pPr>
      <w:r>
        <w:rPr>
          <w:rFonts w:ascii="Consolas" w:cs="Consolas" w:eastAsia="Consolas" w:hAnsi="Consolas"/>
          <w:sz w:val="17"/>
          <w:szCs w:val="17"/>
        </w:rPr>
        <w:t xml:space="preserve"># Encryption-at-host for the MLZ VMs and the public-IP feature (both take a few minutes to flip to Registered)</w:t>
      </w:r>
    </w:p>
    <w:p>
      <w:pPr>
        <w:keepNext/>
        <w:shd w:fill="F2F2F2" w:color="auto" w:val="clear"/>
        <w:spacing w:after="0" w:before="0" w:line="240"/>
        <w:ind w:left="120" w:right="120"/>
      </w:pPr>
      <w:r>
        <w:rPr>
          <w:rFonts w:ascii="Consolas" w:cs="Consolas" w:eastAsia="Consolas" w:hAnsi="Consolas"/>
          <w:sz w:val="17"/>
          <w:szCs w:val="17"/>
        </w:rPr>
        <w:t xml:space="preserve">az feature register --namespace Microsoft.Compute --name EncryptionAtHost</w:t>
      </w:r>
    </w:p>
    <w:p>
      <w:pPr>
        <w:keepNext/>
        <w:shd w:fill="F2F2F2" w:color="auto" w:val="clear"/>
        <w:spacing w:after="0" w:before="0" w:line="240"/>
        <w:ind w:left="120" w:right="120"/>
      </w:pPr>
      <w:r>
        <w:rPr>
          <w:rFonts w:ascii="Consolas" w:cs="Consolas" w:eastAsia="Consolas" w:hAnsi="Consolas"/>
          <w:sz w:val="17"/>
          <w:szCs w:val="17"/>
        </w:rPr>
        <w:t xml:space="preserve">az feature register --namespace Microsoft.Network --name AllowBringYourOwnPublicIpAddress</w:t>
      </w:r>
    </w:p>
    <w:p>
      <w:pPr>
        <w:keepNext/>
        <w:shd w:fill="F2F2F2" w:color="auto" w:val="clear"/>
        <w:spacing w:after="0" w:before="0" w:line="240"/>
        <w:ind w:left="120" w:right="120"/>
      </w:pPr>
      <w:r>
        <w:rPr>
          <w:rFonts w:ascii="Consolas" w:cs="Consolas" w:eastAsia="Consolas" w:hAnsi="Consolas"/>
          <w:sz w:val="17"/>
          <w:szCs w:val="17"/>
        </w:rPr>
        <w:t xml:space="preserve"> </w:t>
      </w:r>
    </w:p>
    <w:p>
      <w:pPr>
        <w:keepNext/>
        <w:shd w:fill="F2F2F2" w:color="auto" w:val="clear"/>
        <w:spacing w:after="0" w:before="0" w:line="240"/>
        <w:ind w:left="120" w:right="120"/>
      </w:pPr>
      <w:r>
        <w:rPr>
          <w:rFonts w:ascii="Consolas" w:cs="Consolas" w:eastAsia="Consolas" w:hAnsi="Consolas"/>
          <w:sz w:val="17"/>
          <w:szCs w:val="17"/>
        </w:rPr>
        <w:t xml:space="preserve"># Auto-shutdown schedules, Arc private link, DNS, Sentinel, Defender, policy, CSPM samples</w:t>
      </w:r>
    </w:p>
    <w:p>
      <w:pPr>
        <w:keepNext/>
        <w:shd w:fill="F2F2F2" w:color="auto" w:val="clear"/>
        <w:spacing w:after="0" w:before="0" w:line="240"/>
        <w:ind w:left="120" w:right="120"/>
      </w:pPr>
      <w:r>
        <w:rPr>
          <w:rFonts w:ascii="Consolas" w:cs="Consolas" w:eastAsia="Consolas" w:hAnsi="Consolas"/>
          <w:sz w:val="17"/>
          <w:szCs w:val="17"/>
        </w:rPr>
        <w:t xml:space="preserve">for p in Microsoft.Compute Microsoft.Network Microsoft.DevTestLab Microsoft.HybridCompute \</w:t>
      </w:r>
    </w:p>
    <w:p>
      <w:pPr>
        <w:keepNext/>
        <w:shd w:fill="F2F2F2" w:color="auto" w:val="clear"/>
        <w:spacing w:after="0" w:before="0" w:line="240"/>
        <w:ind w:left="120" w:right="120"/>
      </w:pPr>
      <w:r>
        <w:rPr>
          <w:rFonts w:ascii="Consolas" w:cs="Consolas" w:eastAsia="Consolas" w:hAnsi="Consolas"/>
          <w:sz w:val="17"/>
          <w:szCs w:val="17"/>
        </w:rPr>
        <w:t xml:space="preserve">         Microsoft.ContainerInstance Microsoft.ApiManagement Microsoft.Web Microsoft.KeyVault \</w:t>
      </w:r>
    </w:p>
    <w:p>
      <w:pPr>
        <w:keepNext/>
        <w:shd w:fill="F2F2F2" w:color="auto" w:val="clear"/>
        <w:spacing w:after="0" w:before="0" w:line="240"/>
        <w:ind w:left="120" w:right="120"/>
      </w:pPr>
      <w:r>
        <w:rPr>
          <w:rFonts w:ascii="Consolas" w:cs="Consolas" w:eastAsia="Consolas" w:hAnsi="Consolas"/>
          <w:sz w:val="17"/>
          <w:szCs w:val="17"/>
        </w:rPr>
        <w:t xml:space="preserve">         Microsoft.Security Microsoft.OperationalInsights Microsoft.SecurityInsights Microsoft.PolicyInsights \</w:t>
      </w:r>
    </w:p>
    <w:p>
      <w:pPr>
        <w:keepNext/>
        <w:shd w:fill="F2F2F2" w:color="auto" w:val="clear"/>
        <w:spacing w:after="0" w:before="0" w:line="240"/>
        <w:ind w:left="120" w:right="120"/>
      </w:pPr>
      <w:r>
        <w:rPr>
          <w:rFonts w:ascii="Consolas" w:cs="Consolas" w:eastAsia="Consolas" w:hAnsi="Consolas"/>
          <w:sz w:val="17"/>
          <w:szCs w:val="17"/>
        </w:rPr>
        <w:t xml:space="preserve">         Microsoft.Insights Microsoft.Storage Microsoft.Sql Microsoft.ContainerRegistry \</w:t>
      </w:r>
    </w:p>
    <w:p>
      <w:pPr>
        <w:keepNext/>
        <w:shd w:fill="F2F2F2" w:color="auto" w:val="clear"/>
        <w:spacing w:after="0" w:before="0" w:line="240"/>
        <w:ind w:left="120" w:right="120"/>
      </w:pPr>
      <w:r>
        <w:rPr>
          <w:rFonts w:ascii="Consolas" w:cs="Consolas" w:eastAsia="Consolas" w:hAnsi="Consolas"/>
          <w:sz w:val="17"/>
          <w:szCs w:val="17"/>
        </w:rPr>
        <w:t xml:space="preserve">         Microsoft.OperationsManagement Microsoft.ManagedIdentity; do az provider register --namespace $p; done</w:t>
      </w:r>
    </w:p>
    <w:p>
      <w:pPr>
        <w:keepNext/>
        <w:shd w:fill="F2F2F2" w:color="auto" w:val="clear"/>
        <w:spacing w:after="0" w:before="0" w:line="240"/>
        <w:ind w:left="120" w:right="120"/>
      </w:pPr>
      <w:r>
        <w:rPr>
          <w:rFonts w:ascii="Consolas" w:cs="Consolas" w:eastAsia="Consolas" w:hAnsi="Consolas"/>
          <w:sz w:val="17"/>
          <w:szCs w:val="17"/>
        </w:rPr>
        <w:t xml:space="preserve"> </w:t>
      </w:r>
    </w:p>
    <w:p>
      <w:pPr>
        <w:keepNext/>
        <w:shd w:fill="F2F2F2" w:color="auto" w:val="clear"/>
        <w:spacing w:after="0" w:before="0" w:line="240"/>
        <w:ind w:left="120" w:right="120"/>
      </w:pPr>
      <w:r>
        <w:rPr>
          <w:rFonts w:ascii="Consolas" w:cs="Consolas" w:eastAsia="Consolas" w:hAnsi="Consolas"/>
          <w:sz w:val="17"/>
          <w:szCs w:val="17"/>
        </w:rPr>
        <w:t xml:space="preserve"># Poll until both print "Registered", then propagate the features into the providers</w:t>
      </w:r>
    </w:p>
    <w:p>
      <w:pPr>
        <w:keepNext/>
        <w:shd w:fill="F2F2F2" w:color="auto" w:val="clear"/>
        <w:spacing w:after="0" w:before="0" w:line="240"/>
        <w:ind w:left="120" w:right="120"/>
      </w:pPr>
      <w:r>
        <w:rPr>
          <w:rFonts w:ascii="Consolas" w:cs="Consolas" w:eastAsia="Consolas" w:hAnsi="Consolas"/>
          <w:sz w:val="17"/>
          <w:szCs w:val="17"/>
        </w:rPr>
        <w:t xml:space="preserve">az feature show --namespace Microsoft.Compute --name EncryptionAtHost --query properties.state -o tsv</w:t>
      </w:r>
    </w:p>
    <w:p>
      <w:pPr>
        <w:keepNext/>
        <w:shd w:fill="F2F2F2" w:color="auto" w:val="clear"/>
        <w:spacing w:after="0" w:before="0" w:line="240"/>
        <w:ind w:left="120" w:right="120"/>
      </w:pPr>
      <w:r>
        <w:rPr>
          <w:rFonts w:ascii="Consolas" w:cs="Consolas" w:eastAsia="Consolas" w:hAnsi="Consolas"/>
          <w:sz w:val="17"/>
          <w:szCs w:val="17"/>
        </w:rPr>
        <w:t xml:space="preserve">az feature show --namespace Microsoft.Network --name AllowBringYourOwnPublicIpAddress --query properties.state -o tsv</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Microsoft.Compute --wait</w:t>
      </w:r>
    </w:p>
    <w:p>
      <w:pPr>
        <w:keepNext w:val="false"/>
        <w:shd w:fill="F2F2F2" w:color="auto" w:val="clear"/>
        <w:spacing w:after="160" w:before="0" w:line="240"/>
        <w:ind w:left="120" w:right="120"/>
      </w:pPr>
      <w:r>
        <w:rPr>
          <w:rFonts w:ascii="Consolas" w:cs="Consolas" w:eastAsia="Consolas" w:hAnsi="Consolas"/>
          <w:sz w:val="17"/>
          <w:szCs w:val="17"/>
        </w:rPr>
        <w:t xml:space="preserve">az provider register --namespace Microsoft.Network --wait</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Features registered</w:t>
      </w:r>
    </w:p>
    <w:p>
      <w:pPr>
        <w:spacing w:after="120"/>
      </w:pPr>
      <w:r>
        <w:t xml:space="preserve">If </w:t>
      </w:r>
      <w:r>
        <w:rPr>
          <w:rFonts w:ascii="Consolas" w:cs="Consolas" w:eastAsia="Consolas" w:hAnsi="Consolas"/>
          <w:sz w:val="18"/>
          <w:szCs w:val="18"/>
        </w:rPr>
        <w:t xml:space="preserve">AllowBringYourOwnPublicIpAddress</w:t>
      </w:r>
      <w:r>
        <w:t xml:space="preserve"> stays </w:t>
      </w:r>
      <w:r>
        <w:rPr>
          <w:rFonts w:ascii="Consolas" w:cs="Consolas" w:eastAsia="Consolas" w:hAnsi="Consolas"/>
          <w:sz w:val="18"/>
          <w:szCs w:val="18"/>
        </w:rPr>
        <w:t xml:space="preserve">Pending</w:t>
      </w:r>
      <w:r>
        <w:t xml:space="preserve">, the subscription needs approval through a support request (days) — use another subscription meanwhile.</w:t>
      </w:r>
    </w:p>
    <w:p>
      <w:pPr>
        <w:pStyle w:val="Heading2"/>
      </w:pPr>
      <w:r>
        <w:t xml:space="preserve">2.4 Pick the region: where can this subscription actually create VMs?</w:t>
      </w:r>
    </w:p>
    <w:p>
      <w:pPr>
        <w:spacing w:after="120"/>
      </w:pPr>
      <w:r>
        <w:t xml:space="preserve">This is the step that does not exist in the Government guide and that cost the first Commercial run. Commercial subscriptions (trial, internal, sponsorship, new pay-as-you-go) commonly have </w:t>
      </w:r>
      <w:r>
        <w:rPr>
          <w:b/>
          <w:bCs/>
        </w:rPr>
        <w:t xml:space="preserve">entire regions restricted</w:t>
      </w:r>
      <w:r>
        <w:t xml:space="preserve"> for VM creation, and the picture changes from day to day. On the test subscription, on the day of the first run, East US, Central US, West US and North Central US offered </w:t>
      </w:r>
      <w:r>
        <w:rPr>
          <w:b/>
          <w:bCs/>
        </w:rPr>
        <w:t xml:space="preserve">zero</w:t>
      </w:r>
      <w:r>
        <w:t xml:space="preserve"> deployable VM sizes, East US 2 and South Central US only one, and West US 2 everything; by the evening East US 2 and South Central US had opened up (421 and 538 sizes) while East US and Central US were still at zero. </w:t>
      </w:r>
      <w:r>
        <w:rPr>
          <w:rFonts w:ascii="Consolas" w:cs="Consolas" w:eastAsia="Consolas" w:hAnsi="Consolas"/>
          <w:sz w:val="18"/>
          <w:szCs w:val="18"/>
        </w:rPr>
        <w:t xml:space="preserve">az vm list-skus</w:t>
      </w:r>
      <w:r>
        <w:t xml:space="preserve"> hides this (it is slow and returns </w:t>
      </w:r>
      <w:r>
        <w:rPr>
          <w:rFonts w:ascii="Consolas" w:cs="Consolas" w:eastAsia="Consolas" w:hAnsi="Consolas"/>
          <w:sz w:val="18"/>
          <w:szCs w:val="18"/>
        </w:rPr>
        <w:t xml:space="preserve">[]</w:t>
      </w:r>
      <w:r>
        <w:t xml:space="preserve">); ask the SKU API directly and count the unrestricted sizes per region right before you deploy:</w:t>
      </w:r>
    </w:p>
    <w:p>
      <w:pPr>
        <w:keepNext/>
        <w:shd w:fill="F2F2F2" w:color="auto" w:val="clear"/>
        <w:spacing w:after="0" w:before="0" w:line="240"/>
        <w:ind w:left="120" w:right="120"/>
      </w:pPr>
      <w:r>
        <w:rPr>
          <w:rFonts w:ascii="Consolas" w:cs="Consolas" w:eastAsia="Consolas" w:hAnsi="Consolas"/>
          <w:sz w:val="17"/>
          <w:szCs w:val="17"/>
        </w:rPr>
        <w:t xml:space="preserve">SUB=$(az account show --query id -o tsv)</w:t>
      </w:r>
    </w:p>
    <w:p>
      <w:pPr>
        <w:keepNext/>
        <w:shd w:fill="F2F2F2" w:color="auto" w:val="clear"/>
        <w:spacing w:after="0" w:before="0" w:line="240"/>
        <w:ind w:left="120" w:right="120"/>
      </w:pPr>
      <w:r>
        <w:rPr>
          <w:rFonts w:ascii="Consolas" w:cs="Consolas" w:eastAsia="Consolas" w:hAnsi="Consolas"/>
          <w:sz w:val="17"/>
          <w:szCs w:val="17"/>
        </w:rPr>
        <w:t xml:space="preserve">for l in eastus eastus2 westus2 westus3 southcentralus centralus; do</w:t>
      </w:r>
    </w:p>
    <w:p>
      <w:pPr>
        <w:keepNext/>
        <w:shd w:fill="F2F2F2" w:color="auto" w:val="clear"/>
        <w:spacing w:after="0" w:before="0" w:line="240"/>
        <w:ind w:left="120" w:right="120"/>
      </w:pPr>
      <w:r>
        <w:rPr>
          <w:rFonts w:ascii="Consolas" w:cs="Consolas" w:eastAsia="Consolas" w:hAnsi="Consolas"/>
          <w:sz w:val="17"/>
          <w:szCs w:val="17"/>
        </w:rPr>
        <w:t xml:space="preserve">  az rest --method get --url "https://management.azure.com/subscriptions/$SUB/providers/Microsoft.Compute/skus?api-version=2021-07-01&amp;\$filter=location%20eq%20%27$l%27" -o json &gt; /tmp/s-$l.json</w:t>
      </w:r>
    </w:p>
    <w:p>
      <w:pPr>
        <w:keepNext/>
        <w:shd w:fill="F2F2F2" w:color="auto" w:val="clear"/>
        <w:spacing w:after="0" w:before="0" w:line="240"/>
        <w:ind w:left="120" w:right="120"/>
      </w:pPr>
      <w:r>
        <w:rPr>
          <w:rFonts w:ascii="Consolas" w:cs="Consolas" w:eastAsia="Consolas" w:hAnsi="Consolas"/>
          <w:sz w:val="17"/>
          <w:szCs w:val="17"/>
        </w:rPr>
        <w:t xml:space="preserve">  python3 -c "import json,sys;d=json.load(open('/tmp/s-'+sys.argv[1]+'.json'))['value'];vm=[s for s in d if s['resourceType']=='virtualMachines'];ok=[s['name'] for s in vm if not s.get('restrictions')];print(sys.argv[1],len(ok),'deployable sizes;',' '.join(w for w in ['Standard_D2as_v7','Standard_D2s_v5','Standard_D2ads_v6'] if w in ok))" $l</w:t>
      </w:r>
    </w:p>
    <w:p>
      <w:pPr>
        <w:keepNext w:val="false"/>
        <w:shd w:fill="F2F2F2" w:color="auto" w:val="clear"/>
        <w:spacing w:after="160" w:before="0" w:line="240"/>
        <w:ind w:left="120" w:right="120"/>
      </w:pPr>
      <w:r>
        <w:rPr>
          <w:rFonts w:ascii="Consolas" w:cs="Consolas" w:eastAsia="Consolas" w:hAnsi="Consolas"/>
          <w:sz w:val="17"/>
          <w:szCs w:val="17"/>
        </w:rPr>
        <w:t xml:space="preserve">done</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Deployable VM sizes per region on the test subscription</w:t>
      </w:r>
    </w:p>
    <w:p>
      <w:pPr>
        <w:spacing w:after="120"/>
      </w:pPr>
      <w:r>
        <w:t xml:space="preserve">Pick a region that lists </w:t>
      </w:r>
      <w:r>
        <w:rPr>
          <w:rFonts w:ascii="Consolas" w:cs="Consolas" w:eastAsia="Consolas" w:hAnsi="Consolas"/>
          <w:sz w:val="18"/>
          <w:szCs w:val="18"/>
        </w:rPr>
        <w:t xml:space="preserve">Standard_D2as_v7</w:t>
      </w:r>
      <w:r>
        <w:t xml:space="preserve"> (or another of the three lab sizes), then confirm the vCPU family quota there — the lab needs 18 vCPUs for 9 × 2-vCPU VMs, and a family that is </w:t>
      </w:r>
      <w:r>
        <w:rPr>
          <w:i/>
          <w:iCs/>
        </w:rPr>
        <w:t xml:space="preserve">deployable</w:t>
      </w:r>
      <w:r>
        <w:t xml:space="preserve"> can still have no quota (on the test subscription Dadsv6 was deployable in West US 2 but had no quota entry, while Dasv7 and Dsv5 had 100; the screenshot below was taken with the lab running, 18 of 100 Dasv7 vCPUs in use):</w:t>
      </w:r>
    </w:p>
    <w:p>
      <w:pPr>
        <w:keepNext w:val="false"/>
        <w:shd w:fill="F2F2F2" w:color="auto" w:val="clear"/>
        <w:spacing w:after="160" w:before="0" w:line="240"/>
        <w:ind w:left="120" w:right="120"/>
      </w:pPr>
      <w:r>
        <w:rPr>
          <w:rFonts w:ascii="Consolas" w:cs="Consolas" w:eastAsia="Consolas" w:hAnsi="Consolas"/>
          <w:sz w:val="17"/>
          <w:szCs w:val="17"/>
        </w:rPr>
        <w:t xml:space="preserve">az vm list-usage -l westus2 --query "[?contains(name.value,'asv7') || contains(name.value,'DSv5') || contains(name.value,'adsv6') || name.value=='cores'].{family:name.value,used:currentValue,limit:limit}" -o table</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Quota in West US 2</w:t>
      </w:r>
    </w:p>
    <w:p>
      <w:pPr>
        <w:spacing w:after="120"/>
      </w:pPr>
      <w:r>
        <w:t xml:space="preserve">The Compute tab (step 4.7) only offers sizes the subscription can deploy in the chosen region, so after this step the size question is settled.</w:t>
      </w:r>
    </w:p>
    <w:p>
      <w:pPr>
        <w:pStyle w:val="Heading1"/>
        <w:pageBreakBefore/>
      </w:pPr>
      <w:r>
        <w:t xml:space="preserve">3. Entra ID prerequisites</w:t>
      </w:r>
    </w:p>
    <w:p>
      <w:pPr>
        <w:pStyle w:val="Heading2"/>
      </w:pPr>
      <w:r>
        <w:t xml:space="preserve">3.1 Security group for Entra VM login</w:t>
      </w:r>
    </w:p>
    <w:p>
      <w:pPr>
        <w:spacing w:after="120"/>
      </w:pPr>
      <w:r>
        <w:t xml:space="preserve">The kit assigns </w:t>
      </w:r>
      <w:r>
        <w:rPr>
          <w:b/>
          <w:bCs/>
        </w:rPr>
        <w:t xml:space="preserve">Virtual Machine Administrator Login</w:t>
      </w:r>
      <w:r>
        <w:t xml:space="preserve"> to one Entra security group on every VM, so members can sign in with Entra credentials through Bastion (RDP and SSH). Create (or reuse) a group, add the operators to it, and copy its </w:t>
      </w:r>
      <w:r>
        <w:rPr>
          <w:b/>
          <w:bCs/>
        </w:rPr>
        <w:t xml:space="preserve">Object ID</w:t>
      </w:r>
      <w:r>
        <w:t xml:space="preserve"> — the Identity tab asks for it.</w:t>
      </w:r>
    </w:p>
    <w:p>
      <w:pPr>
        <w:spacing w:after="120"/>
      </w:pPr>
      <w:r>
        <w:t xml:space="preserve">Microsoft Entra ID → Groups → </w:t>
      </w:r>
      <w:r>
        <w:rPr>
          <w:b/>
          <w:bCs/>
        </w:rPr>
        <w:t xml:space="preserve">New group</w:t>
      </w:r>
      <w:r>
        <w:t xml:space="preserve"> (Security, e.g. </w:t>
      </w:r>
      <w:r>
        <w:rPr>
          <w:i/>
          <w:iCs/>
        </w:rPr>
        <w:t xml:space="preserve">Lab VM Login</w:t>
      </w:r>
      <w:r>
        <w:t xml:space="preserve">) → add yourself as a member → Overview → copy </w:t>
      </w:r>
      <w:r>
        <w:rPr>
          <w:b/>
          <w:bCs/>
        </w:rPr>
        <w:t xml:space="preserve">Object Id</w:t>
      </w:r>
      <w:r>
        <w:t xml:space="preserve">.</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Entra group with its object ID</w:t>
      </w:r>
    </w:p>
    <w:p>
      <w:pPr>
        <w:pStyle w:val="Heading2"/>
      </w:pPr>
      <w:r>
        <w:t xml:space="preserve">3.2 Break-glass (emergency access) account</w:t>
      </w:r>
    </w:p>
    <w:p>
      <w:pPr>
        <w:spacing w:after="120"/>
      </w:pPr>
      <w:r>
        <w:t xml:space="preserve">Create a cloud-only Global Administrator break-glass account in the tenant </w:t>
      </w:r>
      <w:r>
        <w:rPr>
          <w:b/>
          <w:bCs/>
        </w:rPr>
        <w:t xml:space="preserve">before</w:t>
      </w:r>
      <w:r>
        <w:t xml:space="preserve"> you enable any Conditional Access or Entra-login enforcement in the lab, and exclude it from every CA policy. This is a tenant task outside the template; the kit does not create it. </w:t>
      </w:r>
      <w:r>
        <w:rPr>
          <w:rFonts w:ascii="Consolas" w:cs="Consolas" w:eastAsia="Consolas" w:hAnsi="Consolas"/>
          <w:sz w:val="18"/>
          <w:szCs w:val="18"/>
        </w:rPr>
        <w:t xml:space="preserve">Post-Deploy.ps1</w:t>
      </w:r>
      <w:r>
        <w:t xml:space="preserve"> prints the same reminder.</w:t>
      </w:r>
    </w:p>
    <w:p>
      <w:pPr>
        <w:pStyle w:val="Heading2"/>
      </w:pPr>
      <w:r>
        <w:t xml:space="preserve">3.3 Verified domain for the lab user</w:t>
      </w:r>
    </w:p>
    <w:p>
      <w:pPr>
        <w:spacing w:after="120"/>
      </w:pPr>
      <w:r>
        <w:t xml:space="preserve">The lab user's UPN suffix must be a domain the tenant has verified (otherwise Intune enrollment fails with </w:t>
      </w:r>
      <w:r>
        <w:rPr>
          <w:rFonts w:ascii="Consolas" w:cs="Consolas" w:eastAsia="Consolas" w:hAnsi="Consolas"/>
          <w:sz w:val="18"/>
          <w:szCs w:val="18"/>
        </w:rPr>
        <w:t xml:space="preserve">0xCAA9001F</w:t>
      </w:r>
      <w:r>
        <w:t xml:space="preserve">, troubleshooting #45). On a fresh tenant that is only </w:t>
      </w:r>
      <w:r>
        <w:rPr>
          <w:rFonts w:ascii="Consolas" w:cs="Consolas" w:eastAsia="Consolas" w:hAnsi="Consolas"/>
          <w:sz w:val="18"/>
          <w:szCs w:val="18"/>
        </w:rPr>
        <w:t xml:space="preserve">&lt;tenant&gt;.onmicrosoft.com</w:t>
      </w:r>
      <w:r>
        <w:t xml:space="preserve"> — Microsoft Entra ID → Custom domain names. Use it on the Lab Options tab.</w:t>
      </w:r>
    </w:p>
    <w:p>
      <w:pPr>
        <w:pStyle w:val="Heading1"/>
        <w:pageBreakBefore/>
      </w:pPr>
      <w:r>
        <w:t xml:space="preserve">4. Deploy from the portal (Deploy to Azure button)</w:t>
      </w:r>
    </w:p>
    <w:p>
      <w:pPr>
        <w:pStyle w:val="Heading2"/>
      </w:pPr>
      <w:r>
        <w:t xml:space="preserve">4.1 Open the form</w:t>
      </w:r>
    </w:p>
    <w:p>
      <w:pPr>
        <w:spacing w:after="120"/>
      </w:pPr>
      <w:r>
        <w:t xml:space="preserve">In the repository README click </w:t>
      </w:r>
      <w:r>
        <w:rPr>
          <w:b/>
          <w:bCs/>
        </w:rPr>
        <w:t xml:space="preserve">Deploy to Azure</w:t>
      </w:r>
      <w:r>
        <w:t xml:space="preserve"> (the button without </w:t>
      </w:r>
      <w:r>
        <w:rPr>
          <w:i/>
          <w:iCs/>
        </w:rPr>
        <w:t xml:space="preserve">Gov</w:t>
      </w:r>
      <w:r>
        <w:t xml:space="preserve">). It opens </w:t>
      </w:r>
      <w:r>
        <w:rPr>
          <w:rFonts w:ascii="Consolas" w:cs="Consolas" w:eastAsia="Consolas" w:hAnsi="Consolas"/>
          <w:sz w:val="18"/>
          <w:szCs w:val="18"/>
        </w:rPr>
        <w:t xml:space="preserve">portal.azure.com</w:t>
      </w:r>
      <w:r>
        <w:t xml:space="preserve"> with the kit's </w:t>
      </w:r>
      <w:r>
        <w:rPr>
          <w:rFonts w:ascii="Consolas" w:cs="Consolas" w:eastAsia="Consolas" w:hAnsi="Consolas"/>
          <w:sz w:val="18"/>
          <w:szCs w:val="18"/>
        </w:rPr>
        <w:t xml:space="preserve">solution.json</w:t>
      </w:r>
      <w:r>
        <w:t xml:space="preserve"> and </w:t>
      </w:r>
      <w:r>
        <w:rPr>
          <w:rFonts w:ascii="Consolas" w:cs="Consolas" w:eastAsia="Consolas" w:hAnsi="Consolas"/>
          <w:sz w:val="18"/>
          <w:szCs w:val="18"/>
        </w:rPr>
        <w:t xml:space="preserve">uiDefinition.json</w:t>
      </w:r>
      <w:r>
        <w:t xml:space="preserve"> loaded straight from GitHub (the form title reads </w:t>
      </w:r>
      <w:r>
        <w:rPr>
          <w:i/>
          <w:iCs/>
        </w:rPr>
        <w:t xml:space="preserve">MLZ Security Lab Starter Kit</w:t>
      </w:r>
      <w:r>
        <w:t xml:space="preserve">).</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README deploy buttons</w:t>
      </w:r>
    </w:p>
    <w:p>
      <w:pPr>
        <w:spacing w:after="120"/>
      </w:pPr>
      <w:r>
        <w:t xml:space="preserve">The form is </w:t>
      </w:r>
      <w:r>
        <w:rPr>
          <w:b/>
          <w:bCs/>
        </w:rPr>
        <w:t xml:space="preserve">cloud-aware</w:t>
      </w:r>
      <w:r>
        <w:t xml:space="preserve">: for any region that is not </w:t>
      </w:r>
      <w:r>
        <w:rPr>
          <w:rFonts w:ascii="Consolas" w:cs="Consolas" w:eastAsia="Consolas" w:hAnsi="Consolas"/>
          <w:sz w:val="18"/>
          <w:szCs w:val="18"/>
        </w:rPr>
        <w:t xml:space="preserve">usgov*</w:t>
      </w:r>
      <w:r>
        <w:t xml:space="preserve"> / </w:t>
      </w:r>
      <w:r>
        <w:rPr>
          <w:rFonts w:ascii="Consolas" w:cs="Consolas" w:eastAsia="Consolas" w:hAnsi="Consolas"/>
          <w:sz w:val="18"/>
          <w:szCs w:val="18"/>
        </w:rPr>
        <w:t xml:space="preserve">usdod*</w:t>
      </w:r>
      <w:r>
        <w:t xml:space="preserve"> it shows the full Commercial Defender plan list (App Service and APIs included), uses the portal's live VM size picker, and derives the </w:t>
      </w:r>
      <w:r>
        <w:rPr>
          <w:rFonts w:ascii="Consolas" w:cs="Consolas" w:eastAsia="Consolas" w:hAnsi="Consolas"/>
          <w:sz w:val="18"/>
          <w:szCs w:val="18"/>
        </w:rPr>
        <w:t xml:space="preserve">.com</w:t>
      </w:r>
      <w:r>
        <w:t xml:space="preserve"> cloud endpoints for the firewall rules, Intune, MDE and Arc.</w:t>
      </w:r>
    </w:p>
    <w:p>
      <w:pPr>
        <w:pBdr>
          <w:left w:val="single" w:color="C09000" w:sz="18" w:space="8"/>
        </w:pBdr>
        <w:shd w:fill="FFF4CE" w:color="auto" w:val="clear"/>
        <w:spacing w:after="160" w:before="60"/>
        <w:ind w:left="240" w:right="240"/>
      </w:pPr>
      <w:r>
        <w:rPr>
          <w:i/>
          <w:iCs/>
        </w:rPr>
        <w:t xml:space="preserve">GitHub's raw-file CDN caches </w:t>
      </w:r>
      <w:r>
        <w:rPr>
          <w:rFonts w:ascii="Consolas" w:cs="Consolas" w:eastAsia="Consolas" w:hAnsi="Consolas"/>
          <w:i/>
          <w:iCs/>
          <w:sz w:val="18"/>
          <w:szCs w:val="18"/>
        </w:rPr>
        <w:t xml:space="preserve">main</w:t>
      </w:r>
      <w:r>
        <w:rPr>
          <w:i/>
          <w:iCs/>
        </w:rPr>
        <w:t xml:space="preserve"> for up to five minutes. If you have just pushed a change and the form still shows the old one, replace </w:t>
      </w:r>
      <w:r>
        <w:rPr>
          <w:rFonts w:ascii="Consolas" w:cs="Consolas" w:eastAsia="Consolas" w:hAnsi="Consolas"/>
          <w:i/>
          <w:iCs/>
          <w:sz w:val="18"/>
          <w:szCs w:val="18"/>
        </w:rPr>
        <w:t xml:space="preserve">main</w:t>
      </w:r>
      <w:r>
        <w:rPr>
          <w:i/>
          <w:iCs/>
        </w:rPr>
        <w:t xml:space="preserve"> in both URLs of the button link with the commit hash.</w:t>
      </w:r>
    </w:p>
    <w:p>
      <w:pPr>
        <w:pStyle w:val="Heading2"/>
      </w:pPr>
      <w:r>
        <w:t xml:space="preserve">4.2 Basics</w:t>
      </w:r>
    </w:p>
    <w:p>
      <w:pPr>
        <w:spacing w:after="120"/>
      </w:pPr>
      <w:r>
        <w:t xml:space="preserve">Pick the </w:t>
      </w:r>
      <w:r>
        <w:rPr>
          <w:b/>
          <w:bCs/>
        </w:rPr>
        <w:t xml:space="preserve">subscription</w:t>
      </w:r>
      <w:r>
        <w:t xml:space="preserve"> first (the form defaults to the first one in the tenant — check it), then the </w:t>
      </w:r>
      <w:r>
        <w:rPr>
          <w:b/>
          <w:bCs/>
        </w:rPr>
        <w:t xml:space="preserve">region from step 2.4</w:t>
      </w:r>
      <w:r>
        <w:t xml:space="preserve">, then the naming inputs. The resource prefix is derived from identifier + environment + region + workload: </w:t>
      </w:r>
      <w:r>
        <w:rPr>
          <w:rFonts w:ascii="Consolas" w:cs="Consolas" w:eastAsia="Consolas" w:hAnsi="Consolas"/>
          <w:sz w:val="18"/>
          <w:szCs w:val="18"/>
        </w:rPr>
        <w:t xml:space="preserve">mca</w:t>
      </w:r>
      <w:r>
        <w:t xml:space="preserve"> / </w:t>
      </w:r>
      <w:r>
        <w:rPr>
          <w:rFonts w:ascii="Consolas" w:cs="Consolas" w:eastAsia="Consolas" w:hAnsi="Consolas"/>
          <w:sz w:val="18"/>
          <w:szCs w:val="18"/>
        </w:rPr>
        <w:t xml:space="preserve">dev</w:t>
      </w:r>
      <w:r>
        <w:t xml:space="preserve"> / </w:t>
      </w:r>
      <w:r>
        <w:rPr>
          <w:rFonts w:ascii="Consolas" w:cs="Consolas" w:eastAsia="Consolas" w:hAnsi="Consolas"/>
          <w:sz w:val="18"/>
          <w:szCs w:val="18"/>
        </w:rPr>
        <w:t xml:space="preserve">seclab</w:t>
      </w:r>
      <w:r>
        <w:t xml:space="preserve"> / </w:t>
      </w:r>
      <w:r>
        <w:rPr>
          <w:rFonts w:ascii="Consolas" w:cs="Consolas" w:eastAsia="Consolas" w:hAnsi="Consolas"/>
          <w:sz w:val="18"/>
          <w:szCs w:val="18"/>
        </w:rPr>
        <w:t xml:space="preserve">sec</w:t>
      </w:r>
      <w:r>
        <w:t xml:space="preserve"> in West US 2 produce resource groups </w:t>
      </w:r>
      <w:r>
        <w:rPr>
          <w:rFonts w:ascii="Consolas" w:cs="Consolas" w:eastAsia="Consolas" w:hAnsi="Consolas"/>
          <w:sz w:val="18"/>
          <w:szCs w:val="18"/>
        </w:rPr>
        <w:t xml:space="preserve">mca-dev-usw2-hub-rg-network</w:t>
      </w:r>
      <w:r>
        <w:t xml:space="preserve">, </w:t>
      </w:r>
      <w:r>
        <w:rPr>
          <w:rFonts w:ascii="Consolas" w:cs="Consolas" w:eastAsia="Consolas" w:hAnsi="Consolas"/>
          <w:sz w:val="18"/>
          <w:szCs w:val="18"/>
        </w:rPr>
        <w:t xml:space="preserve">mca-dev-usw2-seclab-rg-network</w:t>
      </w:r>
      <w:r>
        <w:t xml:space="preserve">, …; the </w:t>
      </w:r>
      <w:r>
        <w:rPr>
          <w:i/>
          <w:iCs/>
        </w:rPr>
        <w:t xml:space="preserve">Resource Prefix</w:t>
      </w:r>
      <w:r>
        <w:t xml:space="preserve"> </w:t>
      </w:r>
      <w:r>
        <w:rPr>
          <w:rFonts w:ascii="Consolas" w:cs="Consolas" w:eastAsia="Consolas" w:hAnsi="Consolas"/>
          <w:sz w:val="18"/>
          <w:szCs w:val="18"/>
        </w:rPr>
        <w:t xml:space="preserve">lab</w:t>
      </w:r>
      <w:r>
        <w:t xml:space="preserve"> names the VMs. The identifier accepts 1–3 characters only.</w:t>
      </w:r>
    </w:p>
    <w:p>
      <w:pPr>
        <w:spacing w:after="120"/>
      </w:pPr>
      <w:r>
        <w:t xml:space="preserve">Fill Basics </w:t>
      </w:r>
      <w:r>
        <w:rPr>
          <w:b/>
          <w:bCs/>
        </w:rPr>
        <w:t xml:space="preserve">completely before</w:t>
      </w:r>
      <w:r>
        <w:t xml:space="preserve"> the other tabs and do not come back to it: changing the region or subscription later resets the Compute tab's image and size selections.</w:t>
      </w:r>
    </w:p>
    <w:p>
      <w:pPr>
        <w:keepNext/>
        <w:spacing w:after="20" w:before="60"/>
        <w:jc w:val="center"/>
      </w:pPr>
      <w:r>
        <w:drawing>
          <wp:inline distT="0" distB="0" distL="0" distR="0">
            <wp:extent cx="61722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72200" cy="3390900"/>
                    </a:xfrm>
                    <a:prstGeom prst="rect">
                      <a:avLst/>
                    </a:prstGeom>
                  </pic:spPr>
                </pic:pic>
              </a:graphicData>
            </a:graphic>
          </wp:inline>
        </w:drawing>
      </w:r>
    </w:p>
    <w:p>
      <w:pPr>
        <w:spacing w:after="200"/>
        <w:jc w:val="center"/>
      </w:pPr>
      <w:r>
        <w:rPr>
          <w:i/>
          <w:iCs/>
          <w:color w:val="595959"/>
          <w:sz w:val="17"/>
          <w:szCs w:val="17"/>
        </w:rPr>
        <w:t xml:space="preserve">Figure: Basics filled</w:t>
      </w:r>
    </w:p>
    <w:p>
      <w:pPr>
        <w:pStyle w:val="Heading2"/>
      </w:pPr>
      <w:r>
        <w:t xml:space="preserve">4.3 Networking</w:t>
      </w:r>
    </w:p>
    <w:p>
      <w:pPr>
        <w:spacing w:after="120"/>
      </w:pPr>
      <w:r>
        <w:t xml:space="preserve">Leave Bastion on. The Tier-3 VNet is </w:t>
      </w:r>
      <w:r>
        <w:rPr>
          <w:rFonts w:ascii="Consolas" w:cs="Consolas" w:eastAsia="Consolas" w:hAnsi="Consolas"/>
          <w:sz w:val="18"/>
          <w:szCs w:val="18"/>
        </w:rPr>
        <w:t xml:space="preserve">10.60.0.0/24</w:t>
      </w:r>
      <w:r>
        <w:t xml:space="preserve">; set the </w:t>
      </w:r>
      <w:r>
        <w:rPr>
          <w:b/>
          <w:bCs/>
        </w:rPr>
        <w:t xml:space="preserve">subnet</w:t>
      </w:r>
      <w:r>
        <w:t xml:space="preserve"> to </w:t>
      </w:r>
      <w:r>
        <w:rPr>
          <w:rFonts w:ascii="Consolas" w:cs="Consolas" w:eastAsia="Consolas" w:hAnsi="Consolas"/>
          <w:sz w:val="18"/>
          <w:szCs w:val="18"/>
        </w:rPr>
        <w:t xml:space="preserve">10.60.0.0/25</w:t>
      </w:r>
      <w:r>
        <w:t xml:space="preserve"> so the </w:t>
      </w:r>
      <w:r>
        <w:rPr>
          <w:rFonts w:ascii="Consolas" w:cs="Consolas" w:eastAsia="Consolas" w:hAnsi="Consolas"/>
          <w:sz w:val="18"/>
          <w:szCs w:val="18"/>
        </w:rPr>
        <w:t xml:space="preserve">10.60.0.128/28</w:t>
      </w:r>
      <w:r>
        <w:t xml:space="preserve"> resolver subnet can be added later without re-addressing. Domain controller IP </w:t>
      </w:r>
      <w:r>
        <w:rPr>
          <w:rFonts w:ascii="Consolas" w:cs="Consolas" w:eastAsia="Consolas" w:hAnsi="Consolas"/>
          <w:sz w:val="18"/>
          <w:szCs w:val="18"/>
        </w:rPr>
        <w:t xml:space="preserve">10.60.0.10</w:t>
      </w:r>
      <w:r>
        <w:t xml:space="preserve">.</w:t>
      </w:r>
    </w:p>
    <w:p>
      <w:pPr>
        <w:keepNext/>
        <w:spacing w:after="20" w:before="60"/>
        <w:jc w:val="center"/>
      </w:pPr>
      <w:r>
        <w:drawing>
          <wp:inline distT="0" distB="0" distL="0" distR="0">
            <wp:extent cx="61722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72200" cy="3390900"/>
                    </a:xfrm>
                    <a:prstGeom prst="rect">
                      <a:avLst/>
                    </a:prstGeom>
                  </pic:spPr>
                </pic:pic>
              </a:graphicData>
            </a:graphic>
          </wp:inline>
        </w:drawing>
      </w:r>
    </w:p>
    <w:p>
      <w:pPr>
        <w:spacing w:after="200"/>
        <w:jc w:val="center"/>
      </w:pPr>
      <w:r>
        <w:rPr>
          <w:i/>
          <w:iCs/>
          <w:color w:val="595959"/>
          <w:sz w:val="17"/>
          <w:szCs w:val="17"/>
        </w:rPr>
        <w:t xml:space="preserve">Figure: Networking</w:t>
      </w:r>
    </w:p>
    <w:p>
      <w:pPr>
        <w:pStyle w:val="Heading2"/>
      </w:pPr>
      <w:r>
        <w:t xml:space="preserve">4.4 Security and Compliance</w:t>
      </w:r>
    </w:p>
    <w:p>
      <w:pPr>
        <w:spacing w:after="120"/>
      </w:pPr>
      <w:r>
        <w:t xml:space="preserve">Enter the security contact e-mail, then enable the Defender for Cloud base plan and the plans you want. This guide turned on everything the form offers except APIs: CSPM, Servers (P2), Storage, SQL, Containers, </w:t>
      </w:r>
      <w:r>
        <w:rPr>
          <w:b/>
          <w:bCs/>
        </w:rPr>
        <w:t xml:space="preserve">App Service</w:t>
      </w:r>
      <w:r>
        <w:t xml:space="preserve"> (Commercial only), Key Vault, Resource Manager, open-source relational databases, Cosmos DB. Each plan is billed separately. The template creates the plans </w:t>
      </w:r>
      <w:r>
        <w:rPr>
          <w:b/>
          <w:bCs/>
        </w:rPr>
        <w:t xml:space="preserve">one at a time</w:t>
      </w:r>
      <w:r>
        <w:t xml:space="preserve"> — Commercial rejects concurrent plan updates (troubleshooting #49) — so they appear in the deployment list one after another over the first two minutes.</w:t>
      </w:r>
    </w:p>
    <w:p>
      <w:pPr>
        <w:spacing w:after="120"/>
      </w:pPr>
      <w:r>
        <w:t xml:space="preserve">Policy: check </w:t>
      </w:r>
      <w:r>
        <w:rPr>
          <w:b/>
          <w:bCs/>
        </w:rPr>
        <w:t xml:space="preserve">Apply MLZ built-in policy set</w:t>
      </w:r>
      <w:r>
        <w:t xml:space="preserve"> first (the NIST box is greyed out until it is on), then </w:t>
      </w:r>
      <w:r>
        <w:rPr>
          <w:b/>
          <w:bCs/>
        </w:rPr>
        <w:t xml:space="preserve">NIST SP 800-53 Rev. 5</w:t>
      </w:r>
      <w:r>
        <w:t xml:space="preserve">; keep </w:t>
      </w:r>
      <w:r>
        <w:rPr>
          <w:b/>
          <w:bCs/>
        </w:rPr>
        <w:t xml:space="preserve">Microsoft cloud security benchmark</w:t>
      </w:r>
      <w:r>
        <w:t xml:space="preserve"> (default on). All initiatives are assigned in audit-only mode. Enable </w:t>
      </w:r>
      <w:r>
        <w:rPr>
          <w:b/>
          <w:bCs/>
        </w:rPr>
        <w:t xml:space="preserve">Send Activity Log to Log Analytics</w:t>
      </w:r>
      <w:r>
        <w:t xml:space="preserve"> and </w:t>
      </w:r>
      <w:r>
        <w:rPr>
          <w:b/>
          <w:bCs/>
        </w:rPr>
        <w:t xml:space="preserve">Microsoft Sentinel</w:t>
      </w:r>
      <w:r>
        <w:t xml:space="preserve"> with a </w:t>
      </w:r>
      <w:r>
        <w:rPr>
          <w:b/>
          <w:bCs/>
        </w:rPr>
        <w:t xml:space="preserve">new</w:t>
      </w:r>
      <w:r>
        <w:t xml:space="preserve"> workspace named </w:t>
      </w:r>
      <w:r>
        <w:rPr>
          <w:rFonts w:ascii="Consolas" w:cs="Consolas" w:eastAsia="Consolas" w:hAnsi="Consolas"/>
          <w:sz w:val="18"/>
          <w:szCs w:val="18"/>
        </w:rPr>
        <w:t xml:space="preserve">law-mca-lab</w:t>
      </w:r>
      <w:r>
        <w:t xml:space="preserve">.</w:t>
      </w:r>
    </w:p>
    <w:p>
      <w:pPr>
        <w:spacing w:after="120"/>
      </w:pPr>
      <w:r>
        <w:t xml:space="preserve">CSPM coverage samples: SQL, Key Vault and App Service on; API Management off (adds ~45 minutes and ~$50/month).</w:t>
      </w:r>
    </w:p>
    <w:p>
      <w:pPr>
        <w:keepNext/>
        <w:spacing w:after="20" w:before="60"/>
        <w:jc w:val="center"/>
      </w:pPr>
      <w:r>
        <w:drawing>
          <wp:inline distT="0" distB="0" distL="0" distR="0">
            <wp:extent cx="61722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72200" cy="3390900"/>
                    </a:xfrm>
                    <a:prstGeom prst="rect">
                      <a:avLst/>
                    </a:prstGeom>
                  </pic:spPr>
                </pic:pic>
              </a:graphicData>
            </a:graphic>
          </wp:inline>
        </w:drawing>
      </w:r>
    </w:p>
    <w:p>
      <w:pPr>
        <w:spacing w:after="200"/>
        <w:jc w:val="center"/>
      </w:pPr>
      <w:r>
        <w:rPr>
          <w:i/>
          <w:iCs/>
          <w:color w:val="595959"/>
          <w:sz w:val="17"/>
          <w:szCs w:val="17"/>
        </w:rPr>
        <w:t xml:space="preserve">Figure: Defender plans (Commercial list)</w:t>
      </w:r>
    </w:p>
    <w:p>
      <w:pPr>
        <w:keepNext/>
        <w:spacing w:after="20" w:before="60"/>
        <w:jc w:val="center"/>
      </w:pPr>
      <w:r>
        <w:drawing>
          <wp:inline distT="0" distB="0" distL="0" distR="0">
            <wp:extent cx="61722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72200" cy="3390900"/>
                    </a:xfrm>
                    <a:prstGeom prst="rect">
                      <a:avLst/>
                    </a:prstGeom>
                  </pic:spPr>
                </pic:pic>
              </a:graphicData>
            </a:graphic>
          </wp:inline>
        </w:drawing>
      </w:r>
    </w:p>
    <w:p>
      <w:pPr>
        <w:spacing w:after="200"/>
        <w:jc w:val="center"/>
      </w:pPr>
      <w:r>
        <w:rPr>
          <w:i/>
          <w:iCs/>
          <w:color w:val="595959"/>
          <w:sz w:val="17"/>
          <w:szCs w:val="17"/>
        </w:rPr>
        <w:t xml:space="preserve">Figure: Policy, Activity Log, Sentinel workspace, samples</w:t>
      </w:r>
    </w:p>
    <w:p>
      <w:pPr>
        <w:pStyle w:val="Heading2"/>
      </w:pPr>
      <w:r>
        <w:t xml:space="preserve">4.5 Lab Options</w:t>
      </w:r>
    </w:p>
    <w:p>
      <w:pPr>
        <w:spacing w:after="120"/>
      </w:pPr>
      <w:r>
        <w:t xml:space="preserve">Enter the verified UPN suffix (</w:t>
      </w:r>
      <w:r>
        <w:rPr>
          <w:rFonts w:ascii="Consolas" w:cs="Consolas" w:eastAsia="Consolas" w:hAnsi="Consolas"/>
          <w:sz w:val="18"/>
          <w:szCs w:val="18"/>
        </w:rPr>
        <w:t xml:space="preserve">contoso.onmicrosoft.com</w:t>
      </w:r>
      <w:r>
        <w:t xml:space="preserve">) and the lab user name. Keep the three Linux servers, the lab firewall rules, the AzureCloud service-tag allowance and </w:t>
      </w:r>
      <w:r>
        <w:rPr>
          <w:b/>
          <w:bCs/>
        </w:rPr>
        <w:t xml:space="preserve">Enable all matching built-in Sentinel analytics rules + UEBA</w:t>
      </w:r>
      <w:r>
        <w:t xml:space="preserve"> on. Leave </w:t>
      </w:r>
      <w:r>
        <w:rPr>
          <w:i/>
          <w:iCs/>
        </w:rPr>
        <w:t xml:space="preserve">Run the Sentinel content enablement inline</w:t>
      </w:r>
      <w:r>
        <w:t xml:space="preserve"> off — section 5 runs it from Cloud Shell, where you can watch it. Turn on </w:t>
      </w:r>
      <w:r>
        <w:rPr>
          <w:b/>
          <w:bCs/>
        </w:rPr>
        <w:t xml:space="preserve">Azure Arc Private Link Scope</w:t>
      </w:r>
      <w:r>
        <w:t xml:space="preserve">; leave the DNS resolver off.</w:t>
      </w:r>
    </w:p>
    <w:p>
      <w:pPr>
        <w:keepNext/>
        <w:spacing w:after="20" w:before="60"/>
        <w:jc w:val="center"/>
      </w:pPr>
      <w:r>
        <w:drawing>
          <wp:inline distT="0" distB="0" distL="0" distR="0">
            <wp:extent cx="61722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72200" cy="3390900"/>
                    </a:xfrm>
                    <a:prstGeom prst="rect">
                      <a:avLst/>
                    </a:prstGeom>
                  </pic:spPr>
                </pic:pic>
              </a:graphicData>
            </a:graphic>
          </wp:inline>
        </w:drawing>
      </w:r>
    </w:p>
    <w:p>
      <w:pPr>
        <w:spacing w:after="200"/>
        <w:jc w:val="center"/>
      </w:pPr>
      <w:r>
        <w:rPr>
          <w:i/>
          <w:iCs/>
          <w:color w:val="595959"/>
          <w:sz w:val="17"/>
          <w:szCs w:val="17"/>
        </w:rPr>
        <w:t xml:space="preserve">Figure: Lab Options filled</w:t>
      </w:r>
    </w:p>
    <w:p>
      <w:pPr>
        <w:pStyle w:val="Heading2"/>
      </w:pPr>
      <w:r>
        <w:t xml:space="preserve">4.6 Identity</w:t>
      </w:r>
    </w:p>
    <w:p>
      <w:pPr>
        <w:spacing w:after="120"/>
      </w:pPr>
      <w:r>
        <w:t xml:space="preserve">Admin username, the admin and DSRM passwords, the optional lab user password, AD domain and NetBIOS name, and the Entra group </w:t>
      </w:r>
      <w:r>
        <w:rPr>
          <w:b/>
          <w:bCs/>
        </w:rPr>
        <w:t xml:space="preserve">object ID</w:t>
      </w:r>
      <w:r>
        <w:t xml:space="preserve"> from step 3.1. Keep </w:t>
      </w:r>
      <w:r>
        <w:rPr>
          <w:i/>
          <w:iCs/>
        </w:rPr>
        <w:t xml:space="preserve">Assign Virtual Machine Administrator Login role</w:t>
      </w:r>
      <w:r>
        <w:t xml:space="preserve"> checked. </w:t>
      </w:r>
      <w:r>
        <w:rPr>
          <w:b/>
          <w:bCs/>
        </w:rPr>
        <w:t xml:space="preserve">Type `CORP` into the NetBIOS field</w:t>
      </w:r>
      <w:r>
        <w:t xml:space="preserve"> — it shows </w:t>
      </w:r>
      <w:r>
        <w:rPr>
          <w:rFonts w:ascii="Consolas" w:cs="Consolas" w:eastAsia="Consolas" w:hAnsi="Consolas"/>
          <w:sz w:val="18"/>
          <w:szCs w:val="18"/>
        </w:rPr>
        <w:t xml:space="preserve">CORP</w:t>
      </w:r>
      <w:r>
        <w:t xml:space="preserve"> as a placeholder, and Review + create fails with </w:t>
      </w:r>
      <w:r>
        <w:rPr>
          <w:i/>
          <w:iCs/>
        </w:rPr>
        <w:t xml:space="preserve">The value must not be empty</w:t>
      </w:r>
      <w:r>
        <w:t xml:space="preserve"> if you leave it.</w:t>
      </w:r>
    </w:p>
    <w:p>
      <w:pPr>
        <w:spacing w:after="120"/>
      </w:pPr>
      <w:r>
        <w:t xml:space="preserve">Which account signs in 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VM</w:t>
            </w:r>
          </w:p>
        </w:tc>
        <w:tc>
          <w:tcPr>
            <w:tcW w:type="dxa" w:w="0"/>
            <w:shd w:fill="DCE6F1" w:color="auto" w:val="clear"/>
            <w:tcMar>
              <w:top w:type="dxa" w:w="60"/>
              <w:left w:type="dxa" w:w="80"/>
              <w:bottom w:type="dxa" w:w="60"/>
              <w:right w:type="dxa" w:w="80"/>
            </w:tcMar>
          </w:tcPr>
          <w:p>
            <w:pPr>
              <w:spacing w:after="0"/>
            </w:pPr>
            <w:r>
              <w:rPr>
                <w:b/>
                <w:bCs/>
                <w:sz w:val="18"/>
                <w:szCs w:val="18"/>
              </w:rPr>
              <w:t xml:space="preserve">Account</w:t>
            </w:r>
          </w:p>
        </w:tc>
        <w:tc>
          <w:tcPr>
            <w:tcW w:type="dxa" w:w="0"/>
            <w:shd w:fill="DCE6F1" w:color="auto" w:val="clear"/>
            <w:tcMar>
              <w:top w:type="dxa" w:w="60"/>
              <w:left w:type="dxa" w:w="80"/>
              <w:bottom w:type="dxa" w:w="60"/>
              <w:right w:type="dxa" w:w="80"/>
            </w:tcMar>
          </w:tcPr>
          <w:p>
            <w:pPr>
              <w:spacing w:after="0"/>
            </w:pPr>
            <w:r>
              <w:rPr>
                <w:b/>
                <w:bCs/>
                <w:sz w:val="18"/>
                <w:szCs w:val="18"/>
              </w:rPr>
              <w:t xml:space="preserve">Password</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lab-dc01</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labadmin@corp.contoso.lab</w:t>
            </w:r>
            <w:r>
              <w:rPr>
                <w:b w:val="false"/>
                <w:bCs w:val="false"/>
                <w:sz w:val="18"/>
                <w:szCs w:val="18"/>
              </w:rPr>
              <w:t xml:space="preserve"> — the DC's local admin becomes the domain admin at promotion</w:t>
            </w:r>
          </w:p>
        </w:tc>
        <w:tc>
          <w:tcPr>
            <w:tcW w:type="dxa" w:w="0"/>
            <w:tcMar>
              <w:top w:type="dxa" w:w="60"/>
              <w:left w:type="dxa" w:w="80"/>
              <w:bottom w:type="dxa" w:w="60"/>
              <w:right w:type="dxa" w:w="80"/>
            </w:tcMar>
          </w:tcPr>
          <w:p>
            <w:pPr>
              <w:spacing w:after="0"/>
            </w:pPr>
            <w:r>
              <w:rPr>
                <w:b w:val="false"/>
                <w:bCs w:val="false"/>
                <w:sz w:val="18"/>
                <w:szCs w:val="18"/>
              </w:rPr>
              <w:t xml:space="preserve">Admin password</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lab-ms01</w:t>
            </w:r>
            <w:r>
              <w:rPr>
                <w:b w:val="false"/>
                <w:bCs w:val="false"/>
                <w:sz w:val="18"/>
                <w:szCs w:val="18"/>
              </w:rPr>
              <w:t xml:space="preserve">, </w:t>
            </w:r>
            <w:r>
              <w:rPr>
                <w:rFonts w:ascii="Consolas" w:cs="Consolas" w:eastAsia="Consolas" w:hAnsi="Consolas"/>
                <w:b w:val="false"/>
                <w:bCs w:val="false"/>
                <w:sz w:val="18"/>
                <w:szCs w:val="18"/>
              </w:rPr>
              <w:t xml:space="preserve">lab-ms02</w:t>
            </w:r>
            <w:r>
              <w:rPr>
                <w:b w:val="false"/>
                <w:bCs w:val="false"/>
                <w:sz w:val="18"/>
                <w:szCs w:val="18"/>
              </w:rPr>
              <w:t xml:space="preserve">, </w:t>
            </w: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03</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labadmin@corp.contoso.lab</w:t>
            </w:r>
            <w:r>
              <w:rPr>
                <w:b w:val="false"/>
                <w:bCs w:val="false"/>
                <w:sz w:val="18"/>
                <w:szCs w:val="18"/>
              </w:rPr>
              <w:t xml:space="preserve"> (Domain Admins); local </w:t>
            </w:r>
            <w:r>
              <w:rPr>
                <w:rFonts w:ascii="Consolas" w:cs="Consolas" w:eastAsia="Consolas" w:hAnsi="Consolas"/>
                <w:b w:val="false"/>
                <w:bCs w:val="false"/>
                <w:sz w:val="18"/>
                <w:szCs w:val="18"/>
              </w:rPr>
              <w:t xml:space="preserve">.\labadmin</w:t>
            </w:r>
            <w:r>
              <w:rPr>
                <w:b w:val="false"/>
                <w:bCs w:val="false"/>
                <w:sz w:val="18"/>
                <w:szCs w:val="18"/>
              </w:rPr>
              <w:t xml:space="preserve"> also exists</w:t>
            </w:r>
          </w:p>
        </w:tc>
        <w:tc>
          <w:tcPr>
            <w:tcW w:type="dxa" w:w="0"/>
            <w:tcMar>
              <w:top w:type="dxa" w:w="60"/>
              <w:left w:type="dxa" w:w="80"/>
              <w:bottom w:type="dxa" w:w="60"/>
              <w:right w:type="dxa" w:w="80"/>
            </w:tcMar>
          </w:tcPr>
          <w:p>
            <w:pPr>
              <w:spacing w:after="0"/>
            </w:pPr>
            <w:r>
              <w:rPr>
                <w:b w:val="false"/>
                <w:bCs w:val="false"/>
                <w:sz w:val="18"/>
                <w:szCs w:val="18"/>
              </w:rPr>
              <w:t xml:space="preserve">Admin password</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lab-rhel01</w:t>
            </w:r>
            <w:r>
              <w:rPr>
                <w:b w:val="false"/>
                <w:bCs w:val="false"/>
                <w:sz w:val="18"/>
                <w:szCs w:val="18"/>
              </w:rPr>
              <w:t xml:space="preserve">, </w:t>
            </w:r>
            <w:r>
              <w:rPr>
                <w:rFonts w:ascii="Consolas" w:cs="Consolas" w:eastAsia="Consolas" w:hAnsi="Consolas"/>
                <w:b w:val="false"/>
                <w:bCs w:val="false"/>
                <w:sz w:val="18"/>
                <w:szCs w:val="18"/>
              </w:rPr>
              <w:t xml:space="preserve">lab-ubu01</w:t>
            </w:r>
            <w:r>
              <w:rPr>
                <w:b w:val="false"/>
                <w:bCs w:val="false"/>
                <w:sz w:val="18"/>
                <w:szCs w:val="18"/>
              </w:rPr>
              <w:t xml:space="preserve">, </w:t>
            </w:r>
            <w:r>
              <w:rPr>
                <w:rFonts w:ascii="Consolas" w:cs="Consolas" w:eastAsia="Consolas" w:hAnsi="Consolas"/>
                <w:b w:val="false"/>
                <w:bCs w:val="false"/>
                <w:sz w:val="18"/>
                <w:szCs w:val="18"/>
              </w:rPr>
              <w:t xml:space="preserve">lab-sles01</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w:t>
            </w:r>
            <w:r>
              <w:rPr>
                <w:b w:val="false"/>
                <w:bCs w:val="false"/>
                <w:sz w:val="18"/>
                <w:szCs w:val="18"/>
              </w:rPr>
              <w:t xml:space="preserve"> (local), or your Entra account through Bastion </w:t>
            </w:r>
            <w:r>
              <w:rPr>
                <w:b w:val="false"/>
                <w:bCs w:val="false"/>
                <w:i/>
                <w:iCs/>
                <w:sz w:val="18"/>
                <w:szCs w:val="18"/>
              </w:rPr>
              <w:t xml:space="preserve">Microsoft Entra ID</w:t>
            </w:r>
          </w:p>
        </w:tc>
        <w:tc>
          <w:tcPr>
            <w:tcW w:type="dxa" w:w="0"/>
            <w:tcMar>
              <w:top w:type="dxa" w:w="60"/>
              <w:left w:type="dxa" w:w="80"/>
              <w:bottom w:type="dxa" w:w="60"/>
              <w:right w:type="dxa" w:w="80"/>
            </w:tcMar>
          </w:tcPr>
          <w:p>
            <w:pPr>
              <w:spacing w:after="0"/>
            </w:pPr>
            <w:r>
              <w:rPr>
                <w:b w:val="false"/>
                <w:bCs w:val="false"/>
                <w:sz w:val="18"/>
                <w:szCs w:val="18"/>
              </w:rPr>
              <w:t xml:space="preserve">Admin password / Entra sign-in</w:t>
            </w:r>
          </w:p>
        </w:tc>
      </w:tr>
      <w:tr>
        <w:tc>
          <w:tcPr>
            <w:tcW w:type="dxa" w:w="0"/>
            <w:tcMar>
              <w:top w:type="dxa" w:w="60"/>
              <w:left w:type="dxa" w:w="80"/>
              <w:bottom w:type="dxa" w:w="60"/>
              <w:right w:type="dxa" w:w="80"/>
            </w:tcMar>
          </w:tcPr>
          <w:p>
            <w:pPr>
              <w:spacing w:after="0"/>
            </w:pPr>
            <w:r>
              <w:rPr>
                <w:b w:val="false"/>
                <w:bCs w:val="false"/>
                <w:sz w:val="18"/>
                <w:szCs w:val="18"/>
              </w:rPr>
              <w:t xml:space="preserve">Clients, as a normal user</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lab.user@corp.contoso.lab</w:t>
            </w:r>
            <w:r>
              <w:rPr>
                <w:b w:val="false"/>
                <w:bCs w:val="false"/>
                <w:sz w:val="18"/>
                <w:szCs w:val="18"/>
              </w:rPr>
              <w:t xml:space="preserve"> or </w:t>
            </w:r>
            <w:r>
              <w:rPr>
                <w:rFonts w:ascii="Consolas" w:cs="Consolas" w:eastAsia="Consolas" w:hAnsi="Consolas"/>
                <w:b w:val="false"/>
                <w:bCs w:val="false"/>
                <w:sz w:val="18"/>
                <w:szCs w:val="18"/>
              </w:rPr>
              <w:t xml:space="preserve">lab.user@contoso.onmicrosoft.com</w:t>
            </w:r>
          </w:p>
        </w:tc>
        <w:tc>
          <w:tcPr>
            <w:tcW w:type="dxa" w:w="0"/>
            <w:tcMar>
              <w:top w:type="dxa" w:w="60"/>
              <w:left w:type="dxa" w:w="80"/>
              <w:bottom w:type="dxa" w:w="60"/>
              <w:right w:type="dxa" w:w="80"/>
            </w:tcMar>
          </w:tcPr>
          <w:p>
            <w:pPr>
              <w:spacing w:after="0"/>
            </w:pPr>
            <w:r>
              <w:rPr>
                <w:b w:val="false"/>
                <w:bCs w:val="false"/>
                <w:sz w:val="18"/>
                <w:szCs w:val="18"/>
              </w:rPr>
              <w:t xml:space="preserve">Lab user password</w:t>
            </w:r>
          </w:p>
        </w:tc>
      </w:tr>
      <w:tr>
        <w:tc>
          <w:tcPr>
            <w:tcW w:type="dxa" w:w="0"/>
            <w:tcMar>
              <w:top w:type="dxa" w:w="60"/>
              <w:left w:type="dxa" w:w="80"/>
              <w:bottom w:type="dxa" w:w="60"/>
              <w:right w:type="dxa" w:w="80"/>
            </w:tcMar>
          </w:tcPr>
          <w:p>
            <w:pPr>
              <w:spacing w:after="0"/>
            </w:pPr>
            <w:r>
              <w:rPr>
                <w:b w:val="false"/>
                <w:bCs w:val="false"/>
                <w:sz w:val="18"/>
                <w:szCs w:val="18"/>
              </w:rPr>
              <w:t xml:space="preserve">AD recovery mode</w:t>
            </w:r>
          </w:p>
        </w:tc>
        <w:tc>
          <w:tcPr>
            <w:tcW w:type="dxa" w:w="0"/>
            <w:tcMar>
              <w:top w:type="dxa" w:w="60"/>
              <w:left w:type="dxa" w:w="80"/>
              <w:bottom w:type="dxa" w:w="60"/>
              <w:right w:type="dxa" w:w="80"/>
            </w:tcMar>
          </w:tcPr>
          <w:p>
            <w:pPr>
              <w:spacing w:after="0"/>
            </w:pP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DSRM password</w:t>
            </w:r>
          </w:p>
        </w:tc>
      </w:tr>
    </w:tbl>
    <w:p>
      <w:pPr>
        <w:spacing w:after="120"/>
      </w:pPr>
    </w:p>
    <w:p>
      <w:pPr>
        <w:spacing w:after="120"/>
      </w:pPr>
      <w:r>
        <w:t xml:space="preserve">If you leave the lab user password blank, the user is created with a random password; reset it on the DC with </w:t>
      </w:r>
      <w:r>
        <w:rPr>
          <w:rFonts w:ascii="Consolas" w:cs="Consolas" w:eastAsia="Consolas" w:hAnsi="Consolas"/>
          <w:sz w:val="18"/>
          <w:szCs w:val="18"/>
        </w:rPr>
        <w:t xml:space="preserve">Set-ADAccountPassword lab.user -Reset -NewPassword (Read-Host -AsSecureString)</w:t>
      </w:r>
      <w:r>
        <w:t xml:space="preserve">.</w:t>
      </w:r>
    </w:p>
    <w:p>
      <w:pPr>
        <w:keepNext/>
        <w:spacing w:after="20" w:before="60"/>
        <w:jc w:val="center"/>
      </w:pPr>
      <w:r>
        <w:drawing>
          <wp:inline distT="0" distB="0" distL="0" distR="0">
            <wp:extent cx="61722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72200" cy="3390900"/>
                    </a:xfrm>
                    <a:prstGeom prst="rect">
                      <a:avLst/>
                    </a:prstGeom>
                  </pic:spPr>
                </pic:pic>
              </a:graphicData>
            </a:graphic>
          </wp:inline>
        </w:drawing>
      </w:r>
    </w:p>
    <w:p>
      <w:pPr>
        <w:spacing w:after="200"/>
        <w:jc w:val="center"/>
      </w:pPr>
      <w:r>
        <w:rPr>
          <w:i/>
          <w:iCs/>
          <w:color w:val="595959"/>
          <w:sz w:val="17"/>
          <w:szCs w:val="17"/>
        </w:rPr>
        <w:t xml:space="preserve">Figure: Identity filled</w:t>
      </w:r>
    </w:p>
    <w:p>
      <w:pPr>
        <w:pStyle w:val="Heading2"/>
      </w:pPr>
      <w:r>
        <w:t xml:space="preserve">4.7 Compute</w:t>
      </w:r>
    </w:p>
    <w:p>
      <w:pPr>
        <w:spacing w:after="120"/>
      </w:pPr>
      <w:r>
        <w:t xml:space="preserve">Server image Windows Server 2022 Gen2, client image </w:t>
      </w:r>
      <w:r>
        <w:rPr>
          <w:b/>
          <w:bCs/>
        </w:rPr>
        <w:t xml:space="preserve">Windows 11 → Enterprise 24H2</w:t>
      </w:r>
      <w:r>
        <w:t xml:space="preserve"> (pick the offer, then the SKU), and the VM sizes. On Commercial the three size fields are the portal's own </w:t>
      </w:r>
      <w:r>
        <w:rPr>
          <w:b/>
          <w:bCs/>
        </w:rPr>
        <w:t xml:space="preserve">size picker</w:t>
      </w:r>
      <w:r>
        <w:t xml:space="preserve">: it lists only the sizes this subscription can deploy in the region chosen on Basics and pre-selects the first available one (</w:t>
      </w:r>
      <w:r>
        <w:rPr>
          <w:rFonts w:ascii="Consolas" w:cs="Consolas" w:eastAsia="Consolas" w:hAnsi="Consolas"/>
          <w:sz w:val="18"/>
          <w:szCs w:val="18"/>
        </w:rPr>
        <w:t xml:space="preserve">Standard_D2as_v7</w:t>
      </w:r>
      <w:r>
        <w:t xml:space="preserve"> where offered — exactly what step 2.4 found). If the pre-selected size is what you want, there is nothing to click. To change it: </w:t>
      </w:r>
      <w:r>
        <w:rPr>
          <w:b/>
          <w:bCs/>
        </w:rPr>
        <w:t xml:space="preserve">Change size</w:t>
      </w:r>
      <w:r>
        <w:t xml:space="preserve"> → search the name → expand the series → select the row → </w:t>
      </w:r>
      <w:r>
        <w:rPr>
          <w:b/>
          <w:bCs/>
        </w:rPr>
        <w:t xml:space="preserve">Select</w:t>
      </w:r>
      <w:r>
        <w:t xml:space="preserve">.</w:t>
      </w:r>
    </w:p>
    <w:p>
      <w:pPr>
        <w:spacing w:after="120"/>
      </w:pPr>
      <w:r>
        <w:t xml:space="preserve">The Linux picker can stay greyed out (</w:t>
      </w:r>
      <w:r>
        <w:rPr>
          <w:i/>
          <w:iCs/>
        </w:rPr>
        <w:t xml:space="preserve">Change size</w:t>
      </w:r>
      <w:r>
        <w:t xml:space="preserve"> disabled) for a few seconds after the tab opens while the portal resolves the image; wait, or leave the tab and come back.</w:t>
      </w:r>
    </w:p>
    <w:p>
      <w:pPr>
        <w:keepNext/>
        <w:spacing w:after="20" w:before="60"/>
        <w:jc w:val="center"/>
      </w:pPr>
      <w:r>
        <w:drawing>
          <wp:inline distT="0" distB="0" distL="0" distR="0">
            <wp:extent cx="61722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72200" cy="3390900"/>
                    </a:xfrm>
                    <a:prstGeom prst="rect">
                      <a:avLst/>
                    </a:prstGeom>
                  </pic:spPr>
                </pic:pic>
              </a:graphicData>
            </a:graphic>
          </wp:inline>
        </w:drawing>
      </w:r>
    </w:p>
    <w:p>
      <w:pPr>
        <w:spacing w:after="200"/>
        <w:jc w:val="center"/>
      </w:pPr>
      <w:r>
        <w:rPr>
          <w:i/>
          <w:iCs/>
          <w:color w:val="595959"/>
          <w:sz w:val="17"/>
          <w:szCs w:val="17"/>
        </w:rPr>
        <w:t xml:space="preserve">Figure: Compute filled, three pickers on D2as_v7</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The size picker: six lab sizes, D2as_v7 pre-selected</w:t>
      </w:r>
    </w:p>
    <w:p>
      <w:pPr>
        <w:pStyle w:val="Heading2"/>
      </w:pPr>
      <w:r>
        <w:t xml:space="preserve">4.8 Review + create</w:t>
      </w:r>
    </w:p>
    <w:p>
      <w:pPr>
        <w:spacing w:after="120"/>
      </w:pPr>
      <w:r>
        <w:t xml:space="preserve">Validation runs the whole subscription-scope template. When it passes, check the parameter summary (region, sizes, workspace name, UPN suffix) and click </w:t>
      </w:r>
      <w:r>
        <w:rPr>
          <w:b/>
          <w:bCs/>
        </w:rPr>
        <w:t xml:space="preserve">Create</w:t>
      </w:r>
      <w:r>
        <w:t xml:space="preserve">. (If it fails with </w:t>
      </w:r>
      <w:r>
        <w:rPr>
          <w:i/>
          <w:iCs/>
        </w:rPr>
        <w:t xml:space="preserve">Required information is missing or not valid</w:t>
      </w:r>
      <w:r>
        <w:t xml:space="preserve"> and the Identity tab carries a red mark, a password field is empty or the two copies differ.)</w:t>
      </w:r>
    </w:p>
    <w:p>
      <w:pPr>
        <w:pStyle w:val="Heading2"/>
      </w:pPr>
      <w:r>
        <w:t xml:space="preserve">4.9 Watch the deployment</w:t>
      </w:r>
    </w:p>
    <w:p>
      <w:pPr>
        <w:spacing w:after="120"/>
      </w:pPr>
      <w:r>
        <w:t xml:space="preserve">The top-level deployment is </w:t>
      </w:r>
      <w:r>
        <w:rPr>
          <w:rFonts w:ascii="Consolas" w:cs="Consolas" w:eastAsia="Consolas" w:hAnsi="Consolas"/>
          <w:sz w:val="18"/>
          <w:szCs w:val="18"/>
        </w:rPr>
        <w:t xml:space="preserve">CustomDeployment-&lt;timestamp&gt;</w:t>
      </w:r>
      <w:r>
        <w:t xml:space="preserve">. It fans out into nested deployments: the Defender plans and policy assignments at subscription scope, </w:t>
      </w:r>
      <w:r>
        <w:rPr>
          <w:rFonts w:ascii="Consolas" w:cs="Consolas" w:eastAsia="Consolas" w:hAnsi="Consolas"/>
          <w:sz w:val="18"/>
          <w:szCs w:val="18"/>
        </w:rPr>
        <w:t xml:space="preserve">deploy-mlz-core</w:t>
      </w:r>
      <w:r>
        <w:t xml:space="preserve"> (hub), </w:t>
      </w:r>
      <w:r>
        <w:rPr>
          <w:rFonts w:ascii="Consolas" w:cs="Consolas" w:eastAsia="Consolas" w:hAnsi="Consolas"/>
          <w:sz w:val="18"/>
          <w:szCs w:val="18"/>
        </w:rPr>
        <w:t xml:space="preserve">deploy-tier3</w:t>
      </w:r>
      <w:r>
        <w:t xml:space="preserve">, </w:t>
      </w:r>
      <w:r>
        <w:rPr>
          <w:rFonts w:ascii="Consolas" w:cs="Consolas" w:eastAsia="Consolas" w:hAnsi="Consolas"/>
          <w:sz w:val="18"/>
          <w:szCs w:val="18"/>
        </w:rPr>
        <w:t xml:space="preserve">deploy-cspm-coverage</w:t>
      </w:r>
      <w:r>
        <w:t xml:space="preserve">, </w:t>
      </w:r>
      <w:r>
        <w:rPr>
          <w:rFonts w:ascii="Consolas" w:cs="Consolas" w:eastAsia="Consolas" w:hAnsi="Consolas"/>
          <w:sz w:val="18"/>
          <w:szCs w:val="18"/>
        </w:rPr>
        <w:t xml:space="preserve">deploy-ad-entra-vms</w:t>
      </w:r>
      <w:r>
        <w:t xml:space="preserve"> (DC promotion, joins, Linux), </w:t>
      </w:r>
      <w:r>
        <w:rPr>
          <w:rFonts w:ascii="Consolas" w:cs="Consolas" w:eastAsia="Consolas" w:hAnsi="Consolas"/>
          <w:sz w:val="18"/>
          <w:szCs w:val="18"/>
        </w:rPr>
        <w:t xml:space="preserve">deploy-security-lab</w:t>
      </w:r>
      <w:r>
        <w:t xml:space="preserve"> (workspace, DCRs, Sentinel onboarding) and </w:t>
      </w:r>
      <w:r>
        <w:rPr>
          <w:rFonts w:ascii="Consolas" w:cs="Consolas" w:eastAsia="Consolas" w:hAnsi="Consolas"/>
          <w:sz w:val="18"/>
          <w:szCs w:val="18"/>
        </w:rPr>
        <w:t xml:space="preserve">deploy-arc-pls</w:t>
      </w:r>
      <w:r>
        <w:t xml:space="preserve">.</w:t>
      </w:r>
    </w:p>
    <w:p>
      <w:pPr>
        <w:spacing w:after="120"/>
      </w:pPr>
      <w:r>
        <w:t xml:space="preserve">Timing on the successful Commercial run (West US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Phase</w:t>
            </w:r>
          </w:p>
        </w:tc>
        <w:tc>
          <w:tcPr>
            <w:tcW w:type="dxa" w:w="0"/>
            <w:shd w:fill="DCE6F1" w:color="auto" w:val="clear"/>
            <w:tcMar>
              <w:top w:type="dxa" w:w="60"/>
              <w:left w:type="dxa" w:w="80"/>
              <w:bottom w:type="dxa" w:w="60"/>
              <w:right w:type="dxa" w:w="80"/>
            </w:tcMar>
          </w:tcPr>
          <w:p>
            <w:pPr>
              <w:spacing w:after="0"/>
            </w:pPr>
            <w:r>
              <w:rPr>
                <w:b/>
                <w:bCs/>
                <w:sz w:val="18"/>
                <w:szCs w:val="18"/>
              </w:rPr>
              <w:t xml:space="preserve">Duration</w:t>
            </w:r>
          </w:p>
        </w:tc>
        <w:tc>
          <w:tcPr>
            <w:tcW w:type="dxa" w:w="0"/>
            <w:shd w:fill="DCE6F1" w:color="auto" w:val="clear"/>
            <w:tcMar>
              <w:top w:type="dxa" w:w="60"/>
              <w:left w:type="dxa" w:w="80"/>
              <w:bottom w:type="dxa" w:w="60"/>
              <w:right w:type="dxa" w:w="80"/>
            </w:tcMar>
          </w:tcPr>
          <w:p>
            <w:pPr>
              <w:spacing w:after="0"/>
            </w:pPr>
            <w:r>
              <w:rPr>
                <w:b/>
                <w:bCs/>
                <w:sz w:val="18"/>
                <w:szCs w:val="18"/>
              </w:rPr>
              <w:t xml:space="preserve">Notes</w:t>
            </w:r>
          </w:p>
        </w:tc>
      </w:tr>
      <w:tr>
        <w:tc>
          <w:tcPr>
            <w:tcW w:type="dxa" w:w="0"/>
            <w:tcMar>
              <w:top w:type="dxa" w:w="60"/>
              <w:left w:type="dxa" w:w="80"/>
              <w:bottom w:type="dxa" w:w="60"/>
              <w:right w:type="dxa" w:w="80"/>
            </w:tcMar>
          </w:tcPr>
          <w:p>
            <w:pPr>
              <w:spacing w:after="0"/>
            </w:pPr>
            <w:r>
              <w:rPr>
                <w:b w:val="false"/>
                <w:bCs w:val="false"/>
                <w:sz w:val="18"/>
                <w:szCs w:val="18"/>
              </w:rPr>
              <w:t xml:space="preserve">Defender plans + policy assignments</w:t>
            </w:r>
          </w:p>
        </w:tc>
        <w:tc>
          <w:tcPr>
            <w:tcW w:type="dxa" w:w="0"/>
            <w:tcMar>
              <w:top w:type="dxa" w:w="60"/>
              <w:left w:type="dxa" w:w="80"/>
              <w:bottom w:type="dxa" w:w="60"/>
              <w:right w:type="dxa" w:w="80"/>
            </w:tcMar>
          </w:tcPr>
          <w:p>
            <w:pPr>
              <w:spacing w:after="0"/>
            </w:pPr>
            <w:r>
              <w:rPr>
                <w:b w:val="false"/>
                <w:bCs w:val="false"/>
                <w:sz w:val="18"/>
                <w:szCs w:val="18"/>
              </w:rPr>
              <w:t xml:space="preserve">3 min</w:t>
            </w:r>
          </w:p>
        </w:tc>
        <w:tc>
          <w:tcPr>
            <w:tcW w:type="dxa" w:w="0"/>
            <w:tcMar>
              <w:top w:type="dxa" w:w="60"/>
              <w:left w:type="dxa" w:w="80"/>
              <w:bottom w:type="dxa" w:w="60"/>
              <w:right w:type="dxa" w:w="80"/>
            </w:tcMar>
          </w:tcPr>
          <w:p>
            <w:pPr>
              <w:spacing w:after="0"/>
            </w:pPr>
            <w:r>
              <w:rPr>
                <w:b w:val="false"/>
                <w:bCs w:val="false"/>
                <w:sz w:val="18"/>
                <w:szCs w:val="18"/>
              </w:rPr>
              <w:t xml:space="preserve">10 plans, sequential</w:t>
            </w:r>
          </w:p>
        </w:tc>
      </w:tr>
      <w:tr>
        <w:tc>
          <w:tcPr>
            <w:tcW w:type="dxa" w:w="0"/>
            <w:tcMar>
              <w:top w:type="dxa" w:w="60"/>
              <w:left w:type="dxa" w:w="80"/>
              <w:bottom w:type="dxa" w:w="60"/>
              <w:right w:type="dxa" w:w="80"/>
            </w:tcMar>
          </w:tcPr>
          <w:p>
            <w:pPr>
              <w:spacing w:after="0"/>
            </w:pPr>
            <w:r>
              <w:rPr>
                <w:b w:val="false"/>
                <w:bCs w:val="false"/>
                <w:sz w:val="18"/>
                <w:szCs w:val="18"/>
              </w:rPr>
              <w:t xml:space="preserve">MLZ core (hub firewall Premium, spokes, Bastion, monitoring, diagnostics)</w:t>
            </w:r>
          </w:p>
        </w:tc>
        <w:tc>
          <w:tcPr>
            <w:tcW w:type="dxa" w:w="0"/>
            <w:tcMar>
              <w:top w:type="dxa" w:w="60"/>
              <w:left w:type="dxa" w:w="80"/>
              <w:bottom w:type="dxa" w:w="60"/>
              <w:right w:type="dxa" w:w="80"/>
            </w:tcMar>
          </w:tcPr>
          <w:p>
            <w:pPr>
              <w:spacing w:after="0"/>
            </w:pPr>
            <w:r>
              <w:rPr>
                <w:b w:val="false"/>
                <w:bCs w:val="false"/>
                <w:sz w:val="18"/>
                <w:szCs w:val="18"/>
              </w:rPr>
              <w:t xml:space="preserve">≈ 32 min</w:t>
            </w:r>
          </w:p>
        </w:tc>
        <w:tc>
          <w:tcPr>
            <w:tcW w:type="dxa" w:w="0"/>
            <w:tcMar>
              <w:top w:type="dxa" w:w="60"/>
              <w:left w:type="dxa" w:w="80"/>
              <w:bottom w:type="dxa" w:w="60"/>
              <w:right w:type="dxa" w:w="80"/>
            </w:tcMar>
          </w:tcPr>
          <w:p>
            <w:pPr>
              <w:spacing w:after="0"/>
            </w:pPr>
            <w:r>
              <w:rPr>
                <w:b w:val="false"/>
                <w:bCs w:val="false"/>
                <w:sz w:val="18"/>
                <w:szCs w:val="18"/>
              </w:rPr>
              <w:t xml:space="preserve">firewall ≈ 12 min, Bastion ≈ 10 min</w:t>
            </w:r>
          </w:p>
        </w:tc>
      </w:tr>
      <w:tr>
        <w:tc>
          <w:tcPr>
            <w:tcW w:type="dxa" w:w="0"/>
            <w:tcMar>
              <w:top w:type="dxa" w:w="60"/>
              <w:left w:type="dxa" w:w="80"/>
              <w:bottom w:type="dxa" w:w="60"/>
              <w:right w:type="dxa" w:w="80"/>
            </w:tcMar>
          </w:tcPr>
          <w:p>
            <w:pPr>
              <w:spacing w:after="0"/>
            </w:pPr>
            <w:r>
              <w:rPr>
                <w:b w:val="false"/>
                <w:bCs w:val="false"/>
                <w:sz w:val="18"/>
                <w:szCs w:val="18"/>
              </w:rPr>
              <w:t xml:space="preserve">Tier-3 spoke + CSPM coverage</w:t>
            </w:r>
          </w:p>
        </w:tc>
        <w:tc>
          <w:tcPr>
            <w:tcW w:type="dxa" w:w="0"/>
            <w:tcMar>
              <w:top w:type="dxa" w:w="60"/>
              <w:left w:type="dxa" w:w="80"/>
              <w:bottom w:type="dxa" w:w="60"/>
              <w:right w:type="dxa" w:w="80"/>
            </w:tcMar>
          </w:tcPr>
          <w:p>
            <w:pPr>
              <w:spacing w:after="0"/>
            </w:pPr>
            <w:r>
              <w:rPr>
                <w:b w:val="false"/>
                <w:bCs w:val="false"/>
                <w:sz w:val="18"/>
                <w:szCs w:val="18"/>
              </w:rPr>
              <w:t xml:space="preserve">≈ 2 min</w:t>
            </w:r>
          </w:p>
        </w:tc>
        <w:tc>
          <w:tcPr>
            <w:tcW w:type="dxa" w:w="0"/>
            <w:tcMar>
              <w:top w:type="dxa" w:w="60"/>
              <w:left w:type="dxa" w:w="80"/>
              <w:bottom w:type="dxa" w:w="60"/>
              <w:right w:type="dxa" w:w="80"/>
            </w:tcMar>
          </w:tcPr>
          <w:p>
            <w:pPr>
              <w:spacing w:after="0"/>
            </w:pPr>
            <w:r>
              <w:rPr>
                <w:b w:val="false"/>
                <w:bCs w:val="false"/>
                <w:sz w:val="18"/>
                <w:szCs w:val="18"/>
              </w:rPr>
              <w:t xml:space="preserve">after the core</w:t>
            </w:r>
          </w:p>
        </w:tc>
      </w:tr>
      <w:tr>
        <w:tc>
          <w:tcPr>
            <w:tcW w:type="dxa" w:w="0"/>
            <w:tcMar>
              <w:top w:type="dxa" w:w="60"/>
              <w:left w:type="dxa" w:w="80"/>
              <w:bottom w:type="dxa" w:w="60"/>
              <w:right w:type="dxa" w:w="80"/>
            </w:tcMar>
          </w:tcPr>
          <w:p>
            <w:pPr>
              <w:spacing w:after="0"/>
            </w:pPr>
            <w:r>
              <w:rPr>
                <w:b w:val="false"/>
                <w:bCs w:val="false"/>
                <w:sz w:val="18"/>
                <w:szCs w:val="18"/>
              </w:rPr>
              <w:t xml:space="preserve">VM module (DC promotion, 5 joins, 3 Linux with Entra SSH + AMA, every extension </w:t>
            </w:r>
            <w:r>
              <w:rPr>
                <w:rFonts w:ascii="Consolas" w:cs="Consolas" w:eastAsia="Consolas" w:hAnsi="Consolas"/>
                <w:b w:val="false"/>
                <w:bCs w:val="false"/>
                <w:sz w:val="18"/>
                <w:szCs w:val="18"/>
              </w:rPr>
              <w:t xml:space="preserve">Succeeded</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12 min 38 s</w:t>
            </w:r>
          </w:p>
        </w:tc>
        <w:tc>
          <w:tcPr>
            <w:tcW w:type="dxa" w:w="0"/>
            <w:tcMar>
              <w:top w:type="dxa" w:w="60"/>
              <w:left w:type="dxa" w:w="80"/>
              <w:bottom w:type="dxa" w:w="60"/>
              <w:right w:type="dxa" w:w="80"/>
            </w:tcMar>
          </w:tcPr>
          <w:p>
            <w:pPr>
              <w:spacing w:after="0"/>
            </w:pPr>
          </w:p>
        </w:tc>
      </w:tr>
      <w:tr>
        <w:tc>
          <w:tcPr>
            <w:tcW w:type="dxa" w:w="0"/>
            <w:tcMar>
              <w:top w:type="dxa" w:w="60"/>
              <w:left w:type="dxa" w:w="80"/>
              <w:bottom w:type="dxa" w:w="60"/>
              <w:right w:type="dxa" w:w="80"/>
            </w:tcMar>
          </w:tcPr>
          <w:p>
            <w:pPr>
              <w:spacing w:after="0"/>
            </w:pPr>
            <w:r>
              <w:rPr>
                <w:b w:val="false"/>
                <w:bCs w:val="false"/>
                <w:sz w:val="18"/>
                <w:szCs w:val="18"/>
              </w:rPr>
              <w:t xml:space="preserve">security-lab (workspace, DCRs, Sentinel onboarding)</w:t>
            </w:r>
          </w:p>
        </w:tc>
        <w:tc>
          <w:tcPr>
            <w:tcW w:type="dxa" w:w="0"/>
            <w:tcMar>
              <w:top w:type="dxa" w:w="60"/>
              <w:left w:type="dxa" w:w="80"/>
              <w:bottom w:type="dxa" w:w="60"/>
              <w:right w:type="dxa" w:w="80"/>
            </w:tcMar>
          </w:tcPr>
          <w:p>
            <w:pPr>
              <w:spacing w:after="0"/>
            </w:pPr>
            <w:r>
              <w:rPr>
                <w:b w:val="false"/>
                <w:bCs w:val="false"/>
                <w:sz w:val="18"/>
                <w:szCs w:val="18"/>
              </w:rPr>
              <w:t xml:space="preserve">31 s</w:t>
            </w:r>
          </w:p>
        </w:tc>
        <w:tc>
          <w:tcPr>
            <w:tcW w:type="dxa" w:w="0"/>
            <w:tcMar>
              <w:top w:type="dxa" w:w="60"/>
              <w:left w:type="dxa" w:w="80"/>
              <w:bottom w:type="dxa" w:w="60"/>
              <w:right w:type="dxa" w:w="80"/>
            </w:tcMar>
          </w:tcPr>
          <w:p>
            <w:pPr>
              <w:spacing w:after="0"/>
            </w:pPr>
          </w:p>
        </w:tc>
      </w:tr>
      <w:tr>
        <w:tc>
          <w:tcPr>
            <w:tcW w:type="dxa" w:w="0"/>
            <w:tcMar>
              <w:top w:type="dxa" w:w="60"/>
              <w:left w:type="dxa" w:w="80"/>
              <w:bottom w:type="dxa" w:w="60"/>
              <w:right w:type="dxa" w:w="80"/>
            </w:tcMar>
          </w:tcPr>
          <w:p>
            <w:pPr>
              <w:spacing w:after="0"/>
            </w:pPr>
            <w:r>
              <w:rPr>
                <w:b w:val="false"/>
                <w:bCs w:val="false"/>
                <w:sz w:val="18"/>
                <w:szCs w:val="18"/>
              </w:rPr>
              <w:t xml:space="preserve">Arc private link scope</w:t>
            </w:r>
          </w:p>
        </w:tc>
        <w:tc>
          <w:tcPr>
            <w:tcW w:type="dxa" w:w="0"/>
            <w:tcMar>
              <w:top w:type="dxa" w:w="60"/>
              <w:left w:type="dxa" w:w="80"/>
              <w:bottom w:type="dxa" w:w="60"/>
              <w:right w:type="dxa" w:w="80"/>
            </w:tcMar>
          </w:tcPr>
          <w:p>
            <w:pPr>
              <w:spacing w:after="0"/>
            </w:pPr>
            <w:r>
              <w:rPr>
                <w:b w:val="false"/>
                <w:bCs w:val="false"/>
                <w:sz w:val="18"/>
                <w:szCs w:val="18"/>
              </w:rPr>
              <w:t xml:space="preserve">1 min 46 s</w:t>
            </w:r>
          </w:p>
        </w:tc>
        <w:tc>
          <w:tcPr>
            <w:tcW w:type="dxa" w:w="0"/>
            <w:tcMar>
              <w:top w:type="dxa" w:w="60"/>
              <w:left w:type="dxa" w:w="80"/>
              <w:bottom w:type="dxa" w:w="60"/>
              <w:right w:type="dxa" w:w="80"/>
            </w:tcMar>
          </w:tcPr>
          <w:p>
            <w:pPr>
              <w:spacing w:after="0"/>
            </w:pPr>
          </w:p>
        </w:tc>
      </w:tr>
      <w:tr>
        <w:tc>
          <w:tcPr>
            <w:tcW w:type="dxa" w:w="0"/>
            <w:tcMar>
              <w:top w:type="dxa" w:w="60"/>
              <w:left w:type="dxa" w:w="80"/>
              <w:bottom w:type="dxa" w:w="60"/>
              <w:right w:type="dxa" w:w="80"/>
            </w:tcMar>
          </w:tcPr>
          <w:p>
            <w:pPr>
              <w:spacing w:after="0"/>
            </w:pPr>
            <w:r>
              <w:rPr>
                <w:b w:val="false"/>
                <w:bCs w:val="false"/>
                <w:sz w:val="18"/>
                <w:szCs w:val="18"/>
              </w:rPr>
              <w:t xml:space="preserve">Total</w:t>
            </w:r>
          </w:p>
        </w:tc>
        <w:tc>
          <w:tcPr>
            <w:tcW w:type="dxa" w:w="0"/>
            <w:tcMar>
              <w:top w:type="dxa" w:w="60"/>
              <w:left w:type="dxa" w:w="80"/>
              <w:bottom w:type="dxa" w:w="60"/>
              <w:right w:type="dxa" w:w="80"/>
            </w:tcMar>
          </w:tcPr>
          <w:p>
            <w:pPr>
              <w:spacing w:after="0"/>
            </w:pPr>
            <w:r>
              <w:rPr>
                <w:b w:val="false"/>
                <w:bCs w:val="false"/>
                <w:sz w:val="18"/>
                <w:szCs w:val="18"/>
              </w:rPr>
              <w:t xml:space="preserve">52 min 26 s</w:t>
            </w:r>
          </w:p>
        </w:tc>
        <w:tc>
          <w:tcPr>
            <w:tcW w:type="dxa" w:w="0"/>
            <w:tcMar>
              <w:top w:type="dxa" w:w="60"/>
              <w:left w:type="dxa" w:w="80"/>
              <w:bottom w:type="dxa" w:w="60"/>
              <w:right w:type="dxa" w:w="80"/>
            </w:tcMar>
          </w:tcPr>
          <w:p>
            <w:pPr>
              <w:spacing w:after="0"/>
            </w:pPr>
            <w:r>
              <w:rPr>
                <w:b w:val="false"/>
                <w:bCs w:val="false"/>
                <w:sz w:val="18"/>
                <w:szCs w:val="18"/>
              </w:rPr>
              <w:t xml:space="preserve">the two failed attempts before it (section 8) took 40 and 45 min to fail</w:t>
            </w:r>
          </w:p>
        </w:tc>
      </w:tr>
    </w:tbl>
    <w:p>
      <w:pPr>
        <w:spacing w:after="120"/>
      </w:pP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Deployment in progress</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Deployment succeeded</w:t>
      </w:r>
    </w:p>
    <w:p>
      <w:pPr>
        <w:spacing w:after="120"/>
      </w:pPr>
      <w:r>
        <w:t xml:space="preserve">A quick way to follow it from Cloud Shell:</w:t>
      </w:r>
    </w:p>
    <w:p>
      <w:pPr>
        <w:keepNext/>
        <w:shd w:fill="F2F2F2" w:color="auto" w:val="clear"/>
        <w:spacing w:after="0" w:before="0" w:line="240"/>
        <w:ind w:left="120" w:right="120"/>
      </w:pPr>
      <w:r>
        <w:rPr>
          <w:rFonts w:ascii="Consolas" w:cs="Consolas" w:eastAsia="Consolas" w:hAnsi="Consolas"/>
          <w:sz w:val="17"/>
          <w:szCs w:val="17"/>
        </w:rPr>
        <w:t xml:space="preserve">D=CustomDeployment-&lt;timestamp&gt;</w:t>
      </w:r>
    </w:p>
    <w:p>
      <w:pPr>
        <w:keepNext/>
        <w:shd w:fill="F2F2F2" w:color="auto" w:val="clear"/>
        <w:spacing w:after="0" w:before="0" w:line="240"/>
        <w:ind w:left="120" w:right="120"/>
      </w:pPr>
      <w:r>
        <w:rPr>
          <w:rFonts w:ascii="Consolas" w:cs="Consolas" w:eastAsia="Consolas" w:hAnsi="Consolas"/>
          <w:sz w:val="17"/>
          <w:szCs w:val="17"/>
        </w:rPr>
        <w:t xml:space="preserve">az deployment sub list --query "[?properties.provisioningState=='Running'].name" -o tsv</w:t>
      </w:r>
    </w:p>
    <w:p>
      <w:pPr>
        <w:keepNext w:val="false"/>
        <w:shd w:fill="F2F2F2" w:color="auto" w:val="clear"/>
        <w:spacing w:after="160" w:before="0" w:line="240"/>
        <w:ind w:left="120" w:right="120"/>
      </w:pPr>
      <w:r>
        <w:rPr>
          <w:rFonts w:ascii="Consolas" w:cs="Consolas" w:eastAsia="Consolas" w:hAnsi="Consolas"/>
          <w:sz w:val="17"/>
          <w:szCs w:val="17"/>
        </w:rPr>
        <w:t xml:space="preserve">az deployment group list -g mca-dev-usw2-seclab-rg-network --query "[?properties.provisioningState!='Succeeded'].{n:name,s:properties.provisioningState}" -o table</w:t>
      </w:r>
    </w:p>
    <w:p>
      <w:pPr>
        <w:pBdr>
          <w:left w:val="single" w:color="C09000" w:sz="18" w:space="8"/>
        </w:pBdr>
        <w:shd w:fill="FFF4CE" w:color="auto" w:val="clear"/>
        <w:spacing w:after="160" w:before="60"/>
        <w:ind w:left="240" w:right="240"/>
      </w:pPr>
      <w:r>
        <w:rPr>
          <w:i/>
          <w:iCs/>
        </w:rPr>
        <w:t xml:space="preserve">If a nested deployment fails, open its </w:t>
      </w:r>
      <w:r>
        <w:rPr>
          <w:b/>
          <w:bCs/>
          <w:i/>
          <w:iCs/>
        </w:rPr>
        <w:t xml:space="preserve">Error details</w:t>
      </w:r>
      <w:r>
        <w:rPr>
          <w:i/>
          <w:iCs/>
        </w:rPr>
        <w:t xml:space="preserve">. For a </w:t>
      </w:r>
      <w:r>
        <w:rPr>
          <w:i/>
          <w:iCs/>
        </w:rPr>
        <w:t xml:space="preserve">resource</w:t>
      </w:r>
      <w:r>
        <w:rPr>
          <w:i/>
          <w:iCs/>
        </w:rPr>
        <w:t xml:space="preserve"> that ended in a failed provisioning state (a firewall with </w:t>
      </w:r>
      <w:r>
        <w:rPr>
          <w:rFonts w:ascii="Consolas" w:cs="Consolas" w:eastAsia="Consolas" w:hAnsi="Consolas"/>
          <w:i/>
          <w:iCs/>
          <w:sz w:val="18"/>
          <w:szCs w:val="18"/>
        </w:rPr>
        <w:t xml:space="preserve">InternalServerError</w:t>
      </w:r>
      <w:r>
        <w:rPr>
          <w:i/>
          <w:iCs/>
        </w:rPr>
        <w:t xml:space="preserve">, a VM with </w:t>
      </w:r>
      <w:r>
        <w:rPr>
          <w:rFonts w:ascii="Consolas" w:cs="Consolas" w:eastAsia="Consolas" w:hAnsi="Consolas"/>
          <w:i/>
          <w:iCs/>
          <w:sz w:val="18"/>
          <w:szCs w:val="18"/>
        </w:rPr>
        <w:t xml:space="preserve">OSProvisioningTimedOut</w:t>
      </w:r>
      <w:r>
        <w:rPr>
          <w:i/>
          <w:iCs/>
        </w:rPr>
        <w:t xml:space="preserve">) do not use </w:t>
      </w:r>
      <w:r>
        <w:rPr>
          <w:b/>
          <w:bCs/>
          <w:i/>
          <w:iCs/>
        </w:rPr>
        <w:t xml:space="preserve">Redeploy</w:t>
      </w:r>
      <w:r>
        <w:rPr>
          <w:i/>
          <w:iCs/>
        </w:rPr>
        <w:t xml:space="preserve"> — it reuses the faulted instance. Tear down with </w:t>
      </w:r>
      <w:r>
        <w:rPr>
          <w:rFonts w:ascii="Consolas" w:cs="Consolas" w:eastAsia="Consolas" w:hAnsi="Consolas"/>
          <w:i/>
          <w:iCs/>
          <w:sz w:val="18"/>
          <w:szCs w:val="18"/>
        </w:rPr>
        <w:t xml:space="preserve">destroy.ps1</w:t>
      </w:r>
      <w:r>
        <w:rPr>
          <w:i/>
          <w:iCs/>
        </w:rPr>
        <w:t xml:space="preserve"> (section 7), fix the cause (section 8) and deploy again; a clean run is about 55 minutes.</w:t>
      </w:r>
    </w:p>
    <w:p>
      <w:pPr>
        <w:pStyle w:val="Heading1"/>
        <w:pageBreakBefore/>
      </w:pPr>
      <w:r>
        <w:t xml:space="preserve">5. Post-deploy — Sentinel content, connectors, analytics rules, UEBA</w:t>
      </w:r>
    </w:p>
    <w:p>
      <w:pPr>
        <w:spacing w:after="120"/>
      </w:pPr>
      <w:r>
        <w:t xml:space="preserve">The template onboards the workspace to Sentinel and creates the data collection rules; the Content Hub solutions, the analytics rules, UEBA, the Defender XDR connector and the tenant-level log routing are done by </w:t>
      </w:r>
      <w:r>
        <w:rPr>
          <w:rFonts w:ascii="Consolas" w:cs="Consolas" w:eastAsia="Consolas" w:hAnsi="Consolas"/>
          <w:sz w:val="18"/>
          <w:szCs w:val="18"/>
        </w:rPr>
        <w:t xml:space="preserve">templates/scripts/Post-Deploy.ps1</w:t>
      </w:r>
      <w:r>
        <w:t xml:space="preserve">, run from Cloud Shell under your own (Global Administrator) sign-in. On Commercial every script takes </w:t>
      </w:r>
      <w:r>
        <w:rPr>
          <w:b/>
          <w:bCs/>
        </w:rPr>
        <w:t xml:space="preserve">`-Cloud Global`</w:t>
      </w:r>
      <w:r>
        <w:t xml:space="preserve">.</w:t>
      </w:r>
    </w:p>
    <w:p>
      <w:pPr>
        <w:pStyle w:val="Heading2"/>
      </w:pPr>
      <w:r>
        <w:t xml:space="preserve">5.1 Clone the kit in Cloud Shell and run the orchestrator</w:t>
      </w:r>
    </w:p>
    <w:p>
      <w:pPr>
        <w:spacing w:after="120"/>
      </w:pPr>
      <w:r>
        <w:t xml:space="preserve">Cloud Shell toolbar → </w:t>
      </w:r>
      <w:r>
        <w:rPr>
          <w:b/>
          <w:bCs/>
        </w:rPr>
        <w:t xml:space="preserve">Switch to PowerShell</w:t>
      </w:r>
      <w:r>
        <w:t xml:space="preserve"> (a </w:t>
      </w:r>
      <w:r>
        <w:rPr>
          <w:rFonts w:ascii="Consolas" w:cs="Consolas" w:eastAsia="Consolas" w:hAnsi="Consolas"/>
          <w:sz w:val="18"/>
          <w:szCs w:val="18"/>
        </w:rPr>
        <w:t xml:space="preserve">pwsh</w:t>
      </w:r>
      <w:r>
        <w:t xml:space="preserve"> started from the Bash shell is not signed in to Azure — #53), then:</w:t>
      </w:r>
    </w:p>
    <w:p>
      <w:pPr>
        <w:keepNext/>
        <w:shd w:fill="F2F2F2" w:color="auto" w:val="clear"/>
        <w:spacing w:after="0" w:before="0" w:line="240"/>
        <w:ind w:left="120" w:right="120"/>
      </w:pPr>
      <w:r>
        <w:rPr>
          <w:rFonts w:ascii="Consolas" w:cs="Consolas" w:eastAsia="Consolas" w:hAnsi="Consolas"/>
          <w:sz w:val="17"/>
          <w:szCs w:val="17"/>
        </w:rPr>
        <w:t xml:space="preserve">git clone -q https://github.com/lee-aguilar-msft/Azure-MLZStarterKit-Security.git ~/kit</w:t>
      </w:r>
    </w:p>
    <w:p>
      <w:pPr>
        <w:keepNext/>
        <w:shd w:fill="F2F2F2" w:color="auto" w:val="clear"/>
        <w:spacing w:after="0" w:before="0" w:line="240"/>
        <w:ind w:left="120" w:right="120"/>
      </w:pPr>
      <w:r>
        <w:rPr>
          <w:rFonts w:ascii="Consolas" w:cs="Consolas" w:eastAsia="Consolas" w:hAnsi="Consolas"/>
          <w:sz w:val="17"/>
          <w:szCs w:val="17"/>
        </w:rPr>
        <w:t xml:space="preserve">cd ~/kit/templates/scripts</w:t>
      </w:r>
    </w:p>
    <w:p>
      <w:pPr>
        <w:keepNext/>
        <w:shd w:fill="F2F2F2" w:color="auto" w:val="clear"/>
        <w:spacing w:after="0" w:before="0" w:line="240"/>
        <w:ind w:left="120" w:right="120"/>
      </w:pPr>
      <w:r>
        <w:rPr>
          <w:rFonts w:ascii="Consolas" w:cs="Consolas" w:eastAsia="Consolas" w:hAnsi="Consolas"/>
          <w:sz w:val="17"/>
          <w:szCs w:val="17"/>
        </w:rPr>
        <w:t xml:space="preserve">./Post-Deploy.ps1 -Cloud Global -SubscriptionId &lt;subscription-id&gt; `</w:t>
      </w:r>
    </w:p>
    <w:p>
      <w:pPr>
        <w:keepNext/>
        <w:shd w:fill="F2F2F2" w:color="auto" w:val="clear"/>
        <w:spacing w:after="0" w:before="0" w:line="240"/>
        <w:ind w:left="120" w:right="120"/>
      </w:pPr>
      <w:r>
        <w:rPr>
          <w:rFonts w:ascii="Consolas" w:cs="Consolas" w:eastAsia="Consolas" w:hAnsi="Consolas"/>
          <w:sz w:val="17"/>
          <w:szCs w:val="17"/>
        </w:rPr>
        <w:t xml:space="preserve">  -ResourceGroupName mca-dev-usw2-seclab-rg-network -WorkspaceName law-mca-lab -EnableXdrConnector `</w:t>
      </w:r>
    </w:p>
    <w:p>
      <w:pPr>
        <w:keepNext w:val="false"/>
        <w:shd w:fill="F2F2F2" w:color="auto" w:val="clear"/>
        <w:spacing w:after="160" w:before="0" w:line="240"/>
        <w:ind w:left="120" w:right="120"/>
      </w:pPr>
      <w:r>
        <w:rPr>
          <w:rFonts w:ascii="Consolas" w:cs="Consolas" w:eastAsia="Consolas" w:hAnsi="Consolas"/>
          <w:sz w:val="17"/>
          <w:szCs w:val="17"/>
        </w:rPr>
        <w:t xml:space="preserve">  *&gt;&amp;1 | Tee-Object -FilePath ~/postdeploy.log</w:t>
      </w:r>
    </w:p>
    <w:p>
      <w:pPr>
        <w:spacing w:after="120"/>
      </w:pPr>
      <w:r>
        <w:t xml:space="preserve">The script needs </w:t>
      </w:r>
      <w:r>
        <w:rPr>
          <w:b/>
          <w:bCs/>
        </w:rPr>
        <w:t xml:space="preserve">Global Administrator or Security Administrator</w:t>
      </w:r>
      <w:r>
        <w:t xml:space="preserve"> on the tenant for the UEBA step (activate it through PIM first — #56); everything else works with Owner on the subscription. It is idempotent: re-run it after fixing anything and it skips what is already in place.</w:t>
      </w:r>
    </w:p>
    <w:p>
      <w:pPr>
        <w:spacing w:after="120"/>
      </w:pPr>
      <w:r>
        <w:t xml:space="preserve">Results of the Commercial run (about 35 minutes, most of it the analytics-rule loop):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Step</w:t>
            </w:r>
          </w:p>
        </w:tc>
        <w:tc>
          <w:tcPr>
            <w:tcW w:type="dxa" w:w="0"/>
            <w:shd w:fill="DCE6F1" w:color="auto" w:val="clear"/>
            <w:tcMar>
              <w:top w:type="dxa" w:w="60"/>
              <w:left w:type="dxa" w:w="80"/>
              <w:bottom w:type="dxa" w:w="60"/>
              <w:right w:type="dxa" w:w="80"/>
            </w:tcMar>
          </w:tcPr>
          <w:p>
            <w:pPr>
              <w:spacing w:after="0"/>
            </w:pPr>
            <w:r>
              <w:rPr>
                <w:b/>
                <w:bCs/>
                <w:sz w:val="18"/>
                <w:szCs w:val="18"/>
              </w:rPr>
              <w:t xml:space="preserve">Result</w:t>
            </w:r>
          </w:p>
        </w:tc>
      </w:tr>
      <w:tr>
        <w:tc>
          <w:tcPr>
            <w:tcW w:type="dxa" w:w="0"/>
            <w:tcMar>
              <w:top w:type="dxa" w:w="60"/>
              <w:left w:type="dxa" w:w="80"/>
              <w:bottom w:type="dxa" w:w="60"/>
              <w:right w:type="dxa" w:w="80"/>
            </w:tcMar>
          </w:tcPr>
          <w:p>
            <w:pPr>
              <w:spacing w:after="0"/>
            </w:pPr>
            <w:r>
              <w:rPr>
                <w:b w:val="false"/>
                <w:bCs w:val="false"/>
                <w:sz w:val="18"/>
                <w:szCs w:val="18"/>
              </w:rPr>
              <w:t xml:space="preserve">Content Hub solutions</w:t>
            </w:r>
          </w:p>
        </w:tc>
        <w:tc>
          <w:tcPr>
            <w:tcW w:type="dxa" w:w="0"/>
            <w:tcMar>
              <w:top w:type="dxa" w:w="60"/>
              <w:left w:type="dxa" w:w="80"/>
              <w:bottom w:type="dxa" w:w="60"/>
              <w:right w:type="dxa" w:w="80"/>
            </w:tcMar>
          </w:tcPr>
          <w:p>
            <w:pPr>
              <w:spacing w:after="0"/>
            </w:pPr>
            <w:r>
              <w:rPr>
                <w:b w:val="false"/>
                <w:bCs w:val="false"/>
                <w:sz w:val="18"/>
                <w:szCs w:val="18"/>
              </w:rPr>
              <w:t xml:space="preserve">7 installed: Microsoft Entra ID, Azure Activity, Microsoft Defender XDR, Windows Security Events, Syslog, Threat Intelligence (TAXII), UEBA Essentials</w:t>
            </w:r>
          </w:p>
        </w:tc>
      </w:tr>
      <w:tr>
        <w:tc>
          <w:tcPr>
            <w:tcW w:type="dxa" w:w="0"/>
            <w:tcMar>
              <w:top w:type="dxa" w:w="60"/>
              <w:left w:type="dxa" w:w="80"/>
              <w:bottom w:type="dxa" w:w="60"/>
              <w:right w:type="dxa" w:w="80"/>
            </w:tcMar>
          </w:tcPr>
          <w:p>
            <w:pPr>
              <w:spacing w:after="0"/>
            </w:pPr>
            <w:r>
              <w:rPr>
                <w:b w:val="false"/>
                <w:bCs w:val="false"/>
                <w:sz w:val="18"/>
                <w:szCs w:val="18"/>
              </w:rPr>
              <w:t xml:space="preserve">Analytics rules from the installed templates</w:t>
            </w:r>
          </w:p>
        </w:tc>
        <w:tc>
          <w:tcPr>
            <w:tcW w:type="dxa" w:w="0"/>
            <w:tcMar>
              <w:top w:type="dxa" w:w="60"/>
              <w:left w:type="dxa" w:w="80"/>
              <w:bottom w:type="dxa" w:w="60"/>
              <w:right w:type="dxa" w:w="80"/>
            </w:tcMar>
          </w:tcPr>
          <w:p>
            <w:pPr>
              <w:spacing w:after="0"/>
            </w:pPr>
            <w:r>
              <w:rPr>
                <w:b w:val="false"/>
                <w:bCs w:val="false"/>
                <w:sz w:val="18"/>
                <w:szCs w:val="18"/>
              </w:rPr>
              <w:t xml:space="preserve">263 enabled</w:t>
            </w:r>
            <w:r>
              <w:rPr>
                <w:b w:val="false"/>
                <w:bCs w:val="false"/>
                <w:sz w:val="18"/>
                <w:szCs w:val="18"/>
              </w:rPr>
              <w:t xml:space="preserve">, 35 rejected by the API (templates that need a data type the lab does not have — the script lists them)</w:t>
            </w:r>
          </w:p>
        </w:tc>
      </w:tr>
      <w:tr>
        <w:tc>
          <w:tcPr>
            <w:tcW w:type="dxa" w:w="0"/>
            <w:tcMar>
              <w:top w:type="dxa" w:w="60"/>
              <w:left w:type="dxa" w:w="80"/>
              <w:bottom w:type="dxa" w:w="60"/>
              <w:right w:type="dxa" w:w="80"/>
            </w:tcMar>
          </w:tcPr>
          <w:p>
            <w:pPr>
              <w:spacing w:after="0"/>
            </w:pPr>
            <w:r>
              <w:rPr>
                <w:b w:val="false"/>
                <w:bCs w:val="false"/>
                <w:sz w:val="18"/>
                <w:szCs w:val="18"/>
              </w:rPr>
              <w:t xml:space="preserve">Defender XDR connector</w:t>
            </w:r>
          </w:p>
        </w:tc>
        <w:tc>
          <w:tcPr>
            <w:tcW w:type="dxa" w:w="0"/>
            <w:tcMar>
              <w:top w:type="dxa" w:w="60"/>
              <w:left w:type="dxa" w:w="80"/>
              <w:bottom w:type="dxa" w:w="60"/>
              <w:right w:type="dxa" w:w="80"/>
            </w:tcMar>
          </w:tcPr>
          <w:p>
            <w:pPr>
              <w:spacing w:after="0"/>
            </w:pPr>
            <w:r>
              <w:rPr>
                <w:b w:val="false"/>
                <w:bCs w:val="false"/>
                <w:sz w:val="18"/>
                <w:szCs w:val="18"/>
              </w:rPr>
              <w:t xml:space="preserve">created (</w:t>
            </w:r>
            <w:r>
              <w:rPr>
                <w:rFonts w:ascii="Consolas" w:cs="Consolas" w:eastAsia="Consolas" w:hAnsi="Consolas"/>
                <w:b w:val="false"/>
                <w:bCs w:val="false"/>
                <w:sz w:val="18"/>
                <w:szCs w:val="18"/>
              </w:rPr>
              <w:t xml:space="preserve">-EnableXdrConnector</w:t>
            </w:r>
            <w:r>
              <w:rPr>
                <w:b w:val="false"/>
                <w:bCs w:val="false"/>
                <w:sz w:val="18"/>
                <w:szCs w:val="18"/>
              </w:rPr>
              <w:t xml:space="preserve">), incidents and alerts flow into Sentinel</w:t>
            </w:r>
          </w:p>
        </w:tc>
      </w:tr>
      <w:tr>
        <w:tc>
          <w:tcPr>
            <w:tcW w:type="dxa" w:w="0"/>
            <w:tcMar>
              <w:top w:type="dxa" w:w="60"/>
              <w:left w:type="dxa" w:w="80"/>
              <w:bottom w:type="dxa" w:w="60"/>
              <w:right w:type="dxa" w:w="80"/>
            </w:tcMar>
          </w:tcPr>
          <w:p>
            <w:pPr>
              <w:spacing w:after="0"/>
            </w:pPr>
            <w:r>
              <w:rPr>
                <w:b w:val="false"/>
                <w:bCs w:val="false"/>
                <w:sz w:val="18"/>
                <w:szCs w:val="18"/>
              </w:rPr>
              <w:t xml:space="preserve">Entra ID sign-in / audit logs and Azure Activity</w:t>
            </w:r>
          </w:p>
        </w:tc>
        <w:tc>
          <w:tcPr>
            <w:tcW w:type="dxa" w:w="0"/>
            <w:tcMar>
              <w:top w:type="dxa" w:w="60"/>
              <w:left w:type="dxa" w:w="80"/>
              <w:bottom w:type="dxa" w:w="60"/>
              <w:right w:type="dxa" w:w="80"/>
            </w:tcMar>
          </w:tcPr>
          <w:p>
            <w:pPr>
              <w:spacing w:after="0"/>
            </w:pPr>
            <w:r>
              <w:rPr>
                <w:b w:val="false"/>
                <w:bCs w:val="false"/>
                <w:sz w:val="18"/>
                <w:szCs w:val="18"/>
              </w:rPr>
              <w:t xml:space="preserve">routed to the workspace (tenant-level diagnostic setting + subscription Activity log)</w:t>
            </w:r>
          </w:p>
        </w:tc>
      </w:tr>
      <w:tr>
        <w:tc>
          <w:tcPr>
            <w:tcW w:type="dxa" w:w="0"/>
            <w:tcMar>
              <w:top w:type="dxa" w:w="60"/>
              <w:left w:type="dxa" w:w="80"/>
              <w:bottom w:type="dxa" w:w="60"/>
              <w:right w:type="dxa" w:w="80"/>
            </w:tcMar>
          </w:tcPr>
          <w:p>
            <w:pPr>
              <w:spacing w:after="0"/>
            </w:pPr>
            <w:r>
              <w:rPr>
                <w:b w:val="false"/>
                <w:bCs w:val="false"/>
                <w:sz w:val="18"/>
                <w:szCs w:val="18"/>
              </w:rPr>
              <w:t xml:space="preserve">UEBA</w:t>
            </w:r>
          </w:p>
        </w:tc>
        <w:tc>
          <w:tcPr>
            <w:tcW w:type="dxa" w:w="0"/>
            <w:tcMar>
              <w:top w:type="dxa" w:w="60"/>
              <w:left w:type="dxa" w:w="80"/>
              <w:bottom w:type="dxa" w:w="60"/>
              <w:right w:type="dxa" w:w="80"/>
            </w:tcMar>
          </w:tcPr>
          <w:p>
            <w:pPr>
              <w:spacing w:after="0"/>
            </w:pPr>
            <w:r>
              <w:rPr>
                <w:b w:val="false"/>
                <w:bCs w:val="false"/>
                <w:sz w:val="18"/>
                <w:szCs w:val="18"/>
              </w:rPr>
              <w:t xml:space="preserve">enabled — entity provider Entra ID; data sources AuditLogs, AzureActivity, SigninLogs, SecurityEvent</w:t>
            </w:r>
          </w:p>
        </w:tc>
      </w:tr>
      <w:tr>
        <w:tc>
          <w:tcPr>
            <w:tcW w:type="dxa" w:w="0"/>
            <w:tcMar>
              <w:top w:type="dxa" w:w="60"/>
              <w:left w:type="dxa" w:w="80"/>
              <w:bottom w:type="dxa" w:w="60"/>
              <w:right w:type="dxa" w:w="80"/>
            </w:tcMar>
          </w:tcPr>
          <w:p>
            <w:pPr>
              <w:spacing w:after="0"/>
            </w:pPr>
            <w:r>
              <w:rPr>
                <w:b w:val="false"/>
                <w:bCs w:val="false"/>
                <w:sz w:val="18"/>
                <w:szCs w:val="18"/>
              </w:rPr>
              <w:t xml:space="preserve">Defender for Cloud plans</w:t>
            </w:r>
          </w:p>
        </w:tc>
        <w:tc>
          <w:tcPr>
            <w:tcW w:type="dxa" w:w="0"/>
            <w:tcMar>
              <w:top w:type="dxa" w:w="60"/>
              <w:left w:type="dxa" w:w="80"/>
              <w:bottom w:type="dxa" w:w="60"/>
              <w:right w:type="dxa" w:w="80"/>
            </w:tcMar>
          </w:tcPr>
          <w:p>
            <w:pPr>
              <w:spacing w:after="0"/>
            </w:pPr>
            <w:r>
              <w:rPr>
                <w:b w:val="false"/>
                <w:bCs w:val="false"/>
                <w:sz w:val="18"/>
                <w:szCs w:val="18"/>
              </w:rPr>
              <w:t xml:space="preserve">re-asserted: Servers P2, Storage (DefenderForStorageV2), Key Vault, Resource Manager, App Service, SQL on VMs, open-source DBs, Cosmos DB, Containers, CSPM; the plans the lab does not need stay Free</w:t>
            </w:r>
          </w:p>
        </w:tc>
      </w:tr>
    </w:tbl>
    <w:p>
      <w:pPr>
        <w:spacing w:after="120"/>
      </w:pP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Post-deploy summary</w:t>
      </w:r>
    </w:p>
    <w:p>
      <w:pPr>
        <w:pStyle w:val="Heading2"/>
      </w:pPr>
      <w:r>
        <w:t xml:space="preserve">5.2 Identity, hybrid join, Intune and Defender for Endpoint</w:t>
      </w:r>
    </w:p>
    <w:p>
      <w:pPr>
        <w:spacing w:after="120"/>
      </w:pPr>
      <w:r>
        <w:t xml:space="preserve">Most of the identity chain is automated. The deployment and two scripts do everything except two clicks that have no API (Entra Connect's wizard needs your MFA; the Defender portal's Intune connection toggle has no Graph endpoint).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What</w:t>
            </w:r>
          </w:p>
        </w:tc>
        <w:tc>
          <w:tcPr>
            <w:tcW w:type="dxa" w:w="0"/>
            <w:shd w:fill="DCE6F1" w:color="auto" w:val="clear"/>
            <w:tcMar>
              <w:top w:type="dxa" w:w="60"/>
              <w:left w:type="dxa" w:w="80"/>
              <w:bottom w:type="dxa" w:w="60"/>
              <w:right w:type="dxa" w:w="80"/>
            </w:tcMar>
          </w:tcPr>
          <w:p>
            <w:pPr>
              <w:spacing w:after="0"/>
            </w:pPr>
            <w:r>
              <w:rPr>
                <w:b/>
                <w:bCs/>
                <w:sz w:val="18"/>
                <w:szCs w:val="18"/>
              </w:rPr>
              <w:t xml:space="preserve">Done by</w:t>
            </w:r>
          </w:p>
        </w:tc>
        <w:tc>
          <w:tcPr>
            <w:tcW w:type="dxa" w:w="0"/>
            <w:shd w:fill="DCE6F1" w:color="auto" w:val="clear"/>
            <w:tcMar>
              <w:top w:type="dxa" w:w="60"/>
              <w:left w:type="dxa" w:w="80"/>
              <w:bottom w:type="dxa" w:w="60"/>
              <w:right w:type="dxa" w:w="80"/>
            </w:tcMar>
          </w:tcPr>
          <w:p>
            <w:pPr>
              <w:spacing w:after="0"/>
            </w:pPr>
            <w:r>
              <w:rPr>
                <w:b/>
                <w:bCs/>
                <w:sz w:val="18"/>
                <w:szCs w:val="18"/>
              </w:rPr>
              <w:t xml:space="preserve">When</w:t>
            </w:r>
          </w:p>
        </w:tc>
      </w:tr>
      <w:tr>
        <w:tc>
          <w:tcPr>
            <w:tcW w:type="dxa" w:w="0"/>
            <w:tcMar>
              <w:top w:type="dxa" w:w="60"/>
              <w:left w:type="dxa" w:w="80"/>
              <w:bottom w:type="dxa" w:w="60"/>
              <w:right w:type="dxa" w:w="80"/>
            </w:tcMar>
          </w:tcPr>
          <w:p>
            <w:pPr>
              <w:spacing w:after="0"/>
            </w:pPr>
            <w:r>
              <w:rPr>
                <w:b w:val="false"/>
                <w:bCs w:val="false"/>
                <w:sz w:val="18"/>
                <w:szCs w:val="18"/>
              </w:rPr>
              <w:t xml:space="preserve">AD forest, OUs (</w:t>
            </w:r>
            <w:r>
              <w:rPr>
                <w:rFonts w:ascii="Consolas" w:cs="Consolas" w:eastAsia="Consolas" w:hAnsi="Consolas"/>
                <w:b w:val="false"/>
                <w:bCs w:val="false"/>
                <w:sz w:val="18"/>
                <w:szCs w:val="18"/>
              </w:rPr>
              <w:t xml:space="preserve">Users</w:t>
            </w:r>
            <w:r>
              <w:rPr>
                <w:b w:val="false"/>
                <w:bCs w:val="false"/>
                <w:sz w:val="18"/>
                <w:szCs w:val="18"/>
              </w:rPr>
              <w:t xml:space="preserve">, </w:t>
            </w:r>
            <w:r>
              <w:rPr>
                <w:rFonts w:ascii="Consolas" w:cs="Consolas" w:eastAsia="Consolas" w:hAnsi="Consolas"/>
                <w:b w:val="false"/>
                <w:bCs w:val="false"/>
                <w:sz w:val="18"/>
                <w:szCs w:val="18"/>
              </w:rPr>
              <w:t xml:space="preserve">Workstations</w:t>
            </w:r>
            <w:r>
              <w:rPr>
                <w:b w:val="false"/>
                <w:bCs w:val="false"/>
                <w:sz w:val="18"/>
                <w:szCs w:val="18"/>
              </w:rPr>
              <w:t xml:space="preserve">, </w:t>
            </w:r>
            <w:r>
              <w:rPr>
                <w:rFonts w:ascii="Consolas" w:cs="Consolas" w:eastAsia="Consolas" w:hAnsi="Consolas"/>
                <w:b w:val="false"/>
                <w:bCs w:val="false"/>
                <w:sz w:val="18"/>
                <w:szCs w:val="18"/>
              </w:rPr>
              <w:t xml:space="preserve">MemberServers</w:t>
            </w:r>
            <w:r>
              <w:rPr>
                <w:b w:val="false"/>
                <w:bCs w:val="false"/>
                <w:sz w:val="18"/>
                <w:szCs w:val="18"/>
              </w:rPr>
              <w:t xml:space="preserve">), lab user, groups</w:t>
            </w:r>
          </w:p>
        </w:tc>
        <w:tc>
          <w:tcPr>
            <w:tcW w:type="dxa" w:w="0"/>
            <w:tcMar>
              <w:top w:type="dxa" w:w="60"/>
              <w:left w:type="dxa" w:w="80"/>
              <w:bottom w:type="dxa" w:w="60"/>
              <w:right w:type="dxa" w:w="80"/>
            </w:tcMar>
          </w:tcPr>
          <w:p>
            <w:pPr>
              <w:spacing w:after="0"/>
            </w:pPr>
            <w:r>
              <w:rPr>
                <w:b w:val="false"/>
                <w:bCs w:val="false"/>
                <w:sz w:val="18"/>
                <w:szCs w:val="18"/>
              </w:rPr>
              <w:t xml:space="preserve">template (</w:t>
            </w:r>
            <w:r>
              <w:rPr>
                <w:rFonts w:ascii="Consolas" w:cs="Consolas" w:eastAsia="Consolas" w:hAnsi="Consolas"/>
                <w:b w:val="false"/>
                <w:bCs w:val="false"/>
                <w:sz w:val="18"/>
                <w:szCs w:val="18"/>
              </w:rPr>
              <w:t xml:space="preserve">configure-forest-baseline</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Member servers and clients moved into their OUs</w:t>
            </w:r>
          </w:p>
        </w:tc>
        <w:tc>
          <w:tcPr>
            <w:tcW w:type="dxa" w:w="0"/>
            <w:tcMar>
              <w:top w:type="dxa" w:w="60"/>
              <w:left w:type="dxa" w:w="80"/>
              <w:bottom w:type="dxa" w:w="60"/>
              <w:right w:type="dxa" w:w="80"/>
            </w:tcMar>
          </w:tcPr>
          <w:p>
            <w:pPr>
              <w:spacing w:after="0"/>
            </w:pPr>
            <w:r>
              <w:rPr>
                <w:b w:val="false"/>
                <w:bCs w:val="false"/>
                <w:sz w:val="18"/>
                <w:szCs w:val="18"/>
              </w:rPr>
              <w:t xml:space="preserve">template (</w:t>
            </w:r>
            <w:r>
              <w:rPr>
                <w:rFonts w:ascii="Consolas" w:cs="Consolas" w:eastAsia="Consolas" w:hAnsi="Consolas"/>
                <w:b w:val="false"/>
                <w:bCs w:val="false"/>
                <w:sz w:val="18"/>
                <w:szCs w:val="18"/>
              </w:rPr>
              <w:t xml:space="preserve">configure-forest-baseline</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GPO </w:t>
            </w:r>
            <w:r>
              <w:rPr>
                <w:b w:val="false"/>
                <w:bCs w:val="false"/>
                <w:i/>
                <w:iCs/>
                <w:sz w:val="18"/>
                <w:szCs w:val="18"/>
              </w:rPr>
              <w:t xml:space="preserve">&lt;OU root&gt; - Intune Auto-Enrollment</w:t>
            </w:r>
            <w:r>
              <w:rPr>
                <w:b w:val="false"/>
                <w:bCs w:val="false"/>
                <w:sz w:val="18"/>
                <w:szCs w:val="18"/>
              </w:rPr>
              <w:t xml:space="preserve"> (MDM auto-enrollment with the signed-in user's Entra credential) linked to </w:t>
            </w:r>
            <w:r>
              <w:rPr>
                <w:rFonts w:ascii="Consolas" w:cs="Consolas" w:eastAsia="Consolas" w:hAnsi="Consolas"/>
                <w:b w:val="false"/>
                <w:bCs w:val="false"/>
                <w:sz w:val="18"/>
                <w:szCs w:val="18"/>
              </w:rPr>
              <w:t xml:space="preserve">Workstations</w:t>
            </w:r>
          </w:p>
        </w:tc>
        <w:tc>
          <w:tcPr>
            <w:tcW w:type="dxa" w:w="0"/>
            <w:tcMar>
              <w:top w:type="dxa" w:w="60"/>
              <w:left w:type="dxa" w:w="80"/>
              <w:bottom w:type="dxa" w:w="60"/>
              <w:right w:type="dxa" w:w="80"/>
            </w:tcMar>
          </w:tcPr>
          <w:p>
            <w:pPr>
              <w:spacing w:after="0"/>
            </w:pPr>
            <w:r>
              <w:rPr>
                <w:b w:val="false"/>
                <w:bCs w:val="false"/>
                <w:sz w:val="18"/>
                <w:szCs w:val="18"/>
              </w:rPr>
              <w:t xml:space="preserve">template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GPO </w:t>
            </w:r>
            <w:r>
              <w:rPr>
                <w:b w:val="false"/>
                <w:bCs w:val="false"/>
                <w:i/>
                <w:iCs/>
                <w:sz w:val="18"/>
                <w:szCs w:val="18"/>
              </w:rPr>
              <w:t xml:space="preserve">&lt;OU root&gt; - Security Auditing and Logging</w:t>
            </w:r>
          </w:p>
        </w:tc>
        <w:tc>
          <w:tcPr>
            <w:tcW w:type="dxa" w:w="0"/>
            <w:tcMar>
              <w:top w:type="dxa" w:w="60"/>
              <w:left w:type="dxa" w:w="80"/>
              <w:bottom w:type="dxa" w:w="60"/>
              <w:right w:type="dxa" w:w="80"/>
            </w:tcMar>
          </w:tcPr>
          <w:p>
            <w:pPr>
              <w:spacing w:after="0"/>
            </w:pPr>
            <w:r>
              <w:rPr>
                <w:b w:val="false"/>
                <w:bCs w:val="false"/>
                <w:sz w:val="18"/>
                <w:szCs w:val="18"/>
              </w:rPr>
              <w:t xml:space="preserve">template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Hybrid-join </w:t>
            </w:r>
            <w:r>
              <w:rPr>
                <w:b w:val="false"/>
                <w:bCs w:val="false"/>
                <w:sz w:val="18"/>
                <w:szCs w:val="18"/>
              </w:rPr>
              <w:t xml:space="preserve">Service Connection Point</w:t>
            </w:r>
            <w:r>
              <w:rPr>
                <w:b w:val="false"/>
                <w:bCs w:val="false"/>
                <w:sz w:val="18"/>
                <w:szCs w:val="18"/>
              </w:rPr>
              <w:t xml:space="preserve"> (tenant ID + domain) written to AD</w:t>
            </w:r>
          </w:p>
        </w:tc>
        <w:tc>
          <w:tcPr>
            <w:tcW w:type="dxa" w:w="0"/>
            <w:tcMar>
              <w:top w:type="dxa" w:w="60"/>
              <w:left w:type="dxa" w:w="80"/>
              <w:bottom w:type="dxa" w:w="60"/>
              <w:right w:type="dxa" w:w="80"/>
            </w:tcMar>
          </w:tcPr>
          <w:p>
            <w:pPr>
              <w:spacing w:after="0"/>
            </w:pPr>
            <w:r>
              <w:rPr>
                <w:b w:val="false"/>
                <w:bCs w:val="false"/>
                <w:sz w:val="18"/>
                <w:szCs w:val="18"/>
              </w:rPr>
              <w:t xml:space="preserve">template — tenant ID comes from the subscription</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Gate: deployment fails if any of the above is missing (</w:t>
            </w:r>
            <w:r>
              <w:rPr>
                <w:rFonts w:ascii="Consolas" w:cs="Consolas" w:eastAsia="Consolas" w:hAnsi="Consolas"/>
                <w:b w:val="false"/>
                <w:bCs w:val="false"/>
                <w:sz w:val="18"/>
                <w:szCs w:val="18"/>
              </w:rPr>
              <w:t xml:space="preserve">verify-forest</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template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TLS 1.2 prerequisites and </w:t>
            </w:r>
            <w:r>
              <w:rPr>
                <w:rFonts w:ascii="Consolas" w:cs="Consolas" w:eastAsia="Consolas" w:hAnsi="Consolas"/>
                <w:b w:val="false"/>
                <w:bCs w:val="false"/>
                <w:sz w:val="18"/>
                <w:szCs w:val="18"/>
              </w:rPr>
              <w:t xml:space="preserve">C:\LabTools\README-EntraConnect.txt</w:t>
            </w:r>
            <w:r>
              <w:rPr>
                <w:b w:val="false"/>
                <w:bCs w:val="false"/>
                <w:sz w:val="18"/>
                <w:szCs w:val="18"/>
              </w:rPr>
              <w:t xml:space="preserve"> on </w:t>
            </w:r>
            <w:r>
              <w:rPr>
                <w:rFonts w:ascii="Consolas" w:cs="Consolas" w:eastAsia="Consolas" w:hAnsi="Consolas"/>
                <w:b w:val="false"/>
                <w:bCs w:val="false"/>
                <w:sz w:val="18"/>
                <w:szCs w:val="18"/>
              </w:rPr>
              <w:t xml:space="preserve">lab-ms01</w:t>
            </w:r>
          </w:p>
        </w:tc>
        <w:tc>
          <w:tcPr>
            <w:tcW w:type="dxa" w:w="0"/>
            <w:tcMar>
              <w:top w:type="dxa" w:w="60"/>
              <w:left w:type="dxa" w:w="80"/>
              <w:bottom w:type="dxa" w:w="60"/>
              <w:right w:type="dxa" w:w="80"/>
            </w:tcMar>
          </w:tcPr>
          <w:p>
            <w:pPr>
              <w:spacing w:after="0"/>
            </w:pPr>
            <w:r>
              <w:rPr>
                <w:b w:val="false"/>
                <w:bCs w:val="false"/>
                <w:sz w:val="18"/>
                <w:szCs w:val="18"/>
              </w:rPr>
              <w:t xml:space="preserve">template (</w:t>
            </w:r>
            <w:r>
              <w:rPr>
                <w:rFonts w:ascii="Consolas" w:cs="Consolas" w:eastAsia="Consolas" w:hAnsi="Consolas"/>
                <w:b w:val="false"/>
                <w:bCs w:val="false"/>
                <w:sz w:val="18"/>
                <w:szCs w:val="18"/>
              </w:rPr>
              <w:t xml:space="preserve">configure-member</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Clients retry hybrid join every 30 min and Intune enrollment hourly, for 7 days</w:t>
            </w:r>
          </w:p>
        </w:tc>
        <w:tc>
          <w:tcPr>
            <w:tcW w:type="dxa" w:w="0"/>
            <w:tcMar>
              <w:top w:type="dxa" w:w="60"/>
              <w:left w:type="dxa" w:w="80"/>
              <w:bottom w:type="dxa" w:w="60"/>
              <w:right w:type="dxa" w:w="80"/>
            </w:tcMar>
          </w:tcPr>
          <w:p>
            <w:pPr>
              <w:spacing w:after="0"/>
            </w:pPr>
            <w:r>
              <w:rPr>
                <w:b w:val="false"/>
                <w:bCs w:val="false"/>
                <w:sz w:val="18"/>
                <w:szCs w:val="18"/>
              </w:rPr>
              <w:t xml:space="preserve">template (scheduled tasks </w:t>
            </w:r>
            <w:r>
              <w:rPr>
                <w:rFonts w:ascii="Consolas" w:cs="Consolas" w:eastAsia="Consolas" w:hAnsi="Consolas"/>
                <w:b w:val="false"/>
                <w:bCs w:val="false"/>
                <w:sz w:val="18"/>
                <w:szCs w:val="18"/>
              </w:rPr>
              <w:t xml:space="preserve">LAB-HybridJoin-Retry</w:t>
            </w:r>
            <w:r>
              <w:rPr>
                <w:b w:val="false"/>
                <w:bCs w:val="false"/>
                <w:sz w:val="18"/>
                <w:szCs w:val="18"/>
              </w:rPr>
              <w:t xml:space="preserve">, </w:t>
            </w:r>
            <w:r>
              <w:rPr>
                <w:rFonts w:ascii="Consolas" w:cs="Consolas" w:eastAsia="Consolas" w:hAnsi="Consolas"/>
                <w:b w:val="false"/>
                <w:bCs w:val="false"/>
                <w:sz w:val="18"/>
                <w:szCs w:val="18"/>
              </w:rPr>
              <w:t xml:space="preserve">LAB-IntuneAutoEnroll-Retry</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Intune MDM user scope (the </w:t>
            </w:r>
            <w:r>
              <w:rPr>
                <w:rFonts w:ascii="Consolas" w:cs="Consolas" w:eastAsia="Consolas" w:hAnsi="Consolas"/>
                <w:b w:val="false"/>
                <w:bCs w:val="false"/>
                <w:sz w:val="18"/>
                <w:szCs w:val="18"/>
              </w:rPr>
              <w:t xml:space="preserve">.com</w:t>
            </w:r>
            <w:r>
              <w:rPr>
                <w:b w:val="false"/>
                <w:bCs w:val="false"/>
                <w:sz w:val="18"/>
                <w:szCs w:val="18"/>
              </w:rPr>
              <w:t xml:space="preserve"> MDM URLs are already the Commercial defaults)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Prepare-Tenant.ps1 -Cloud Global</w:t>
            </w:r>
          </w:p>
        </w:tc>
        <w:tc>
          <w:tcPr>
            <w:tcW w:type="dxa" w:w="0"/>
            <w:tcMar>
              <w:top w:type="dxa" w:w="60"/>
              <w:left w:type="dxa" w:w="80"/>
              <w:bottom w:type="dxa" w:w="60"/>
              <w:right w:type="dxa" w:w="80"/>
            </w:tcMar>
          </w:tcPr>
          <w:p>
            <w:pPr>
              <w:spacing w:after="0"/>
            </w:pPr>
            <w:r>
              <w:rPr>
                <w:b w:val="false"/>
                <w:bCs w:val="false"/>
                <w:sz w:val="18"/>
                <w:szCs w:val="18"/>
              </w:rPr>
              <w:t xml:space="preserve">once per tenant</w:t>
            </w:r>
          </w:p>
        </w:tc>
      </w:tr>
      <w:tr>
        <w:tc>
          <w:tcPr>
            <w:tcW w:type="dxa" w:w="0"/>
            <w:tcMar>
              <w:top w:type="dxa" w:w="60"/>
              <w:left w:type="dxa" w:w="80"/>
              <w:bottom w:type="dxa" w:w="60"/>
              <w:right w:type="dxa" w:w="80"/>
            </w:tcMar>
          </w:tcPr>
          <w:p>
            <w:pPr>
              <w:spacing w:after="0"/>
            </w:pPr>
            <w:r>
              <w:rPr>
                <w:b w:val="false"/>
                <w:bCs w:val="false"/>
                <w:i/>
                <w:iCs/>
                <w:sz w:val="18"/>
                <w:szCs w:val="18"/>
              </w:rPr>
              <w:t xml:space="preserve">Microsoft Intune Enrollment</w:t>
            </w:r>
            <w:r>
              <w:rPr>
                <w:b w:val="false"/>
                <w:bCs w:val="false"/>
                <w:sz w:val="18"/>
                <w:szCs w:val="18"/>
              </w:rPr>
              <w:t xml:space="preserve"> service principal; CA exclusion report (or </w:t>
            </w:r>
            <w:r>
              <w:rPr>
                <w:rFonts w:ascii="Consolas" w:cs="Consolas" w:eastAsia="Consolas" w:hAnsi="Consolas"/>
                <w:b w:val="false"/>
                <w:bCs w:val="false"/>
                <w:sz w:val="18"/>
                <w:szCs w:val="18"/>
              </w:rPr>
              <w:t xml:space="preserve">-ExcludeIntuneEnrollmentFromCa</w:t>
            </w:r>
            <w:r>
              <w:rPr>
                <w:b w:val="false"/>
                <w:bCs w:val="false"/>
                <w:sz w:val="18"/>
                <w:szCs w:val="18"/>
              </w:rPr>
              <w:t xml:space="preserv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w:t>
            </w:r>
          </w:p>
        </w:tc>
        <w:tc>
          <w:tcPr>
            <w:tcW w:type="dxa" w:w="0"/>
            <w:tcMar>
              <w:top w:type="dxa" w:w="60"/>
              <w:left w:type="dxa" w:w="80"/>
              <w:bottom w:type="dxa" w:w="60"/>
              <w:right w:type="dxa" w:w="80"/>
            </w:tcMar>
          </w:tcPr>
          <w:p>
            <w:pPr>
              <w:spacing w:after="0"/>
            </w:pPr>
            <w:r>
              <w:rPr>
                <w:b w:val="false"/>
                <w:bCs w:val="false"/>
                <w:sz w:val="18"/>
                <w:szCs w:val="18"/>
              </w:rPr>
              <w:t xml:space="preserve">once per tenant</w:t>
            </w:r>
          </w:p>
        </w:tc>
      </w:tr>
      <w:tr>
        <w:tc>
          <w:tcPr>
            <w:tcW w:type="dxa" w:w="0"/>
            <w:tcMar>
              <w:top w:type="dxa" w:w="60"/>
              <w:left w:type="dxa" w:w="80"/>
              <w:bottom w:type="dxa" w:w="60"/>
              <w:right w:type="dxa" w:w="80"/>
            </w:tcMar>
          </w:tcPr>
          <w:p>
            <w:pPr>
              <w:spacing w:after="0"/>
            </w:pPr>
            <w:r>
              <w:rPr>
                <w:b w:val="false"/>
                <w:bCs w:val="false"/>
                <w:sz w:val="18"/>
                <w:szCs w:val="18"/>
              </w:rPr>
              <w:t xml:space="preserve">Intune ↔ MDE connector (Windows), dynamic device group, EDR policy </w:t>
            </w:r>
            <w:r>
              <w:rPr>
                <w:b w:val="false"/>
                <w:bCs w:val="false"/>
                <w:i/>
                <w:iCs/>
                <w:sz w:val="18"/>
                <w:szCs w:val="18"/>
              </w:rPr>
              <w:t xml:space="preserve">Auto from connector</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Prepare-Tenant.ps1 -ConfigureMde</w:t>
            </w:r>
          </w:p>
        </w:tc>
        <w:tc>
          <w:tcPr>
            <w:tcW w:type="dxa" w:w="0"/>
            <w:tcMar>
              <w:top w:type="dxa" w:w="60"/>
              <w:left w:type="dxa" w:w="80"/>
              <w:bottom w:type="dxa" w:w="60"/>
              <w:right w:type="dxa" w:w="80"/>
            </w:tcMar>
          </w:tcPr>
          <w:p>
            <w:pPr>
              <w:spacing w:after="0"/>
            </w:pPr>
            <w:r>
              <w:rPr>
                <w:b w:val="false"/>
                <w:bCs w:val="false"/>
                <w:sz w:val="18"/>
                <w:szCs w:val="18"/>
              </w:rPr>
              <w:t xml:space="preserve">once per tenant</w:t>
            </w:r>
          </w:p>
        </w:tc>
      </w:tr>
      <w:tr>
        <w:tc>
          <w:tcPr>
            <w:tcW w:type="dxa" w:w="0"/>
            <w:tcMar>
              <w:top w:type="dxa" w:w="60"/>
              <w:left w:type="dxa" w:w="80"/>
              <w:bottom w:type="dxa" w:w="60"/>
              <w:right w:type="dxa" w:w="80"/>
            </w:tcMar>
          </w:tcPr>
          <w:p>
            <w:pPr>
              <w:spacing w:after="0"/>
            </w:pPr>
            <w:r>
              <w:rPr>
                <w:b w:val="false"/>
                <w:bCs w:val="false"/>
                <w:sz w:val="18"/>
                <w:szCs w:val="18"/>
              </w:rPr>
              <w:t xml:space="preserve">License for the synced lab user</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Prepare-Tenant.ps1 -LabUserUpn</w:t>
            </w:r>
          </w:p>
        </w:tc>
        <w:tc>
          <w:tcPr>
            <w:tcW w:type="dxa" w:w="0"/>
            <w:tcMar>
              <w:top w:type="dxa" w:w="60"/>
              <w:left w:type="dxa" w:w="80"/>
              <w:bottom w:type="dxa" w:w="60"/>
              <w:right w:type="dxa" w:w="80"/>
            </w:tcMar>
          </w:tcPr>
          <w:p>
            <w:pPr>
              <w:spacing w:after="0"/>
            </w:pPr>
            <w:r>
              <w:rPr>
                <w:b w:val="false"/>
                <w:bCs w:val="false"/>
                <w:sz w:val="18"/>
                <w:szCs w:val="18"/>
              </w:rPr>
              <w:t xml:space="preserve">after the first sync</w:t>
            </w:r>
          </w:p>
        </w:tc>
      </w:tr>
      <w:tr>
        <w:tc>
          <w:tcPr>
            <w:tcW w:type="dxa" w:w="0"/>
            <w:tcMar>
              <w:top w:type="dxa" w:w="60"/>
              <w:left w:type="dxa" w:w="80"/>
              <w:bottom w:type="dxa" w:w="60"/>
              <w:right w:type="dxa" w:w="80"/>
            </w:tcMar>
          </w:tcPr>
          <w:p>
            <w:pPr>
              <w:spacing w:after="0"/>
            </w:pPr>
            <w:r>
              <w:rPr>
                <w:b w:val="false"/>
                <w:bCs w:val="false"/>
                <w:sz w:val="18"/>
                <w:szCs w:val="18"/>
              </w:rPr>
              <w:t xml:space="preserve">Defender portal → Intune connection = On</w:t>
            </w:r>
          </w:p>
        </w:tc>
        <w:tc>
          <w:tcPr>
            <w:tcW w:type="dxa" w:w="0"/>
            <w:tcMar>
              <w:top w:type="dxa" w:w="60"/>
              <w:left w:type="dxa" w:w="80"/>
              <w:bottom w:type="dxa" w:w="60"/>
              <w:right w:type="dxa" w:w="80"/>
            </w:tcMar>
          </w:tcPr>
          <w:p>
            <w:pPr>
              <w:spacing w:after="0"/>
            </w:pPr>
            <w:r>
              <w:rPr>
                <w:b w:val="false"/>
                <w:bCs w:val="false"/>
                <w:sz w:val="18"/>
                <w:szCs w:val="18"/>
              </w:rPr>
              <w:t xml:space="preserve">you (one toggle)</w:t>
            </w:r>
          </w:p>
        </w:tc>
        <w:tc>
          <w:tcPr>
            <w:tcW w:type="dxa" w:w="0"/>
            <w:tcMar>
              <w:top w:type="dxa" w:w="60"/>
              <w:left w:type="dxa" w:w="80"/>
              <w:bottom w:type="dxa" w:w="60"/>
              <w:right w:type="dxa" w:w="80"/>
            </w:tcMar>
          </w:tcPr>
          <w:p>
            <w:pPr>
              <w:spacing w:after="0"/>
            </w:pPr>
            <w:r>
              <w:rPr>
                <w:b w:val="false"/>
                <w:bCs w:val="false"/>
                <w:sz w:val="18"/>
                <w:szCs w:val="18"/>
              </w:rPr>
              <w:t xml:space="preserve">once per tenant</w:t>
            </w:r>
          </w:p>
        </w:tc>
      </w:tr>
      <w:tr>
        <w:tc>
          <w:tcPr>
            <w:tcW w:type="dxa" w:w="0"/>
            <w:tcMar>
              <w:top w:type="dxa" w:w="60"/>
              <w:left w:type="dxa" w:w="80"/>
              <w:bottom w:type="dxa" w:w="60"/>
              <w:right w:type="dxa" w:w="80"/>
            </w:tcMar>
          </w:tcPr>
          <w:p>
            <w:pPr>
              <w:spacing w:after="0"/>
            </w:pPr>
            <w:r>
              <w:rPr>
                <w:b w:val="false"/>
                <w:bCs w:val="false"/>
                <w:sz w:val="18"/>
                <w:szCs w:val="18"/>
              </w:rPr>
              <w:t xml:space="preserve">Entra Connect wizard</w:t>
            </w:r>
            <w:r>
              <w:rPr>
                <w:b w:val="false"/>
                <w:bCs w:val="false"/>
                <w:sz w:val="18"/>
                <w:szCs w:val="18"/>
              </w:rPr>
              <w:t xml:space="preserve"> on </w:t>
            </w:r>
            <w:r>
              <w:rPr>
                <w:rFonts w:ascii="Consolas" w:cs="Consolas" w:eastAsia="Consolas" w:hAnsi="Consolas"/>
                <w:b w:val="false"/>
                <w:bCs w:val="false"/>
                <w:sz w:val="18"/>
                <w:szCs w:val="18"/>
              </w:rPr>
              <w:t xml:space="preserve">lab-ms01</w:t>
            </w:r>
          </w:p>
        </w:tc>
        <w:tc>
          <w:tcPr>
            <w:tcW w:type="dxa" w:w="0"/>
            <w:tcMar>
              <w:top w:type="dxa" w:w="60"/>
              <w:left w:type="dxa" w:w="80"/>
              <w:bottom w:type="dxa" w:w="60"/>
              <w:right w:type="dxa" w:w="80"/>
            </w:tcMar>
          </w:tcPr>
          <w:p>
            <w:pPr>
              <w:spacing w:after="0"/>
            </w:pPr>
            <w:r>
              <w:rPr>
                <w:b w:val="false"/>
                <w:bCs w:val="false"/>
                <w:sz w:val="18"/>
                <w:szCs w:val="18"/>
              </w:rPr>
              <w:t xml:space="preserve">you (needs MFA)</w:t>
            </w:r>
          </w:p>
        </w:tc>
        <w:tc>
          <w:tcPr>
            <w:tcW w:type="dxa" w:w="0"/>
            <w:tcMar>
              <w:top w:type="dxa" w:w="60"/>
              <w:left w:type="dxa" w:w="80"/>
              <w:bottom w:type="dxa" w:w="60"/>
              <w:right w:type="dxa" w:w="80"/>
            </w:tcMar>
          </w:tcPr>
          <w:p>
            <w:pPr>
              <w:spacing w:after="0"/>
            </w:pPr>
            <w:r>
              <w:rPr>
                <w:b w:val="false"/>
                <w:bCs w:val="false"/>
                <w:sz w:val="18"/>
                <w:szCs w:val="18"/>
              </w:rPr>
              <w:t xml:space="preserve">once per deployment</w:t>
            </w:r>
          </w:p>
        </w:tc>
      </w:tr>
    </w:tbl>
    <w:p>
      <w:pPr>
        <w:spacing w:after="120"/>
      </w:pPr>
    </w:p>
    <w:p>
      <w:pPr>
        <w:spacing w:after="120"/>
      </w:pPr>
      <w:r>
        <w:t xml:space="preserve">#### 5.2.1 Prerequisites</w:t>
      </w:r>
    </w:p>
    <w:p>
      <w:pPr>
        <w:pStyle w:val="ListParagraph"/>
        <w:numPr>
          <w:ilvl w:val="0"/>
          <w:numId w:val="2"/>
        </w:numPr>
        <w:spacing w:after="80"/>
      </w:pPr>
      <w:r>
        <w:t xml:space="preserve">A </w:t>
      </w:r>
      <w:r>
        <w:rPr>
          <w:b/>
          <w:bCs/>
        </w:rPr>
        <w:t xml:space="preserve">break-glass Global Administrator</w:t>
      </w:r>
      <w:r>
        <w:t xml:space="preserve"> (cloud-only, excluded from all Conditional Access policies).</w:t>
      </w:r>
    </w:p>
    <w:p>
      <w:pPr>
        <w:pStyle w:val="ListParagraph"/>
        <w:numPr>
          <w:ilvl w:val="0"/>
          <w:numId w:val="2"/>
        </w:numPr>
        <w:spacing w:after="80"/>
      </w:pPr>
      <w:r>
        <w:rPr>
          <w:b/>
          <w:bCs/>
        </w:rPr>
        <w:t xml:space="preserve">Licences</w:t>
      </w:r>
      <w:r>
        <w:t xml:space="preserve">: Entra ID P1/P2 + Intune for the lab user (hybrid join's PRT and MDM auto-enrollment are licensed features), and Defender for Endpoint P2 for the clients (included in Microsoft 365 E5; the servers are covered by Defender for Servers P2).</w:t>
      </w:r>
    </w:p>
    <w:p>
      <w:pPr>
        <w:pStyle w:val="ListParagraph"/>
        <w:numPr>
          <w:ilvl w:val="0"/>
          <w:numId w:val="2"/>
        </w:numPr>
        <w:spacing w:after="80"/>
      </w:pPr>
      <w:r>
        <w:t xml:space="preserve">Your account: </w:t>
      </w:r>
      <w:r>
        <w:rPr>
          <w:b/>
          <w:bCs/>
        </w:rPr>
        <w:t xml:space="preserve">Global Administrator</w:t>
      </w:r>
      <w:r>
        <w:t xml:space="preserve"> (or Intune Administrator + Cloud Application Administrator + License Administrator + Security Administrator) for </w:t>
      </w:r>
      <w:r>
        <w:rPr>
          <w:rFonts w:ascii="Consolas" w:cs="Consolas" w:eastAsia="Consolas" w:hAnsi="Consolas"/>
          <w:sz w:val="18"/>
          <w:szCs w:val="18"/>
        </w:rPr>
        <w:t xml:space="preserve">Prepare-Tenant.ps1</w:t>
      </w:r>
      <w:r>
        <w:t xml:space="preserve"> and the Defender toggle, and </w:t>
      </w:r>
      <w:r>
        <w:rPr>
          <w:b/>
          <w:bCs/>
        </w:rPr>
        <w:t xml:space="preserve">Hybrid Identity Administrator</w:t>
      </w:r>
      <w:r>
        <w:t xml:space="preserve"> (or Global Administrator) for the Entra Connect wizard.</w:t>
      </w:r>
    </w:p>
    <w:p>
      <w:pPr>
        <w:pStyle w:val="ListParagraph"/>
        <w:numPr>
          <w:ilvl w:val="0"/>
          <w:numId w:val="2"/>
        </w:numPr>
        <w:spacing w:after="80"/>
      </w:pPr>
      <w:r>
        <w:t xml:space="preserve">Optional: the </w:t>
      </w:r>
      <w:r>
        <w:rPr>
          <w:b/>
          <w:bCs/>
        </w:rPr>
        <w:t xml:space="preserve">MDE onboarding package</w:t>
      </w:r>
      <w:r>
        <w:t xml:space="preserve"> — only if you want a GPO-based onboarding path in addition to Intune. Defender portal (</w:t>
      </w:r>
      <w:r>
        <w:rPr>
          <w:rFonts w:ascii="Consolas" w:cs="Consolas" w:eastAsia="Consolas" w:hAnsi="Consolas"/>
          <w:sz w:val="18"/>
          <w:szCs w:val="18"/>
        </w:rPr>
        <w:t xml:space="preserve">security.microsoft.com</w:t>
      </w:r>
      <w:r>
        <w:t xml:space="preserve">) → Settings → Endpoints → </w:t>
      </w:r>
      <w:r>
        <w:rPr>
          <w:b/>
          <w:bCs/>
        </w:rPr>
        <w:t xml:space="preserve">Onboarding</w:t>
      </w:r>
      <w:r>
        <w:t xml:space="preserve"> → Windows 10 and 11 → </w:t>
      </w:r>
      <w:r>
        <w:rPr>
          <w:i/>
          <w:iCs/>
        </w:rPr>
        <w:t xml:space="preserve">Group Policy</w:t>
      </w:r>
      <w:r>
        <w:t xml:space="preserve"> → Download; paste the </w:t>
      </w:r>
      <w:r>
        <w:rPr>
          <w:rFonts w:ascii="Consolas" w:cs="Consolas" w:eastAsia="Consolas" w:hAnsi="Consolas"/>
          <w:sz w:val="18"/>
          <w:szCs w:val="18"/>
        </w:rPr>
        <w:t xml:space="preserve">OnboardingInfo</w:t>
      </w:r>
      <w:r>
        <w:t xml:space="preserve"> JSON into </w:t>
      </w:r>
      <w:r>
        <w:rPr>
          <w:b/>
          <w:bCs/>
        </w:rPr>
        <w:t xml:space="preserve">MDE onboarding blob</w:t>
      </w:r>
      <w:r>
        <w:t xml:space="preserve"> on the Lab Options tab before deploying.</w:t>
      </w:r>
    </w:p>
    <w:p>
      <w:pPr>
        <w:spacing w:after="120"/>
      </w:pPr>
      <w:r>
        <w:t xml:space="preserve">#### 5.2.2 Run </w:t>
      </w:r>
      <w:r>
        <w:rPr>
          <w:rFonts w:ascii="Consolas" w:cs="Consolas" w:eastAsia="Consolas" w:hAnsi="Consolas"/>
          <w:sz w:val="18"/>
          <w:szCs w:val="18"/>
        </w:rPr>
        <w:t xml:space="preserve">Prepare-Tenant.ps1</w:t>
      </w:r>
      <w:r>
        <w:t xml:space="preserve"> (MDM scope, enrollment app, MDE connector)</w:t>
      </w:r>
    </w:p>
    <w:p>
      <w:pPr>
        <w:spacing w:after="120"/>
      </w:pPr>
      <w:r>
        <w:t xml:space="preserve">On a Commercial tenant the Intune </w:t>
      </w:r>
      <w:r>
        <w:rPr>
          <w:i/>
          <w:iCs/>
        </w:rPr>
        <w:t xml:space="preserve">Automatic Enrollment</w:t>
      </w:r>
      <w:r>
        <w:t xml:space="preserve"> page already carries the </w:t>
      </w:r>
      <w:r>
        <w:rPr>
          <w:rFonts w:ascii="Consolas" w:cs="Consolas" w:eastAsia="Consolas" w:hAnsi="Consolas"/>
          <w:sz w:val="18"/>
          <w:szCs w:val="18"/>
        </w:rPr>
        <w:t xml:space="preserve">.com</w:t>
      </w:r>
      <w:r>
        <w:t xml:space="preserve"> MDM URLs, so the script only has to set the MDM user scope and the MDE pieces. From the same Cloud Shell session:</w:t>
      </w:r>
    </w:p>
    <w:p>
      <w:pPr>
        <w:keepNext/>
        <w:shd w:fill="F2F2F2" w:color="auto" w:val="clear"/>
        <w:spacing w:after="0" w:before="0" w:line="240"/>
        <w:ind w:left="120" w:right="120"/>
      </w:pPr>
      <w:r>
        <w:rPr>
          <w:rFonts w:ascii="Consolas" w:cs="Consolas" w:eastAsia="Consolas" w:hAnsi="Consolas"/>
          <w:sz w:val="17"/>
          <w:szCs w:val="17"/>
        </w:rPr>
        <w:t xml:space="preserve">cd ~/kit/templates/scripts</w:t>
      </w:r>
    </w:p>
    <w:p>
      <w:pPr>
        <w:keepNext w:val="false"/>
        <w:shd w:fill="F2F2F2" w:color="auto" w:val="clear"/>
        <w:spacing w:after="160" w:before="0" w:line="240"/>
        <w:ind w:left="120" w:right="120"/>
      </w:pPr>
      <w:r>
        <w:rPr>
          <w:rFonts w:ascii="Consolas" w:cs="Consolas" w:eastAsia="Consolas" w:hAnsi="Consolas"/>
          <w:sz w:val="17"/>
          <w:szCs w:val="17"/>
        </w:rPr>
        <w:t xml:space="preserve">./Prepare-Tenant.ps1 -Cloud Global -ConfigureMde</w:t>
      </w:r>
    </w:p>
    <w:p>
      <w:pPr>
        <w:spacing w:after="120"/>
      </w:pPr>
      <w:r>
        <w:t xml:space="preserve">It signs in to Microsoft Graph with a </w:t>
      </w:r>
      <w:r>
        <w:rPr>
          <w:b/>
          <w:bCs/>
        </w:rPr>
        <w:t xml:space="preserve">device code</w:t>
      </w:r>
      <w:r>
        <w:t xml:space="preserve"> (open </w:t>
      </w:r>
      <w:r>
        <w:rPr>
          <w:rFonts w:ascii="Consolas" w:cs="Consolas" w:eastAsia="Consolas" w:hAnsi="Consolas"/>
          <w:sz w:val="18"/>
          <w:szCs w:val="18"/>
        </w:rPr>
        <w:t xml:space="preserve">https://microsoft.com/devicelogin</w:t>
      </w:r>
      <w:r>
        <w:t xml:space="preserve">, enter the code, complete MFA — you have 15 minutes; the kit runs the device-code grant itself because the Graph SDK gives up after 120 seconds, troubleshooting #54), then: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Setting</w:t>
            </w:r>
          </w:p>
        </w:tc>
        <w:tc>
          <w:tcPr>
            <w:tcW w:type="dxa" w:w="0"/>
            <w:shd w:fill="DCE6F1" w:color="auto" w:val="clear"/>
            <w:tcMar>
              <w:top w:type="dxa" w:w="60"/>
              <w:left w:type="dxa" w:w="80"/>
              <w:bottom w:type="dxa" w:w="60"/>
              <w:right w:type="dxa" w:w="80"/>
            </w:tcMar>
          </w:tcPr>
          <w:p>
            <w:pPr>
              <w:spacing w:after="0"/>
            </w:pPr>
            <w:r>
              <w:rPr>
                <w:b/>
                <w:bCs/>
                <w:sz w:val="18"/>
                <w:szCs w:val="18"/>
              </w:rPr>
              <w:t xml:space="preserve">Value written (Commercial)</w:t>
            </w:r>
          </w:p>
        </w:tc>
      </w:tr>
      <w:tr>
        <w:tc>
          <w:tcPr>
            <w:tcW w:type="dxa" w:w="0"/>
            <w:tcMar>
              <w:top w:type="dxa" w:w="60"/>
              <w:left w:type="dxa" w:w="80"/>
              <w:bottom w:type="dxa" w:w="60"/>
              <w:right w:type="dxa" w:w="80"/>
            </w:tcMar>
          </w:tcPr>
          <w:p>
            <w:pPr>
              <w:spacing w:after="0"/>
            </w:pPr>
            <w:r>
              <w:rPr>
                <w:b w:val="false"/>
                <w:bCs w:val="false"/>
                <w:sz w:val="18"/>
                <w:szCs w:val="18"/>
              </w:rPr>
              <w:t xml:space="preserve">MDM user scope</w:t>
            </w:r>
          </w:p>
        </w:tc>
        <w:tc>
          <w:tcPr>
            <w:tcW w:type="dxa" w:w="0"/>
            <w:tcMar>
              <w:top w:type="dxa" w:w="60"/>
              <w:left w:type="dxa" w:w="80"/>
              <w:bottom w:type="dxa" w:w="60"/>
              <w:right w:type="dxa" w:w="80"/>
            </w:tcMar>
          </w:tcPr>
          <w:p>
            <w:pPr>
              <w:spacing w:after="0"/>
            </w:pPr>
            <w:r>
              <w:rPr>
                <w:b w:val="false"/>
                <w:bCs w:val="false"/>
                <w:sz w:val="18"/>
                <w:szCs w:val="18"/>
              </w:rPr>
              <w:t xml:space="preserve">All</w:t>
            </w:r>
            <w:r>
              <w:rPr>
                <w:b w:val="false"/>
                <w:bCs w:val="false"/>
                <w:sz w:val="18"/>
                <w:szCs w:val="18"/>
              </w:rPr>
              <w:t xml:space="preserve"> (or </w:t>
            </w:r>
            <w:r>
              <w:rPr>
                <w:b w:val="false"/>
                <w:bCs w:val="false"/>
                <w:sz w:val="18"/>
                <w:szCs w:val="18"/>
              </w:rPr>
              <w:t xml:space="preserve">Some</w:t>
            </w:r>
            <w:r>
              <w:rPr>
                <w:b w:val="false"/>
                <w:bCs w:val="false"/>
                <w:sz w:val="18"/>
                <w:szCs w:val="18"/>
              </w:rPr>
              <w:t xml:space="preserve"> with </w:t>
            </w:r>
            <w:r>
              <w:rPr>
                <w:rFonts w:ascii="Consolas" w:cs="Consolas" w:eastAsia="Consolas" w:hAnsi="Consolas"/>
                <w:b w:val="false"/>
                <w:bCs w:val="false"/>
                <w:sz w:val="18"/>
                <w:szCs w:val="18"/>
              </w:rPr>
              <w:t xml:space="preserve">-MdmScopeGroupId &lt;group id&gt;</w:t>
            </w:r>
            <w:r>
              <w:rPr>
                <w:b w:val="false"/>
                <w:bCs w:val="false"/>
                <w:sz w:val="18"/>
                <w:szCs w:val="18"/>
              </w:rPr>
              <w:t xml:space="preserve">)</w:t>
            </w:r>
          </w:p>
        </w:tc>
      </w:tr>
      <w:tr>
        <w:tc>
          <w:tcPr>
            <w:tcW w:type="dxa" w:w="0"/>
            <w:tcMar>
              <w:top w:type="dxa" w:w="60"/>
              <w:left w:type="dxa" w:w="80"/>
              <w:bottom w:type="dxa" w:w="60"/>
              <w:right w:type="dxa" w:w="80"/>
            </w:tcMar>
          </w:tcPr>
          <w:p>
            <w:pPr>
              <w:spacing w:after="0"/>
            </w:pPr>
            <w:r>
              <w:rPr>
                <w:b w:val="false"/>
                <w:bCs w:val="false"/>
                <w:sz w:val="18"/>
                <w:szCs w:val="18"/>
              </w:rPr>
              <w:t xml:space="preserve">MDM URLs</w:t>
            </w:r>
          </w:p>
        </w:tc>
        <w:tc>
          <w:tcPr>
            <w:tcW w:type="dxa" w:w="0"/>
            <w:tcMar>
              <w:top w:type="dxa" w:w="60"/>
              <w:left w:type="dxa" w:w="80"/>
              <w:bottom w:type="dxa" w:w="60"/>
              <w:right w:type="dxa" w:w="80"/>
            </w:tcMar>
          </w:tcPr>
          <w:p>
            <w:pPr>
              <w:spacing w:after="0"/>
            </w:pPr>
            <w:r>
              <w:rPr>
                <w:b w:val="false"/>
                <w:bCs w:val="false"/>
                <w:sz w:val="18"/>
                <w:szCs w:val="18"/>
              </w:rPr>
              <w:t xml:space="preserve">left at the </w:t>
            </w:r>
            <w:r>
              <w:rPr>
                <w:rFonts w:ascii="Consolas" w:cs="Consolas" w:eastAsia="Consolas" w:hAnsi="Consolas"/>
                <w:b w:val="false"/>
                <w:bCs w:val="false"/>
                <w:sz w:val="18"/>
                <w:szCs w:val="18"/>
              </w:rPr>
              <w:t xml:space="preserve">.com</w:t>
            </w:r>
            <w:r>
              <w:rPr>
                <w:b w:val="false"/>
                <w:bCs w:val="false"/>
                <w:sz w:val="18"/>
                <w:szCs w:val="18"/>
              </w:rPr>
              <w:t xml:space="preserve"> defaults (</w:t>
            </w:r>
            <w:r>
              <w:rPr>
                <w:rFonts w:ascii="Consolas" w:cs="Consolas" w:eastAsia="Consolas" w:hAnsi="Consolas"/>
                <w:b w:val="false"/>
                <w:bCs w:val="false"/>
                <w:sz w:val="18"/>
                <w:szCs w:val="18"/>
              </w:rPr>
              <w:t xml:space="preserve">enrollment.manage.microsoft.com</w:t>
            </w:r>
            <w:r>
              <w:rPr>
                <w:b w:val="false"/>
                <w:bCs w:val="false"/>
                <w:sz w:val="18"/>
                <w:szCs w:val="18"/>
              </w:rPr>
              <w:t xml:space="preserve">, </w:t>
            </w:r>
            <w:r>
              <w:rPr>
                <w:rFonts w:ascii="Consolas" w:cs="Consolas" w:eastAsia="Consolas" w:hAnsi="Consolas"/>
                <w:b w:val="false"/>
                <w:bCs w:val="false"/>
                <w:sz w:val="18"/>
                <w:szCs w:val="18"/>
              </w:rPr>
              <w:t xml:space="preserve">portal.manage.microsoft.com</w:t>
            </w:r>
            <w:r>
              <w:rPr>
                <w:b w:val="false"/>
                <w:bCs w:val="false"/>
                <w:sz w:val="18"/>
                <w:szCs w:val="18"/>
              </w:rPr>
              <w:t xml:space="preserve">)</w:t>
            </w:r>
          </w:p>
        </w:tc>
      </w:tr>
      <w:tr>
        <w:tc>
          <w:tcPr>
            <w:tcW w:type="dxa" w:w="0"/>
            <w:tcMar>
              <w:top w:type="dxa" w:w="60"/>
              <w:left w:type="dxa" w:w="80"/>
              <w:bottom w:type="dxa" w:w="60"/>
              <w:right w:type="dxa" w:w="80"/>
            </w:tcMar>
          </w:tcPr>
          <w:p>
            <w:pPr>
              <w:spacing w:after="0"/>
            </w:pPr>
            <w:r>
              <w:rPr>
                <w:b w:val="false"/>
                <w:bCs w:val="false"/>
                <w:i/>
                <w:iCs/>
                <w:sz w:val="18"/>
                <w:szCs w:val="18"/>
              </w:rPr>
              <w:t xml:space="preserve">Microsoft Intune Enrollment</w:t>
            </w:r>
            <w:r>
              <w:rPr>
                <w:b w:val="false"/>
                <w:bCs w:val="false"/>
                <w:sz w:val="18"/>
                <w:szCs w:val="18"/>
              </w:rPr>
              <w:t xml:space="preserve"> (</w:t>
            </w:r>
            <w:r>
              <w:rPr>
                <w:rFonts w:ascii="Consolas" w:cs="Consolas" w:eastAsia="Consolas" w:hAnsi="Consolas"/>
                <w:b w:val="false"/>
                <w:bCs w:val="false"/>
                <w:sz w:val="18"/>
                <w:szCs w:val="18"/>
              </w:rPr>
              <w:t xml:space="preserve">d4ebce55-015a-49b5-a083-c84d1797ae8c</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service principal created if missing; CA policies that would block it are listed</w:t>
            </w:r>
          </w:p>
        </w:tc>
      </w:tr>
      <w:tr>
        <w:tc>
          <w:tcPr>
            <w:tcW w:type="dxa" w:w="0"/>
            <w:tcMar>
              <w:top w:type="dxa" w:w="60"/>
              <w:left w:type="dxa" w:w="80"/>
              <w:bottom w:type="dxa" w:w="60"/>
              <w:right w:type="dxa" w:w="80"/>
            </w:tcMar>
          </w:tcPr>
          <w:p>
            <w:pPr>
              <w:spacing w:after="0"/>
            </w:pPr>
            <w:r>
              <w:rPr>
                <w:b w:val="false"/>
                <w:bCs w:val="false"/>
                <w:sz w:val="18"/>
                <w:szCs w:val="18"/>
              </w:rPr>
              <w:t xml:space="preserve">Intune ↔ MDE connector</w:t>
            </w:r>
          </w:p>
        </w:tc>
        <w:tc>
          <w:tcPr>
            <w:tcW w:type="dxa" w:w="0"/>
            <w:tcMar>
              <w:top w:type="dxa" w:w="60"/>
              <w:left w:type="dxa" w:w="80"/>
              <w:bottom w:type="dxa" w:w="60"/>
              <w:right w:type="dxa" w:w="80"/>
            </w:tcMar>
          </w:tcPr>
          <w:p>
            <w:pPr>
              <w:spacing w:after="0"/>
            </w:pPr>
            <w:r>
              <w:rPr>
                <w:b w:val="false"/>
                <w:bCs w:val="false"/>
                <w:sz w:val="18"/>
                <w:szCs w:val="18"/>
              </w:rPr>
              <w:t xml:space="preserve">Windows devices </w:t>
            </w:r>
            <w:r>
              <w:rPr>
                <w:b w:val="false"/>
                <w:bCs w:val="false"/>
                <w:sz w:val="18"/>
                <w:szCs w:val="18"/>
              </w:rPr>
              <w:t xml:space="preserve">On</w:t>
            </w:r>
          </w:p>
        </w:tc>
      </w:tr>
      <w:tr>
        <w:tc>
          <w:tcPr>
            <w:tcW w:type="dxa" w:w="0"/>
            <w:tcMar>
              <w:top w:type="dxa" w:w="60"/>
              <w:left w:type="dxa" w:w="80"/>
              <w:bottom w:type="dxa" w:w="60"/>
              <w:right w:type="dxa" w:w="80"/>
            </w:tcMar>
          </w:tcPr>
          <w:p>
            <w:pPr>
              <w:spacing w:after="0"/>
            </w:pPr>
            <w:r>
              <w:rPr>
                <w:b w:val="false"/>
                <w:bCs w:val="false"/>
                <w:sz w:val="18"/>
                <w:szCs w:val="18"/>
              </w:rPr>
              <w:t xml:space="preserve">Device group </w:t>
            </w:r>
            <w:r>
              <w:rPr>
                <w:rFonts w:ascii="Consolas" w:cs="Consolas" w:eastAsia="Consolas" w:hAnsi="Consolas"/>
                <w:b w:val="false"/>
                <w:bCs w:val="false"/>
                <w:sz w:val="18"/>
                <w:szCs w:val="18"/>
              </w:rPr>
              <w:t xml:space="preserve">LAB-Intune-Devices</w:t>
            </w:r>
          </w:p>
        </w:tc>
        <w:tc>
          <w:tcPr>
            <w:tcW w:type="dxa" w:w="0"/>
            <w:tcMar>
              <w:top w:type="dxa" w:w="60"/>
              <w:left w:type="dxa" w:w="80"/>
              <w:bottom w:type="dxa" w:w="60"/>
              <w:right w:type="dxa" w:w="80"/>
            </w:tcMar>
          </w:tcPr>
          <w:p>
            <w:pPr>
              <w:spacing w:after="0"/>
            </w:pPr>
            <w:r>
              <w:rPr>
                <w:b w:val="false"/>
                <w:bCs w:val="false"/>
                <w:sz w:val="18"/>
                <w:szCs w:val="18"/>
              </w:rPr>
              <w:t xml:space="preserve">dynamic: </w:t>
            </w:r>
            <w:r>
              <w:rPr>
                <w:rFonts w:ascii="Consolas" w:cs="Consolas" w:eastAsia="Consolas" w:hAnsi="Consolas"/>
                <w:b w:val="false"/>
                <w:bCs w:val="false"/>
                <w:sz w:val="18"/>
                <w:szCs w:val="18"/>
              </w:rPr>
              <w:t xml:space="preserve">device.displayName -startsWith "lab-cl"</w:t>
            </w:r>
          </w:p>
        </w:tc>
      </w:tr>
      <w:tr>
        <w:tc>
          <w:tcPr>
            <w:tcW w:type="dxa" w:w="0"/>
            <w:tcMar>
              <w:top w:type="dxa" w:w="60"/>
              <w:left w:type="dxa" w:w="80"/>
              <w:bottom w:type="dxa" w:w="60"/>
              <w:right w:type="dxa" w:w="80"/>
            </w:tcMar>
          </w:tcPr>
          <w:p>
            <w:pPr>
              <w:spacing w:after="0"/>
            </w:pPr>
            <w:r>
              <w:rPr>
                <w:b w:val="false"/>
                <w:bCs w:val="false"/>
                <w:sz w:val="18"/>
                <w:szCs w:val="18"/>
              </w:rPr>
              <w:t xml:space="preserve">EDR policy </w:t>
            </w:r>
            <w:r>
              <w:rPr>
                <w:b w:val="false"/>
                <w:bCs w:val="false"/>
                <w:i/>
                <w:iCs/>
                <w:sz w:val="18"/>
                <w:szCs w:val="18"/>
              </w:rPr>
              <w:t xml:space="preserve">LAB - Defender for Endpoint onboarding (auto from connector)</w:t>
            </w:r>
          </w:p>
        </w:tc>
        <w:tc>
          <w:tcPr>
            <w:tcW w:type="dxa" w:w="0"/>
            <w:tcMar>
              <w:top w:type="dxa" w:w="60"/>
              <w:left w:type="dxa" w:w="80"/>
              <w:bottom w:type="dxa" w:w="60"/>
              <w:right w:type="dxa" w:w="80"/>
            </w:tcMar>
          </w:tcPr>
          <w:p>
            <w:pPr>
              <w:spacing w:after="0"/>
            </w:pPr>
            <w:r>
              <w:rPr>
                <w:b w:val="false"/>
                <w:bCs w:val="false"/>
                <w:sz w:val="18"/>
                <w:szCs w:val="18"/>
              </w:rPr>
              <w:t xml:space="preserve">Endpoint security → EDR, onboarding package </w:t>
            </w:r>
            <w:r>
              <w:rPr>
                <w:b w:val="false"/>
                <w:bCs w:val="false"/>
                <w:sz w:val="18"/>
                <w:szCs w:val="18"/>
              </w:rPr>
              <w:t xml:space="preserve">Auto from connector</w:t>
            </w:r>
            <w:r>
              <w:rPr>
                <w:b w:val="false"/>
                <w:bCs w:val="false"/>
                <w:sz w:val="18"/>
                <w:szCs w:val="18"/>
              </w:rPr>
              <w:t xml:space="preserve">, assigned to the group</w:t>
            </w:r>
          </w:p>
        </w:tc>
      </w:tr>
    </w:tbl>
    <w:p>
      <w:pPr>
        <w:spacing w:after="120"/>
      </w:pPr>
    </w:p>
    <w:p>
      <w:pPr>
        <w:spacing w:after="120"/>
      </w:pPr>
      <w:r>
        <w:t xml:space="preserve">A successful run ends with </w:t>
      </w:r>
      <w:r>
        <w:rPr>
          <w:rFonts w:ascii="Consolas" w:cs="Consolas" w:eastAsia="Consolas" w:hAnsi="Consolas"/>
          <w:sz w:val="18"/>
          <w:szCs w:val="18"/>
        </w:rPr>
        <w:t xml:space="preserve">PREPARE-TENANT-STATUS: Success</w:t>
      </w:r>
      <w:r>
        <w:t xml:space="preserve">. On the test tenant the run (after the Defender toggle was already on) came back with the MDM scope moved from </w:t>
      </w:r>
      <w:r>
        <w:rPr>
          <w:i/>
          <w:iCs/>
        </w:rPr>
        <w:t xml:space="preserve">none</w:t>
      </w:r>
      <w:r>
        <w:t xml:space="preserve"> to </w:t>
      </w:r>
      <w:r>
        <w:rPr>
          <w:i/>
          <w:iCs/>
        </w:rPr>
        <w:t xml:space="preserve">All</w:t>
      </w:r>
      <w:r>
        <w:t xml:space="preserve">, the enrollment service principal created, the MDE connector </w:t>
      </w:r>
      <w:r>
        <w:rPr>
          <w:rFonts w:ascii="Consolas" w:cs="Consolas" w:eastAsia="Consolas" w:hAnsi="Consolas"/>
          <w:sz w:val="18"/>
          <w:szCs w:val="18"/>
        </w:rPr>
        <w:t xml:space="preserve">windowsEnabled=True partnerState=enabled</w:t>
      </w:r>
      <w:r>
        <w:t xml:space="preserve">, the device group and the EDR policy created, and three warnings for the Microsoft-managed Conditional Access policies </w:t>
      </w:r>
      <w:r>
        <w:rPr>
          <w:i/>
          <w:iCs/>
        </w:rPr>
        <w:t xml:space="preserve">… for Microsoft partners and vendors</w:t>
      </w:r>
      <w:r>
        <w:t xml:space="preserve">: they target all users and all apps without excluding Intune Enrollment. On this tenant they did block the silent enrollment (#59), so the fix was a second pass with the exclusion switch:</w:t>
      </w:r>
    </w:p>
    <w:p>
      <w:pPr>
        <w:keepNext w:val="false"/>
        <w:shd w:fill="F2F2F2" w:color="auto" w:val="clear"/>
        <w:spacing w:after="160" w:before="0" w:line="240"/>
        <w:ind w:left="120" w:right="120"/>
      </w:pPr>
      <w:r>
        <w:rPr>
          <w:rFonts w:ascii="Consolas" w:cs="Consolas" w:eastAsia="Consolas" w:hAnsi="Consolas"/>
          <w:sz w:val="17"/>
          <w:szCs w:val="17"/>
        </w:rPr>
        <w:t xml:space="preserve">./Prepare-Tenant.ps1 -Cloud Global -SkipMdm -ExcludeIntuneEnrollmentFromCa</w:t>
      </w:r>
    </w:p>
    <w:p>
      <w:pPr>
        <w:spacing w:after="120"/>
      </w:pPr>
      <w:r>
        <w:t xml:space="preserve">Run it as the tenant admin (it changes Conditional Access, so it is a deliberate, separate step).</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Prepare-Tenant success</w:t>
      </w:r>
    </w:p>
    <w:p>
      <w:pPr>
        <w:spacing w:after="120"/>
      </w:pPr>
      <w:r>
        <w:rPr>
          <w:b/>
          <w:bCs/>
        </w:rPr>
        <w:t xml:space="preserve">The one Defender toggle.</w:t>
      </w:r>
      <w:r>
        <w:t xml:space="preserve"> Microsoft Defender portal (</w:t>
      </w:r>
      <w:r>
        <w:rPr>
          <w:rFonts w:ascii="Consolas" w:cs="Consolas" w:eastAsia="Consolas" w:hAnsi="Consolas"/>
          <w:sz w:val="18"/>
          <w:szCs w:val="18"/>
        </w:rPr>
        <w:t xml:space="preserve">security.microsoft.com</w:t>
      </w:r>
      <w:r>
        <w:t xml:space="preserve">) → Settings → Endpoints → </w:t>
      </w:r>
      <w:r>
        <w:rPr>
          <w:b/>
          <w:bCs/>
        </w:rPr>
        <w:t xml:space="preserve">Advanced features</w:t>
      </w:r>
      <w:r>
        <w:t xml:space="preserve"> → </w:t>
      </w:r>
      <w:r>
        <w:rPr>
          <w:b/>
          <w:bCs/>
        </w:rPr>
        <w:t xml:space="preserve">Microsoft Intune connection = On</w:t>
      </w:r>
      <w:r>
        <w:t xml:space="preserve"> → Save. Do it before or after the script; the EDR policy starts onboarding as soon as both sides are on.</w:t>
      </w:r>
    </w:p>
    <w:p>
      <w:pPr>
        <w:spacing w:after="120"/>
      </w:pPr>
      <w:r>
        <w:t xml:space="preserve">#### 5.2.3 Entra Connect on </w:t>
      </w:r>
      <w:r>
        <w:rPr>
          <w:rFonts w:ascii="Consolas" w:cs="Consolas" w:eastAsia="Consolas" w:hAnsi="Consolas"/>
          <w:sz w:val="18"/>
          <w:szCs w:val="18"/>
        </w:rPr>
        <w:t xml:space="preserve">lab-ms01</w:t>
      </w:r>
      <w:r>
        <w:t xml:space="preserve"> (the one wizard)</w:t>
      </w:r>
    </w:p>
    <w:p>
      <w:pPr>
        <w:pStyle w:val="ListParagraph"/>
        <w:numPr>
          <w:ilvl w:val="0"/>
          <w:numId w:val="2"/>
        </w:numPr>
        <w:spacing w:after="80"/>
      </w:pPr>
      <w:r>
        <w:rPr>
          <w:rFonts w:ascii="Consolas" w:cs="Consolas" w:eastAsia="Consolas" w:hAnsi="Consolas"/>
          <w:sz w:val="18"/>
          <w:szCs w:val="18"/>
        </w:rPr>
        <w:t xml:space="preserve">lab-ms01</w:t>
      </w:r>
      <w:r>
        <w:t xml:space="preserve"> → </w:t>
      </w:r>
      <w:r>
        <w:rPr>
          <w:b/>
          <w:bCs/>
        </w:rPr>
        <w:t xml:space="preserve">Connect → Bastion</w:t>
      </w:r>
      <w:r>
        <w:t xml:space="preserve"> → authentication type </w:t>
      </w:r>
      <w:r>
        <w:rPr>
          <w:i/>
          <w:iCs/>
        </w:rPr>
        <w:t xml:space="preserve">VM password</w:t>
      </w:r>
      <w:r>
        <w:t xml:space="preserve">; username </w:t>
      </w:r>
      <w:r>
        <w:rPr>
          <w:rFonts w:ascii="Consolas" w:cs="Consolas" w:eastAsia="Consolas" w:hAnsi="Consolas"/>
          <w:sz w:val="18"/>
          <w:szCs w:val="18"/>
        </w:rPr>
        <w:t xml:space="preserve">labadmin@corp.contoso.lab</w:t>
      </w:r>
      <w:r>
        <w:t xml:space="preserve"> (UPN form — Bastion rejects </w:t>
      </w:r>
      <w:r>
        <w:rPr>
          <w:rFonts w:ascii="Consolas" w:cs="Consolas" w:eastAsia="Consolas" w:hAnsi="Consolas"/>
          <w:sz w:val="18"/>
          <w:szCs w:val="18"/>
        </w:rPr>
        <w:t xml:space="preserve">CORP\labadmin</w:t>
      </w:r>
      <w:r>
        <w:t xml:space="preserve">) and its password.</w:t>
      </w:r>
    </w:p>
    <w:p>
      <w:pPr>
        <w:pStyle w:val="ListParagraph"/>
        <w:numPr>
          <w:ilvl w:val="0"/>
          <w:numId w:val="2"/>
        </w:numPr>
        <w:spacing w:after="80"/>
      </w:pPr>
      <w:r>
        <w:t xml:space="preserve">In Edge on </w:t>
      </w:r>
      <w:r>
        <w:rPr>
          <w:rFonts w:ascii="Consolas" w:cs="Consolas" w:eastAsia="Consolas" w:hAnsi="Consolas"/>
          <w:sz w:val="18"/>
          <w:szCs w:val="18"/>
        </w:rPr>
        <w:t xml:space="preserve">lab-ms01</w:t>
      </w:r>
      <w:r>
        <w:t xml:space="preserve"> open </w:t>
      </w:r>
      <w:r>
        <w:rPr>
          <w:rFonts w:ascii="Consolas" w:cs="Consolas" w:eastAsia="Consolas" w:hAnsi="Consolas"/>
          <w:sz w:val="18"/>
          <w:szCs w:val="18"/>
        </w:rPr>
        <w:t xml:space="preserve">https://entra.microsoft.com</w:t>
      </w:r>
      <w:r>
        <w:t xml:space="preserve"> → </w:t>
      </w:r>
      <w:r>
        <w:rPr>
          <w:b/>
          <w:bCs/>
        </w:rPr>
        <w:t xml:space="preserve">Identity → Hybrid management → Microsoft Entra Connect → Connect Sync → Download Connect Sync Agent</w:t>
      </w:r>
      <w:r>
        <w:t xml:space="preserve">, and run it (notes in </w:t>
      </w:r>
      <w:r>
        <w:rPr>
          <w:rFonts w:ascii="Consolas" w:cs="Consolas" w:eastAsia="Consolas" w:hAnsi="Consolas"/>
          <w:sz w:val="18"/>
          <w:szCs w:val="18"/>
        </w:rPr>
        <w:t xml:space="preserve">C:\LabTools\README-EntraConnect.txt</w:t>
      </w:r>
      <w:r>
        <w:t xml:space="preserve">). In the wizard choose </w:t>
      </w:r>
      <w:r>
        <w:rPr>
          <w:b/>
          <w:bCs/>
        </w:rPr>
        <w:t xml:space="preserve">Customize</w:t>
      </w:r>
      <w:r>
        <w:t xml:space="preserve"> (not Express).</w:t>
      </w:r>
    </w:p>
    <w:p>
      <w:pPr>
        <w:pStyle w:val="ListParagraph"/>
        <w:numPr>
          <w:ilvl w:val="0"/>
          <w:numId w:val="2"/>
        </w:numPr>
        <w:spacing w:after="80"/>
      </w:pPr>
      <w:r>
        <w:t xml:space="preserve">Sign-in method </w:t>
      </w:r>
      <w:r>
        <w:rPr>
          <w:b/>
          <w:bCs/>
        </w:rPr>
        <w:t xml:space="preserve">Password Hash Synchronization</w:t>
      </w:r>
      <w:r>
        <w:t xml:space="preserve">.</w:t>
      </w:r>
    </w:p>
    <w:p>
      <w:pPr>
        <w:pStyle w:val="ListParagraph"/>
        <w:numPr>
          <w:ilvl w:val="0"/>
          <w:numId w:val="2"/>
        </w:numPr>
        <w:spacing w:after="80"/>
      </w:pPr>
      <w:r>
        <w:t xml:space="preserve">Connect to Entra ID with a Hybrid Identity Administrator / Global Administrator (MFA prompt).</w:t>
      </w:r>
    </w:p>
    <w:p>
      <w:pPr>
        <w:pStyle w:val="ListParagraph"/>
        <w:numPr>
          <w:ilvl w:val="0"/>
          <w:numId w:val="2"/>
        </w:numPr>
        <w:spacing w:after="80"/>
      </w:pPr>
      <w:r>
        <w:t xml:space="preserve">Add the forest </w:t>
      </w:r>
      <w:r>
        <w:rPr>
          <w:rFonts w:ascii="Consolas" w:cs="Consolas" w:eastAsia="Consolas" w:hAnsi="Consolas"/>
          <w:sz w:val="18"/>
          <w:szCs w:val="18"/>
        </w:rPr>
        <w:t xml:space="preserve">corp.contoso.lab</w:t>
      </w:r>
      <w:r>
        <w:t xml:space="preserve"> with </w:t>
      </w:r>
      <w:r>
        <w:rPr>
          <w:rFonts w:ascii="Consolas" w:cs="Consolas" w:eastAsia="Consolas" w:hAnsi="Consolas"/>
          <w:sz w:val="18"/>
          <w:szCs w:val="18"/>
        </w:rPr>
        <w:t xml:space="preserve">CORP\labadmin</w:t>
      </w:r>
      <w:r>
        <w:t xml:space="preserve"> and let the wizard create the AD DS Connector account.</w:t>
      </w:r>
    </w:p>
    <w:p>
      <w:pPr>
        <w:pStyle w:val="ListParagraph"/>
        <w:numPr>
          <w:ilvl w:val="0"/>
          <w:numId w:val="2"/>
        </w:numPr>
        <w:spacing w:after="80"/>
      </w:pPr>
      <w:r>
        <w:rPr>
          <w:b/>
          <w:bCs/>
        </w:rPr>
        <w:t xml:space="preserve">Domain/OU filtering</w:t>
      </w:r>
      <w:r>
        <w:t xml:space="preserve">: the lab root OU only (it contains the lab user and the </w:t>
      </w:r>
      <w:r>
        <w:rPr>
          <w:rFonts w:ascii="Consolas" w:cs="Consolas" w:eastAsia="Consolas" w:hAnsi="Consolas"/>
          <w:sz w:val="18"/>
          <w:szCs w:val="18"/>
        </w:rPr>
        <w:t xml:space="preserve">Workstations</w:t>
      </w:r>
      <w:r>
        <w:t xml:space="preserve"> OU with </w:t>
      </w:r>
      <w:r>
        <w:rPr>
          <w:rFonts w:ascii="Consolas" w:cs="Consolas" w:eastAsia="Consolas" w:hAnsi="Consolas"/>
          <w:sz w:val="18"/>
          <w:szCs w:val="18"/>
        </w:rPr>
        <w:t xml:space="preserve">lab-cl01</w:t>
      </w:r>
      <w:r>
        <w:t xml:space="preserve">–</w:t>
      </w:r>
      <w:r>
        <w:rPr>
          <w:rFonts w:ascii="Consolas" w:cs="Consolas" w:eastAsia="Consolas" w:hAnsi="Consolas"/>
          <w:sz w:val="18"/>
          <w:szCs w:val="18"/>
        </w:rPr>
        <w:t xml:space="preserve">lab-cl03</w:t>
      </w:r>
      <w:r>
        <w:t xml:space="preserve">).</w:t>
      </w:r>
    </w:p>
    <w:p>
      <w:pPr>
        <w:pStyle w:val="ListParagraph"/>
        <w:numPr>
          <w:ilvl w:val="0"/>
          <w:numId w:val="2"/>
        </w:numPr>
        <w:spacing w:after="80"/>
      </w:pPr>
      <w:r>
        <w:rPr>
          <w:b/>
          <w:bCs/>
        </w:rPr>
        <w:t xml:space="preserve">Device options</w:t>
      </w:r>
      <w:r>
        <w:t xml:space="preserve">: nothing required — the deployment already wrote the hybrid-join SCP.</w:t>
      </w:r>
    </w:p>
    <w:p>
      <w:pPr>
        <w:pStyle w:val="ListParagraph"/>
        <w:numPr>
          <w:ilvl w:val="0"/>
          <w:numId w:val="2"/>
        </w:numPr>
        <w:spacing w:after="80"/>
      </w:pPr>
      <w:r>
        <w:t xml:space="preserve">Finish with </w:t>
      </w:r>
      <w:r>
        <w:rPr>
          <w:b/>
          <w:bCs/>
        </w:rPr>
        <w:t xml:space="preserve">Start the synchronization process when configuration completes</w:t>
      </w:r>
      <w:r>
        <w:t xml:space="preserve">.</w:t>
      </w:r>
    </w:p>
    <w:p>
      <w:pPr>
        <w:spacing w:after="120"/>
      </w:pPr>
      <w:r>
        <w:t xml:space="preserve">After the first sync, license the synced user (PowerShell Cloud Shell, new device code):</w:t>
      </w:r>
    </w:p>
    <w:p>
      <w:pPr>
        <w:keepNext w:val="false"/>
        <w:shd w:fill="F2F2F2" w:color="auto" w:val="clear"/>
        <w:spacing w:after="160" w:before="0" w:line="240"/>
        <w:ind w:left="120" w:right="120"/>
      </w:pPr>
      <w:r>
        <w:rPr>
          <w:rFonts w:ascii="Consolas" w:cs="Consolas" w:eastAsia="Consolas" w:hAnsi="Consolas"/>
          <w:sz w:val="17"/>
          <w:szCs w:val="17"/>
        </w:rPr>
        <w:t xml:space="preserve">./Prepare-Tenant.ps1 -Cloud Global -SkipMdm -LabUserUpn lab.user@contoso.onmicrosoft.com</w:t>
      </w:r>
    </w:p>
    <w:p>
      <w:pPr>
        <w:spacing w:after="120"/>
      </w:pPr>
      <w:r>
        <w:t xml:space="preserve">Check that the sync has landed first — from the same shell, with the Cloud Shell's own Graph token:</w:t>
      </w:r>
    </w:p>
    <w:p>
      <w:pPr>
        <w:keepNext/>
        <w:shd w:fill="F2F2F2" w:color="auto" w:val="clear"/>
        <w:spacing w:after="0" w:before="0" w:line="240"/>
        <w:ind w:left="120" w:right="120"/>
      </w:pPr>
      <w:r>
        <w:rPr>
          <w:rFonts w:ascii="Consolas" w:cs="Consolas" w:eastAsia="Consolas" w:hAnsi="Consolas"/>
          <w:sz w:val="17"/>
          <w:szCs w:val="17"/>
        </w:rPr>
        <w:t xml:space="preserve">$t = (Get-AzAccessToken -ResourceTypeName MSGraph).Token</w:t>
      </w:r>
    </w:p>
    <w:p>
      <w:pPr>
        <w:keepNext/>
        <w:shd w:fill="F2F2F2" w:color="auto" w:val="clear"/>
        <w:spacing w:after="0" w:before="0" w:line="240"/>
        <w:ind w:left="120" w:right="120"/>
      </w:pPr>
      <w:r>
        <w:rPr>
          <w:rFonts w:ascii="Consolas" w:cs="Consolas" w:eastAsia="Consolas" w:hAnsi="Consolas"/>
          <w:sz w:val="17"/>
          <w:szCs w:val="17"/>
        </w:rPr>
        <w:t xml:space="preserve">if ($t -is [securestring]) { $t = [Net.NetworkCredential]::new('', $t).Password }</w:t>
      </w:r>
    </w:p>
    <w:p>
      <w:pPr>
        <w:keepNext/>
        <w:shd w:fill="F2F2F2" w:color="auto" w:val="clear"/>
        <w:spacing w:after="0" w:before="0" w:line="240"/>
        <w:ind w:left="120" w:right="120"/>
      </w:pPr>
      <w:r>
        <w:rPr>
          <w:rFonts w:ascii="Consolas" w:cs="Consolas" w:eastAsia="Consolas" w:hAnsi="Consolas"/>
          <w:sz w:val="17"/>
          <w:szCs w:val="17"/>
        </w:rPr>
        <w:t xml:space="preserve">$h = @{ Authorization = "Bearer $t" }</w:t>
      </w:r>
    </w:p>
    <w:p>
      <w:pPr>
        <w:keepNext/>
        <w:shd w:fill="F2F2F2" w:color="auto" w:val="clear"/>
        <w:spacing w:after="0" w:before="0" w:line="240"/>
        <w:ind w:left="120" w:right="120"/>
      </w:pPr>
      <w:r>
        <w:rPr>
          <w:rFonts w:ascii="Consolas" w:cs="Consolas" w:eastAsia="Consolas" w:hAnsi="Consolas"/>
          <w:sz w:val="17"/>
          <w:szCs w:val="17"/>
        </w:rPr>
        <w:t xml:space="preserve">(Invoke-RestMethod -Headers $h -Uri 'https://graph.microsoft.com/v1.0/organization?$select=onPremisesSyncEnabled,onPremisesLastSyncDateTime').value</w:t>
      </w:r>
    </w:p>
    <w:p>
      <w:pPr>
        <w:keepNext w:val="false"/>
        <w:shd w:fill="F2F2F2" w:color="auto" w:val="clear"/>
        <w:spacing w:after="160" w:before="0" w:line="240"/>
        <w:ind w:left="120" w:right="120"/>
      </w:pPr>
      <w:r>
        <w:rPr>
          <w:rFonts w:ascii="Consolas" w:cs="Consolas" w:eastAsia="Consolas" w:hAnsi="Consolas"/>
          <w:sz w:val="17"/>
          <w:szCs w:val="17"/>
        </w:rPr>
        <w:t xml:space="preserve">(Invoke-RestMethod -Headers $h -Uri 'https://graph.microsoft.com/v1.0/users?$filter=onPremisesSyncEnabled eq true&amp;$select=userPrincipalName,onPremisesLastSyncDateTime').value</w:t>
      </w:r>
    </w:p>
    <w:p>
      <w:pPr>
        <w:spacing w:after="120"/>
      </w:pPr>
      <w:r>
        <w:rPr>
          <w:rFonts w:ascii="Consolas" w:cs="Consolas" w:eastAsia="Consolas" w:hAnsi="Consolas"/>
          <w:sz w:val="18"/>
          <w:szCs w:val="18"/>
        </w:rPr>
        <w:t xml:space="preserve">onPremisesSyncEnabled = True</w:t>
      </w:r>
      <w:r>
        <w:t xml:space="preserve"> with a recent </w:t>
      </w:r>
      <w:r>
        <w:rPr>
          <w:rFonts w:ascii="Consolas" w:cs="Consolas" w:eastAsia="Consolas" w:hAnsi="Consolas"/>
          <w:sz w:val="18"/>
          <w:szCs w:val="18"/>
        </w:rPr>
        <w:t xml:space="preserve">onPremisesLastSyncDateTime</w:t>
      </w:r>
      <w:r>
        <w:t xml:space="preserve">, and </w:t>
      </w:r>
      <w:r>
        <w:rPr>
          <w:rFonts w:ascii="Consolas" w:cs="Consolas" w:eastAsia="Consolas" w:hAnsi="Consolas"/>
          <w:sz w:val="18"/>
          <w:szCs w:val="18"/>
        </w:rPr>
        <w:t xml:space="preserve">lab.user</w:t>
      </w:r>
      <w:r>
        <w:t xml:space="preserve"> / </w:t>
      </w:r>
      <w:r>
        <w:rPr>
          <w:rFonts w:ascii="Consolas" w:cs="Consolas" w:eastAsia="Consolas" w:hAnsi="Consolas"/>
          <w:sz w:val="18"/>
          <w:szCs w:val="18"/>
        </w:rPr>
        <w:t xml:space="preserve">lab.churn</w:t>
      </w:r>
      <w:r>
        <w:t xml:space="preserve"> in the user list, means the wizard's initial sync is done. On the test tenant the licensing pass assigned the first available Intune-capable SKU it found (</w:t>
      </w:r>
      <w:r>
        <w:rPr>
          <w:rFonts w:ascii="Consolas" w:cs="Consolas" w:eastAsia="Consolas" w:hAnsi="Consolas"/>
          <w:sz w:val="18"/>
          <w:szCs w:val="18"/>
        </w:rPr>
        <w:t xml:space="preserve">MICROSOFT_365_E7_NO_TEAMS</w:t>
      </w:r>
      <w:r>
        <w:t xml:space="preserve">) and ended with </w:t>
      </w:r>
      <w:r>
        <w:rPr>
          <w:rFonts w:ascii="Consolas" w:cs="Consolas" w:eastAsia="Consolas" w:hAnsi="Consolas"/>
          <w:sz w:val="18"/>
          <w:szCs w:val="18"/>
        </w:rPr>
        <w:t xml:space="preserve">PREPARE-TENANT-STATUS: Success</w:t>
      </w:r>
      <w:r>
        <w:t xml:space="preserve">.</w:t>
      </w:r>
    </w:p>
    <w:p>
      <w:pPr>
        <w:spacing w:after="120"/>
      </w:pPr>
      <w:r>
        <w:t xml:space="preserve">#### 5.2.4 Hybrid join, Intune enrollment and MDE onboarding</w:t>
      </w:r>
    </w:p>
    <w:p>
      <w:pPr>
        <w:spacing w:after="120"/>
      </w:pPr>
      <w:r>
        <w:rPr>
          <w:b/>
          <w:bCs/>
        </w:rPr>
        <w:t xml:space="preserve">What happens on its own.</w:t>
      </w:r>
      <w:r>
        <w:t xml:space="preserve"> Every client has a </w:t>
      </w:r>
      <w:r>
        <w:rPr>
          <w:rFonts w:ascii="Consolas" w:cs="Consolas" w:eastAsia="Consolas" w:hAnsi="Consolas"/>
          <w:sz w:val="18"/>
          <w:szCs w:val="18"/>
        </w:rPr>
        <w:t xml:space="preserve">LAB-HybridJoin-Retry</w:t>
      </w:r>
      <w:r>
        <w:t xml:space="preserve"> task (runs </w:t>
      </w:r>
      <w:r>
        <w:rPr>
          <w:rFonts w:ascii="Consolas" w:cs="Consolas" w:eastAsia="Consolas" w:hAnsi="Consolas"/>
          <w:sz w:val="18"/>
          <w:szCs w:val="18"/>
        </w:rPr>
        <w:t xml:space="preserve">dsregcmd /join</w:t>
      </w:r>
      <w:r>
        <w:t xml:space="preserve"> as SYSTEM every 30 minutes for 7 days) and Entra Connect runs a delta sync every 30 minutes, so within about an hour of the first sync each client becomes </w:t>
      </w:r>
      <w:r>
        <w:rPr>
          <w:i/>
          <w:iCs/>
        </w:rPr>
        <w:t xml:space="preserve">Microsoft Entra hybrid joined</w:t>
      </w:r>
      <w:r>
        <w:t xml:space="preserve">. Once the lab user has signed in to a client, the Intune auto-enrollment task enrolls it, and the EDR policy then onboards it to Defender for Endpoint.</w:t>
      </w:r>
    </w:p>
    <w:p>
      <w:pPr>
        <w:spacing w:after="120"/>
      </w:pPr>
      <w:r>
        <w:rPr>
          <w:b/>
          <w:bCs/>
        </w:rPr>
        <w:t xml:space="preserve">What you must do once:</w:t>
      </w:r>
    </w:p>
    <w:p>
      <w:pPr>
        <w:pStyle w:val="ListParagraph"/>
        <w:numPr>
          <w:ilvl w:val="0"/>
          <w:numId w:val="2"/>
        </w:numPr>
        <w:spacing w:after="80"/>
      </w:pPr>
      <w:r>
        <w:t xml:space="preserve">The lab user's UPN must use a </w:t>
      </w:r>
      <w:r>
        <w:rPr>
          <w:b/>
          <w:bCs/>
        </w:rPr>
        <w:t xml:space="preserve">verified tenant domain</w:t>
      </w:r>
      <w:r>
        <w:t xml:space="preserve"> — the </w:t>
      </w:r>
      <w:r>
        <w:rPr>
          <w:i/>
          <w:iCs/>
        </w:rPr>
        <w:t xml:space="preserve">UPN suffix</w:t>
      </w:r>
      <w:r>
        <w:t xml:space="preserve"> Lab Option (</w:t>
      </w:r>
      <w:r>
        <w:rPr>
          <w:rFonts w:ascii="Consolas" w:cs="Consolas" w:eastAsia="Consolas" w:hAnsi="Consolas"/>
          <w:sz w:val="18"/>
          <w:szCs w:val="18"/>
        </w:rPr>
        <w:t xml:space="preserve">contoso.onmicrosoft.com</w:t>
      </w:r>
      <w:r>
        <w:t xml:space="preserve">).</w:t>
      </w:r>
    </w:p>
    <w:p>
      <w:pPr>
        <w:pStyle w:val="ListParagraph"/>
        <w:numPr>
          <w:ilvl w:val="0"/>
          <w:numId w:val="2"/>
        </w:numPr>
        <w:spacing w:after="80"/>
      </w:pPr>
      <w:r>
        <w:t xml:space="preserve">The lab user registers </w:t>
      </w:r>
      <w:r>
        <w:rPr>
          <w:b/>
          <w:bCs/>
        </w:rPr>
        <w:t xml:space="preserve">MFA</w:t>
      </w:r>
      <w:r>
        <w:t xml:space="preserve"> once: sign in at </w:t>
      </w:r>
      <w:r>
        <w:rPr>
          <w:rFonts w:ascii="Consolas" w:cs="Consolas" w:eastAsia="Consolas" w:hAnsi="Consolas"/>
          <w:sz w:val="18"/>
          <w:szCs w:val="18"/>
        </w:rPr>
        <w:t xml:space="preserve">https://myaccount.microsoft.com</w:t>
      </w:r>
      <w:r>
        <w:t xml:space="preserve"> (or </w:t>
      </w:r>
      <w:r>
        <w:rPr>
          <w:rFonts w:ascii="Consolas" w:cs="Consolas" w:eastAsia="Consolas" w:hAnsi="Consolas"/>
          <w:sz w:val="18"/>
          <w:szCs w:val="18"/>
        </w:rPr>
        <w:t xml:space="preserve">aka.ms/mfasetup</w:t>
      </w:r>
      <w:r>
        <w:t xml:space="preserve">) and add the Authenticator app.</w:t>
      </w:r>
    </w:p>
    <w:p>
      <w:pPr>
        <w:pStyle w:val="ListParagraph"/>
        <w:numPr>
          <w:ilvl w:val="0"/>
          <w:numId w:val="2"/>
        </w:numPr>
        <w:spacing w:after="80"/>
      </w:pPr>
      <w:r>
        <w:t xml:space="preserve">Sign in once to each client as the lab user (Bastion → </w:t>
      </w:r>
      <w:r>
        <w:rPr>
          <w:i/>
          <w:iCs/>
        </w:rPr>
        <w:t xml:space="preserve">VM password</w:t>
      </w:r>
      <w:r>
        <w:t xml:space="preserve"> → </w:t>
      </w:r>
      <w:r>
        <w:rPr>
          <w:rFonts w:ascii="Consolas" w:cs="Consolas" w:eastAsia="Consolas" w:hAnsi="Consolas"/>
          <w:sz w:val="18"/>
          <w:szCs w:val="18"/>
        </w:rPr>
        <w:t xml:space="preserve">lab.user@contoso.onmicrosoft.com</w:t>
      </w:r>
      <w:r>
        <w:t xml:space="preserve">) so the user gets a Primary Refresh Token — after the licence (5.2.3) and the Conditional Access exclusion (5.2.2) are in place. The kit uses user-credential auto-enrollment, the only kind Microsoft supports for ordinary hybrid-joined PCs (device-credential enrollment is limited to co-management, Autopilot and Azure Virtual Desktop), so every client needs this one sign-in; a password sign-in is enough, no MFA prompt.</w:t>
      </w:r>
    </w:p>
    <w:p>
      <w:pPr>
        <w:spacing w:after="120"/>
      </w:pPr>
      <w:r>
        <w:rPr>
          <w:b/>
          <w:bCs/>
        </w:rPr>
        <w:t xml:space="preserve">To speed up the hybrid join</w:t>
      </w:r>
      <w:r>
        <w:t xml:space="preserve">, trigger the join on the clients from the same PowerShell Cloud Shell (Run command executes as SYSTEM on the VM, which is what </w:t>
      </w:r>
      <w:r>
        <w:rPr>
          <w:rFonts w:ascii="Consolas" w:cs="Consolas" w:eastAsia="Consolas" w:hAnsi="Consolas"/>
          <w:sz w:val="18"/>
          <w:szCs w:val="18"/>
        </w:rPr>
        <w:t xml:space="preserve">dsregcmd /join</w:t>
      </w:r>
      <w:r>
        <w:t xml:space="preserve"> wants):</w:t>
      </w:r>
    </w:p>
    <w:p>
      <w:pPr>
        <w:keepNext/>
        <w:shd w:fill="F2F2F2" w:color="auto" w:val="clear"/>
        <w:spacing w:after="0" w:before="0" w:line="240"/>
        <w:ind w:left="120" w:right="120"/>
      </w:pPr>
      <w:r>
        <w:rPr>
          <w:rFonts w:ascii="Consolas" w:cs="Consolas" w:eastAsia="Consolas" w:hAnsi="Consolas"/>
          <w:sz w:val="17"/>
          <w:szCs w:val="17"/>
        </w:rPr>
        <w:t xml:space="preserve">$rg = 'mca-dev-usw2-seclab-rg-network'</w:t>
      </w:r>
    </w:p>
    <w:p>
      <w:pPr>
        <w:keepNext/>
        <w:shd w:fill="F2F2F2" w:color="auto" w:val="clear"/>
        <w:spacing w:after="0" w:before="0" w:line="240"/>
        <w:ind w:left="120" w:right="120"/>
      </w:pPr>
      <w:r>
        <w:rPr>
          <w:rFonts w:ascii="Consolas" w:cs="Consolas" w:eastAsia="Consolas" w:hAnsi="Consolas"/>
          <w:sz w:val="17"/>
          <w:szCs w:val="17"/>
        </w:rPr>
        <w:t xml:space="preserve">foreach ($vm in 'lab-cl01','lab-cl02','lab-cl03') {</w:t>
      </w:r>
    </w:p>
    <w:p>
      <w:pPr>
        <w:keepNext/>
        <w:shd w:fill="F2F2F2" w:color="auto" w:val="clear"/>
        <w:spacing w:after="0" w:before="0" w:line="240"/>
        <w:ind w:left="120" w:right="120"/>
      </w:pPr>
      <w:r>
        <w:rPr>
          <w:rFonts w:ascii="Consolas" w:cs="Consolas" w:eastAsia="Consolas" w:hAnsi="Consolas"/>
          <w:sz w:val="17"/>
          <w:szCs w:val="17"/>
        </w:rPr>
        <w:t xml:space="preserve">  $r = Invoke-AzVMRunCommand -ResourceGroupName $rg -VMName $vm -CommandId RunPowerShellScript `</w:t>
      </w:r>
    </w:p>
    <w:p>
      <w:pPr>
        <w:keepNext/>
        <w:shd w:fill="F2F2F2" w:color="auto" w:val="clear"/>
        <w:spacing w:after="0" w:before="0" w:line="240"/>
        <w:ind w:left="120" w:right="120"/>
      </w:pPr>
      <w:r>
        <w:rPr>
          <w:rFonts w:ascii="Consolas" w:cs="Consolas" w:eastAsia="Consolas" w:hAnsi="Consolas"/>
          <w:sz w:val="17"/>
          <w:szCs w:val="17"/>
        </w:rPr>
        <w:t xml:space="preserve">    -ScriptString 'dsregcmd /join | Out-Null; Start-Sleep 20; (dsregcmd /status) -match "AzureAdJoined|DomainJoined|TenantId|AzureAdPrt"'</w:t>
      </w:r>
    </w:p>
    <w:p>
      <w:pPr>
        <w:keepNext/>
        <w:shd w:fill="F2F2F2" w:color="auto" w:val="clear"/>
        <w:spacing w:after="0" w:before="0" w:line="240"/>
        <w:ind w:left="120" w:right="120"/>
      </w:pPr>
      <w:r>
        <w:rPr>
          <w:rFonts w:ascii="Consolas" w:cs="Consolas" w:eastAsia="Consolas" w:hAnsi="Consolas"/>
          <w:sz w:val="17"/>
          <w:szCs w:val="17"/>
        </w:rPr>
        <w:t xml:space="preserve">  "== $vm"; $r.Value[0].Message</w:t>
      </w:r>
    </w:p>
    <w:p>
      <w:pPr>
        <w:keepNext w:val="false"/>
        <w:shd w:fill="F2F2F2" w:color="auto" w:val="clear"/>
        <w:spacing w:after="160" w:before="0" w:line="240"/>
        <w:ind w:left="120" w:right="120"/>
      </w:pPr>
      <w:r>
        <w:rPr>
          <w:rFonts w:ascii="Consolas" w:cs="Consolas" w:eastAsia="Consolas" w:hAnsi="Consolas"/>
          <w:sz w:val="17"/>
          <w:szCs w:val="17"/>
        </w:rPr>
        <w:t xml:space="preserve">}</w:t>
      </w:r>
    </w:p>
    <w:p>
      <w:pPr>
        <w:spacing w:after="120"/>
      </w:pPr>
      <w:r>
        <w:t xml:space="preserve">If a client answers </w:t>
      </w:r>
      <w:r>
        <w:rPr>
          <w:rFonts w:ascii="Consolas" w:cs="Consolas" w:eastAsia="Consolas" w:hAnsi="Consolas"/>
          <w:sz w:val="18"/>
          <w:szCs w:val="18"/>
        </w:rPr>
        <w:t xml:space="preserve">AzureAdJoined : NO</w:t>
      </w:r>
      <w:r>
        <w:t xml:space="preserve">, its computer object has not reached Entra yet: on </w:t>
      </w:r>
      <w:r>
        <w:rPr>
          <w:rFonts w:ascii="Consolas" w:cs="Consolas" w:eastAsia="Consolas" w:hAnsi="Consolas"/>
          <w:sz w:val="18"/>
          <w:szCs w:val="18"/>
        </w:rPr>
        <w:t xml:space="preserve">lab-ms01</w:t>
      </w:r>
      <w:r>
        <w:t xml:space="preserve"> run </w:t>
      </w:r>
      <w:r>
        <w:rPr>
          <w:rFonts w:ascii="Consolas" w:cs="Consolas" w:eastAsia="Consolas" w:hAnsi="Consolas"/>
          <w:sz w:val="18"/>
          <w:szCs w:val="18"/>
        </w:rPr>
        <w:t xml:space="preserve">Start-ADSyncSyncCycle -PolicyType Delta</w:t>
      </w:r>
      <w:r>
        <w:t xml:space="preserve">, wait 2–3 minutes and run the block again (</w:t>
      </w:r>
      <w:r>
        <w:rPr>
          <w:rFonts w:ascii="Consolas" w:cs="Consolas" w:eastAsia="Consolas" w:hAnsi="Consolas"/>
          <w:sz w:val="18"/>
          <w:szCs w:val="18"/>
        </w:rPr>
        <w:t xml:space="preserve">C:\LabTools\Invoke-HybridJoinCycle.ps1</w:t>
      </w:r>
      <w:r>
        <w:t xml:space="preserve"> on </w:t>
      </w:r>
      <w:r>
        <w:rPr>
          <w:rFonts w:ascii="Consolas" w:cs="Consolas" w:eastAsia="Consolas" w:hAnsi="Consolas"/>
          <w:sz w:val="18"/>
          <w:szCs w:val="18"/>
        </w:rPr>
        <w:t xml:space="preserve">lab-ms01</w:t>
      </w:r>
      <w:r>
        <w:t xml:space="preserve"> automates that loop over WinRM).</w:t>
      </w:r>
    </w:p>
    <w:p>
      <w:pPr>
        <w:spacing w:after="120"/>
      </w:pPr>
      <w:r>
        <w:t xml:space="preserve">On the test tenant no second pass was needed — the wizard's initial sync had already carried the </w:t>
      </w:r>
      <w:r>
        <w:rPr>
          <w:rFonts w:ascii="Consolas" w:cs="Consolas" w:eastAsia="Consolas" w:hAnsi="Consolas"/>
          <w:sz w:val="18"/>
          <w:szCs w:val="18"/>
        </w:rPr>
        <w:t xml:space="preserve">Workstations</w:t>
      </w:r>
      <w:r>
        <w:t xml:space="preserve"> OU up, the first </w:t>
      </w:r>
      <w:r>
        <w:rPr>
          <w:rFonts w:ascii="Consolas" w:cs="Consolas" w:eastAsia="Consolas" w:hAnsi="Consolas"/>
          <w:sz w:val="18"/>
          <w:szCs w:val="18"/>
        </w:rPr>
        <w:t xml:space="preserve">dsregcmd /join</w:t>
      </w:r>
      <w:r>
        <w:t xml:space="preserve"> completed on all three clients, and the Entra device list showed them (and </w:t>
      </w:r>
      <w:r>
        <w:rPr>
          <w:rFonts w:ascii="Consolas" w:cs="Consolas" w:eastAsia="Consolas" w:hAnsi="Consolas"/>
          <w:sz w:val="18"/>
          <w:szCs w:val="18"/>
        </w:rPr>
        <w:t xml:space="preserve">lab-ms02</w:t>
      </w:r>
      <w:r>
        <w:t xml:space="preserve">) as </w:t>
      </w:r>
      <w:r>
        <w:rPr>
          <w:rFonts w:ascii="Consolas" w:cs="Consolas" w:eastAsia="Consolas" w:hAnsi="Consolas"/>
          <w:sz w:val="18"/>
          <w:szCs w:val="18"/>
        </w:rPr>
        <w:t xml:space="preserve">trustType = ServerAd</w:t>
      </w:r>
      <w:r>
        <w:t xml:space="preserve"> within four minutes. (Entra also reported </w:t>
      </w:r>
      <w:r>
        <w:rPr>
          <w:rFonts w:ascii="Consolas" w:cs="Consolas" w:eastAsia="Consolas" w:hAnsi="Consolas"/>
          <w:sz w:val="18"/>
          <w:szCs w:val="18"/>
        </w:rPr>
        <w:t xml:space="preserve">isManaged = True</w:t>
      </w:r>
      <w:r>
        <w:t xml:space="preserve"> on them at that point; do not read that as an Intune enrollment — Intune listed no devices until the user-credential enrollment below went through.)</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Hybrid join status from Run command</w:t>
      </w:r>
    </w:p>
    <w:p>
      <w:pPr>
        <w:keepNext/>
        <w:spacing w:after="20" w:before="60"/>
        <w:jc w:val="center"/>
      </w:pPr>
      <w:r>
        <w:drawing>
          <wp:inline distT="0" distB="0" distL="0" distR="0">
            <wp:extent cx="61722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72200" cy="962025"/>
                    </a:xfrm>
                    <a:prstGeom prst="rect">
                      <a:avLst/>
                    </a:prstGeom>
                  </pic:spPr>
                </pic:pic>
              </a:graphicData>
            </a:graphic>
          </wp:inline>
        </w:drawing>
      </w:r>
    </w:p>
    <w:p>
      <w:pPr>
        <w:spacing w:after="200"/>
        <w:jc w:val="center"/>
      </w:pPr>
      <w:r>
        <w:rPr>
          <w:i/>
          <w:iCs/>
          <w:color w:val="595959"/>
          <w:sz w:val="17"/>
          <w:szCs w:val="17"/>
        </w:rPr>
        <w:t xml:space="preserve">Figure: Entra devices: hybrid joined and Intune-managed</w:t>
      </w:r>
    </w:p>
    <w:p>
      <w:pPr>
        <w:spacing w:after="120"/>
      </w:pPr>
      <w:r>
        <w:rPr>
          <w:b/>
          <w:bCs/>
        </w:rPr>
        <w:t xml:space="preserve">What happened on the test tenant.</w:t>
      </w:r>
      <w:r>
        <w:t xml:space="preserve"> After the lab user's first sign-in on </w:t>
      </w:r>
      <w:r>
        <w:rPr>
          <w:rFonts w:ascii="Consolas" w:cs="Consolas" w:eastAsia="Consolas" w:hAnsi="Consolas"/>
          <w:sz w:val="18"/>
          <w:szCs w:val="18"/>
        </w:rPr>
        <w:t xml:space="preserve">lab-cl01</w:t>
      </w:r>
      <w:r>
        <w:t xml:space="preserve"> the client's own enrollment task kept failing with </w:t>
      </w:r>
      <w:r>
        <w:rPr>
          <w:rFonts w:ascii="Consolas" w:cs="Consolas" w:eastAsia="Consolas" w:hAnsi="Consolas"/>
          <w:sz w:val="18"/>
          <w:szCs w:val="18"/>
        </w:rPr>
        <w:t xml:space="preserve">0x8018002A</w:t>
      </w:r>
      <w:r>
        <w:t xml:space="preserve"> until the Conditional Access exclusion (5.2.2, #59) was in place; the next run of the task enrolled the device, Intune listed it as </w:t>
      </w:r>
      <w:r>
        <w:rPr>
          <w:i/>
          <w:iCs/>
        </w:rPr>
        <w:t xml:space="preserve">Managed by Intune, Corporate, Compliant</w:t>
      </w:r>
      <w:r>
        <w:t xml:space="preserve"> and the Defender device inventory showed </w:t>
      </w:r>
      <w:r>
        <w:rPr>
          <w:rFonts w:ascii="Consolas" w:cs="Consolas" w:eastAsia="Consolas" w:hAnsi="Consolas"/>
          <w:sz w:val="18"/>
          <w:szCs w:val="18"/>
        </w:rPr>
        <w:t xml:space="preserve">lab-cl01.corp.contoso.lab</w:t>
      </w:r>
      <w:r>
        <w:t xml:space="preserve"> </w:t>
      </w:r>
      <w:r>
        <w:rPr>
          <w:b/>
          <w:bCs/>
        </w:rPr>
        <w:t xml:space="preserve">Onboarded</w:t>
      </w:r>
      <w:r>
        <w:t xml:space="preserve">, managed by Intune, two minutes later. </w:t>
      </w:r>
      <w:r>
        <w:rPr>
          <w:rFonts w:ascii="Consolas" w:cs="Consolas" w:eastAsia="Consolas" w:hAnsi="Consolas"/>
          <w:sz w:val="18"/>
          <w:szCs w:val="18"/>
        </w:rPr>
        <w:t xml:space="preserve">lab-cl02</w:t>
      </w:r>
      <w:r>
        <w:t xml:space="preserve"> and </w:t>
      </w:r>
      <w:r>
        <w:rPr>
          <w:rFonts w:ascii="Consolas" w:cs="Consolas" w:eastAsia="Consolas" w:hAnsi="Consolas"/>
          <w:sz w:val="18"/>
          <w:szCs w:val="18"/>
        </w:rPr>
        <w:t xml:space="preserve">lab-cl03</w:t>
      </w:r>
      <w:r>
        <w:t xml:space="preserve"> followed with no further action after one lab-user sign-in each (MDM enrollment state 1 on both). The servers were already onboarded through Defender for Servers.</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Intune: lab-cl01 managed and compliant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Check</w:t>
            </w:r>
          </w:p>
        </w:tc>
        <w:tc>
          <w:tcPr>
            <w:tcW w:type="dxa" w:w="0"/>
            <w:shd w:fill="DCE6F1" w:color="auto" w:val="clear"/>
            <w:tcMar>
              <w:top w:type="dxa" w:w="60"/>
              <w:left w:type="dxa" w:w="80"/>
              <w:bottom w:type="dxa" w:w="60"/>
              <w:right w:type="dxa" w:w="80"/>
            </w:tcMar>
          </w:tcPr>
          <w:p>
            <w:pPr>
              <w:spacing w:after="0"/>
            </w:pPr>
            <w:r>
              <w:rPr>
                <w:b/>
                <w:bCs/>
                <w:sz w:val="18"/>
                <w:szCs w:val="18"/>
              </w:rPr>
              <w:t xml:space="preserve">Where</w:t>
            </w:r>
          </w:p>
        </w:tc>
        <w:tc>
          <w:tcPr>
            <w:tcW w:type="dxa" w:w="0"/>
            <w:shd w:fill="DCE6F1" w:color="auto" w:val="clear"/>
            <w:tcMar>
              <w:top w:type="dxa" w:w="60"/>
              <w:left w:type="dxa" w:w="80"/>
              <w:bottom w:type="dxa" w:w="60"/>
              <w:right w:type="dxa" w:w="80"/>
            </w:tcMar>
          </w:tcPr>
          <w:p>
            <w:pPr>
              <w:spacing w:after="0"/>
            </w:pPr>
            <w:r>
              <w:rPr>
                <w:b/>
                <w:bCs/>
                <w:sz w:val="18"/>
                <w:szCs w:val="18"/>
              </w:rPr>
              <w:t xml:space="preserve">Expected</w:t>
            </w:r>
          </w:p>
        </w:tc>
      </w:tr>
      <w:tr>
        <w:tc>
          <w:tcPr>
            <w:tcW w:type="dxa" w:w="0"/>
            <w:tcMar>
              <w:top w:type="dxa" w:w="60"/>
              <w:left w:type="dxa" w:w="80"/>
              <w:bottom w:type="dxa" w:w="60"/>
              <w:right w:type="dxa" w:w="80"/>
            </w:tcMar>
          </w:tcPr>
          <w:p>
            <w:pPr>
              <w:spacing w:after="0"/>
            </w:pPr>
            <w:r>
              <w:rPr>
                <w:b w:val="false"/>
                <w:bCs w:val="false"/>
                <w:sz w:val="18"/>
                <w:szCs w:val="18"/>
              </w:rPr>
              <w:t xml:space="preserve">Hybrid join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dsregcmd /status</w:t>
            </w:r>
            <w:r>
              <w:rPr>
                <w:b w:val="false"/>
                <w:bCs w:val="false"/>
                <w:sz w:val="18"/>
                <w:szCs w:val="18"/>
              </w:rPr>
              <w:t xml:space="preserve"> on the client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AzureAdJoined : YES</w:t>
            </w:r>
            <w:r>
              <w:rPr>
                <w:b w:val="false"/>
                <w:bCs w:val="false"/>
                <w:sz w:val="18"/>
                <w:szCs w:val="18"/>
              </w:rPr>
              <w:t xml:space="preserve">, </w:t>
            </w:r>
            <w:r>
              <w:rPr>
                <w:rFonts w:ascii="Consolas" w:cs="Consolas" w:eastAsia="Consolas" w:hAnsi="Consolas"/>
                <w:b w:val="false"/>
                <w:bCs w:val="false"/>
                <w:sz w:val="18"/>
                <w:szCs w:val="18"/>
              </w:rPr>
              <w:t xml:space="preserve">DomainJoined : YES</w:t>
            </w:r>
            <w:r>
              <w:rPr>
                <w:b w:val="false"/>
                <w:bCs w:val="false"/>
                <w:sz w:val="18"/>
                <w:szCs w:val="18"/>
              </w:rPr>
              <w:t xml:space="preserve">, </w:t>
            </w:r>
            <w:r>
              <w:rPr>
                <w:rFonts w:ascii="Consolas" w:cs="Consolas" w:eastAsia="Consolas" w:hAnsi="Consolas"/>
                <w:b w:val="false"/>
                <w:bCs w:val="false"/>
                <w:sz w:val="18"/>
                <w:szCs w:val="18"/>
              </w:rPr>
              <w:t xml:space="preserve">AzureAdPrt : YES</w:t>
            </w:r>
            <w:r>
              <w:rPr>
                <w:b w:val="false"/>
                <w:bCs w:val="false"/>
                <w:sz w:val="18"/>
                <w:szCs w:val="18"/>
              </w:rPr>
              <w:t xml:space="preserve">; </w:t>
            </w:r>
            <w:r>
              <w:rPr>
                <w:rFonts w:ascii="Consolas" w:cs="Consolas" w:eastAsia="Consolas" w:hAnsi="Consolas"/>
                <w:b w:val="false"/>
                <w:bCs w:val="false"/>
                <w:sz w:val="18"/>
                <w:szCs w:val="18"/>
              </w:rPr>
              <w:t xml:space="preserve">MdmUrl</w:t>
            </w:r>
            <w:r>
              <w:rPr>
                <w:b w:val="false"/>
                <w:bCs w:val="false"/>
                <w:sz w:val="18"/>
                <w:szCs w:val="18"/>
              </w:rPr>
              <w:t xml:space="preserve"> </w:t>
            </w:r>
            <w:r>
              <w:rPr>
                <w:rFonts w:ascii="Consolas" w:cs="Consolas" w:eastAsia="Consolas" w:hAnsi="Consolas"/>
                <w:b w:val="false"/>
                <w:bCs w:val="false"/>
                <w:sz w:val="18"/>
                <w:szCs w:val="18"/>
              </w:rPr>
              <w:t xml:space="preserve">https://enrollment.manage.microsoft.com/…</w:t>
            </w:r>
            <w:r>
              <w:rPr>
                <w:b w:val="false"/>
                <w:bCs w:val="false"/>
                <w:sz w:val="18"/>
                <w:szCs w:val="18"/>
              </w:rPr>
              <w:t xml:space="preserve">, </w:t>
            </w:r>
            <w:r>
              <w:rPr>
                <w:rFonts w:ascii="Consolas" w:cs="Consolas" w:eastAsia="Consolas" w:hAnsi="Consolas"/>
                <w:b w:val="false"/>
                <w:bCs w:val="false"/>
                <w:sz w:val="18"/>
                <w:szCs w:val="18"/>
              </w:rPr>
              <w:t xml:space="preserve">AzureAdPrtAuthority</w:t>
            </w:r>
            <w:r>
              <w:rPr>
                <w:b w:val="false"/>
                <w:bCs w:val="false"/>
                <w:sz w:val="18"/>
                <w:szCs w:val="18"/>
              </w:rPr>
              <w:t xml:space="preserve"> </w:t>
            </w:r>
            <w:r>
              <w:rPr>
                <w:rFonts w:ascii="Consolas" w:cs="Consolas" w:eastAsia="Consolas" w:hAnsi="Consolas"/>
                <w:b w:val="false"/>
                <w:bCs w:val="false"/>
                <w:sz w:val="18"/>
                <w:szCs w:val="18"/>
              </w:rPr>
              <w:t xml:space="preserve">https://login.microsoftonline.com/&lt;tenant&gt;</w:t>
            </w:r>
          </w:p>
        </w:tc>
      </w:tr>
      <w:tr>
        <w:tc>
          <w:tcPr>
            <w:tcW w:type="dxa" w:w="0"/>
            <w:tcMar>
              <w:top w:type="dxa" w:w="60"/>
              <w:left w:type="dxa" w:w="80"/>
              <w:bottom w:type="dxa" w:w="60"/>
              <w:right w:type="dxa" w:w="80"/>
            </w:tcMar>
          </w:tcPr>
          <w:p>
            <w:pPr>
              <w:spacing w:after="0"/>
            </w:pPr>
            <w:r>
              <w:rPr>
                <w:b w:val="false"/>
                <w:bCs w:val="false"/>
                <w:sz w:val="18"/>
                <w:szCs w:val="18"/>
              </w:rPr>
              <w:t xml:space="preserve">Entra device</w:t>
            </w:r>
          </w:p>
        </w:tc>
        <w:tc>
          <w:tcPr>
            <w:tcW w:type="dxa" w:w="0"/>
            <w:tcMar>
              <w:top w:type="dxa" w:w="60"/>
              <w:left w:type="dxa" w:w="80"/>
              <w:bottom w:type="dxa" w:w="60"/>
              <w:right w:type="dxa" w:w="80"/>
            </w:tcMar>
          </w:tcPr>
          <w:p>
            <w:pPr>
              <w:spacing w:after="0"/>
            </w:pPr>
            <w:r>
              <w:rPr>
                <w:b w:val="false"/>
                <w:bCs w:val="false"/>
                <w:sz w:val="18"/>
                <w:szCs w:val="18"/>
              </w:rPr>
              <w:t xml:space="preserve">Entra admin center → Devices → All devices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03</w:t>
            </w:r>
            <w:r>
              <w:rPr>
                <w:b w:val="false"/>
                <w:bCs w:val="false"/>
                <w:sz w:val="18"/>
                <w:szCs w:val="18"/>
              </w:rPr>
              <w:t xml:space="preserve">, join type </w:t>
            </w:r>
            <w:r>
              <w:rPr>
                <w:b w:val="false"/>
                <w:bCs w:val="false"/>
                <w:i/>
                <w:iCs/>
                <w:sz w:val="18"/>
                <w:szCs w:val="18"/>
              </w:rPr>
              <w:t xml:space="preserve">Microsoft Entra hybrid joined</w:t>
            </w:r>
          </w:p>
        </w:tc>
      </w:tr>
      <w:tr>
        <w:tc>
          <w:tcPr>
            <w:tcW w:type="dxa" w:w="0"/>
            <w:tcMar>
              <w:top w:type="dxa" w:w="60"/>
              <w:left w:type="dxa" w:w="80"/>
              <w:bottom w:type="dxa" w:w="60"/>
              <w:right w:type="dxa" w:w="80"/>
            </w:tcMar>
          </w:tcPr>
          <w:p>
            <w:pPr>
              <w:spacing w:after="0"/>
            </w:pPr>
            <w:r>
              <w:rPr>
                <w:b w:val="false"/>
                <w:bCs w:val="false"/>
                <w:sz w:val="18"/>
                <w:szCs w:val="18"/>
              </w:rPr>
              <w:t xml:space="preserve">Intune</w:t>
            </w:r>
          </w:p>
        </w:tc>
        <w:tc>
          <w:tcPr>
            <w:tcW w:type="dxa" w:w="0"/>
            <w:tcMar>
              <w:top w:type="dxa" w:w="60"/>
              <w:left w:type="dxa" w:w="80"/>
              <w:bottom w:type="dxa" w:w="60"/>
              <w:right w:type="dxa" w:w="80"/>
            </w:tcMar>
          </w:tcPr>
          <w:p>
            <w:pPr>
              <w:spacing w:after="0"/>
            </w:pPr>
            <w:r>
              <w:rPr>
                <w:b w:val="false"/>
                <w:bCs w:val="false"/>
                <w:sz w:val="18"/>
                <w:szCs w:val="18"/>
              </w:rPr>
              <w:t xml:space="preserve">Intune admin center (</w:t>
            </w:r>
            <w:r>
              <w:rPr>
                <w:rFonts w:ascii="Consolas" w:cs="Consolas" w:eastAsia="Consolas" w:hAnsi="Consolas"/>
                <w:b w:val="false"/>
                <w:bCs w:val="false"/>
                <w:sz w:val="18"/>
                <w:szCs w:val="18"/>
              </w:rPr>
              <w:t xml:space="preserve">intune.microsoft.com</w:t>
            </w:r>
            <w:r>
              <w:rPr>
                <w:b w:val="false"/>
                <w:bCs w:val="false"/>
                <w:sz w:val="18"/>
                <w:szCs w:val="18"/>
              </w:rPr>
              <w:t xml:space="preserve">) → Devices → Windows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03</w:t>
            </w:r>
            <w:r>
              <w:rPr>
                <w:b w:val="false"/>
                <w:bCs w:val="false"/>
                <w:sz w:val="18"/>
                <w:szCs w:val="18"/>
              </w:rPr>
              <w:t xml:space="preserve">, managed by Intune, compliance evaluated</w:t>
            </w:r>
          </w:p>
        </w:tc>
      </w:tr>
      <w:tr>
        <w:tc>
          <w:tcPr>
            <w:tcW w:type="dxa" w:w="0"/>
            <w:tcMar>
              <w:top w:type="dxa" w:w="60"/>
              <w:left w:type="dxa" w:w="80"/>
              <w:bottom w:type="dxa" w:w="60"/>
              <w:right w:type="dxa" w:w="80"/>
            </w:tcMar>
          </w:tcPr>
          <w:p>
            <w:pPr>
              <w:spacing w:after="0"/>
            </w:pPr>
            <w:r>
              <w:rPr>
                <w:b w:val="false"/>
                <w:bCs w:val="false"/>
                <w:sz w:val="18"/>
                <w:szCs w:val="18"/>
              </w:rPr>
              <w:t xml:space="preserve">MDE</w:t>
            </w:r>
          </w:p>
        </w:tc>
        <w:tc>
          <w:tcPr>
            <w:tcW w:type="dxa" w:w="0"/>
            <w:tcMar>
              <w:top w:type="dxa" w:w="60"/>
              <w:left w:type="dxa" w:w="80"/>
              <w:bottom w:type="dxa" w:w="60"/>
              <w:right w:type="dxa" w:w="80"/>
            </w:tcMar>
          </w:tcPr>
          <w:p>
            <w:pPr>
              <w:spacing w:after="0"/>
            </w:pPr>
            <w:r>
              <w:rPr>
                <w:b w:val="false"/>
                <w:bCs w:val="false"/>
                <w:sz w:val="18"/>
                <w:szCs w:val="18"/>
              </w:rPr>
              <w:t xml:space="preserve">Defender portal → Assets → Devices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03</w:t>
            </w:r>
            <w:r>
              <w:rPr>
                <w:b w:val="false"/>
                <w:bCs w:val="false"/>
                <w:sz w:val="18"/>
                <w:szCs w:val="18"/>
              </w:rPr>
              <w:t xml:space="preserve"> </w:t>
            </w:r>
            <w:r>
              <w:rPr>
                <w:b w:val="false"/>
                <w:bCs w:val="false"/>
                <w:i/>
                <w:iCs/>
                <w:sz w:val="18"/>
                <w:szCs w:val="18"/>
              </w:rPr>
              <w:t xml:space="preserve">Onboarded</w:t>
            </w:r>
            <w:r>
              <w:rPr>
                <w:b w:val="false"/>
                <w:bCs w:val="false"/>
                <w:sz w:val="18"/>
                <w:szCs w:val="18"/>
              </w:rPr>
              <w:t xml:space="preserve"> (plus the servers, via Defender for Servers)</w:t>
            </w:r>
          </w:p>
        </w:tc>
      </w:tr>
    </w:tbl>
    <w:p>
      <w:pPr>
        <w:spacing w:after="120"/>
      </w:pPr>
    </w:p>
    <w:p>
      <w:pPr>
        <w:spacing w:after="120"/>
      </w:pPr>
      <w:r>
        <w:rPr>
          <w:b/>
          <w:bCs/>
        </w:rPr>
        <w:t xml:space="preserve">If automatic enrollment does not happen</w:t>
      </w:r>
      <w:r>
        <w:t xml:space="preserve">, enroll the client by hand — signed in as the lab user, </w:t>
      </w:r>
      <w:r>
        <w:rPr>
          <w:b/>
          <w:bCs/>
        </w:rPr>
        <w:t xml:space="preserve">Win+R</w:t>
      </w:r>
      <w:r>
        <w:t xml:space="preserve"> → </w:t>
      </w:r>
      <w:r>
        <w:rPr>
          <w:rFonts w:ascii="Consolas" w:cs="Consolas" w:eastAsia="Consolas" w:hAnsi="Consolas"/>
          <w:sz w:val="18"/>
          <w:szCs w:val="18"/>
        </w:rPr>
        <w:t xml:space="preserve">ms-device-enrollment:?mode=mdm&amp;username=lab.user@contoso.onmicrosoft.com</w:t>
      </w:r>
      <w:r>
        <w:t xml:space="preserve"> → sign in (MFA). </w:t>
      </w:r>
      <w:r>
        <w:rPr>
          <w:i/>
          <w:iCs/>
        </w:rPr>
        <w:t xml:space="preserve">Settings → Accounts → Access work or school</w:t>
      </w:r>
      <w:r>
        <w:t xml:space="preserve"> then shows the MDM connection; </w:t>
      </w:r>
      <w:r>
        <w:rPr>
          <w:b/>
          <w:bCs/>
        </w:rPr>
        <w:t xml:space="preserve">Info → Sync</w:t>
      </w:r>
      <w:r>
        <w:t xml:space="preserve"> pushes the first check-in. About 15 minutes later the client is listed in Intune and the EDR policy has onboarded it to Defender for Endpoint.</w:t>
      </w:r>
    </w:p>
    <w:p>
      <w:pPr>
        <w:spacing w:after="120"/>
      </w:pPr>
      <w:r>
        <w:t xml:space="preserve">#### 5.2.5 Signing in through Bastion — which credentials work 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VM</w:t>
            </w:r>
          </w:p>
        </w:tc>
        <w:tc>
          <w:tcPr>
            <w:tcW w:type="dxa" w:w="0"/>
            <w:shd w:fill="DCE6F1" w:color="auto" w:val="clear"/>
            <w:tcMar>
              <w:top w:type="dxa" w:w="60"/>
              <w:left w:type="dxa" w:w="80"/>
              <w:bottom w:type="dxa" w:w="60"/>
              <w:right w:type="dxa" w:w="80"/>
            </w:tcMar>
          </w:tcPr>
          <w:p>
            <w:pPr>
              <w:spacing w:after="0"/>
            </w:pPr>
            <w:r>
              <w:rPr>
                <w:b/>
                <w:bCs/>
                <w:sz w:val="18"/>
                <w:szCs w:val="18"/>
              </w:rPr>
              <w:t xml:space="preserve">Bastion authentication type</w:t>
            </w:r>
          </w:p>
        </w:tc>
        <w:tc>
          <w:tcPr>
            <w:tcW w:type="dxa" w:w="0"/>
            <w:shd w:fill="DCE6F1" w:color="auto" w:val="clear"/>
            <w:tcMar>
              <w:top w:type="dxa" w:w="60"/>
              <w:left w:type="dxa" w:w="80"/>
              <w:bottom w:type="dxa" w:w="60"/>
              <w:right w:type="dxa" w:w="80"/>
            </w:tcMar>
          </w:tcPr>
          <w:p>
            <w:pPr>
              <w:spacing w:after="0"/>
            </w:pPr>
            <w:r>
              <w:rPr>
                <w:b/>
                <w:bCs/>
                <w:sz w:val="18"/>
                <w:szCs w:val="18"/>
              </w:rPr>
              <w:t xml:space="preserve">Credentials</w:t>
            </w:r>
          </w:p>
        </w:tc>
      </w:tr>
      <w:tr>
        <w:tc>
          <w:tcPr>
            <w:tcW w:type="dxa" w:w="0"/>
            <w:tcMar>
              <w:top w:type="dxa" w:w="60"/>
              <w:left w:type="dxa" w:w="80"/>
              <w:bottom w:type="dxa" w:w="60"/>
              <w:right w:type="dxa" w:w="80"/>
            </w:tcMar>
          </w:tcPr>
          <w:p>
            <w:pPr>
              <w:spacing w:after="0"/>
            </w:pPr>
            <w:r>
              <w:rPr>
                <w:b w:val="false"/>
                <w:bCs w:val="false"/>
                <w:sz w:val="18"/>
                <w:szCs w:val="18"/>
              </w:rPr>
              <w:t xml:space="preserve">Linux (</w:t>
            </w:r>
            <w:r>
              <w:rPr>
                <w:rFonts w:ascii="Consolas" w:cs="Consolas" w:eastAsia="Consolas" w:hAnsi="Consolas"/>
                <w:b w:val="false"/>
                <w:bCs w:val="false"/>
                <w:sz w:val="18"/>
                <w:szCs w:val="18"/>
              </w:rPr>
              <w:t xml:space="preserve">lab-rhel01</w:t>
            </w:r>
            <w:r>
              <w:rPr>
                <w:b w:val="false"/>
                <w:bCs w:val="false"/>
                <w:sz w:val="18"/>
                <w:szCs w:val="18"/>
              </w:rPr>
              <w:t xml:space="preserve">, </w:t>
            </w:r>
            <w:r>
              <w:rPr>
                <w:rFonts w:ascii="Consolas" w:cs="Consolas" w:eastAsia="Consolas" w:hAnsi="Consolas"/>
                <w:b w:val="false"/>
                <w:bCs w:val="false"/>
                <w:sz w:val="18"/>
                <w:szCs w:val="18"/>
              </w:rPr>
              <w:t xml:space="preserve">lab-ubu01</w:t>
            </w:r>
            <w:r>
              <w:rPr>
                <w:b w:val="false"/>
                <w:bCs w:val="false"/>
                <w:sz w:val="18"/>
                <w:szCs w:val="18"/>
              </w:rPr>
              <w:t xml:space="preserve">, </w:t>
            </w:r>
            <w:r>
              <w:rPr>
                <w:rFonts w:ascii="Consolas" w:cs="Consolas" w:eastAsia="Consolas" w:hAnsi="Consolas"/>
                <w:b w:val="false"/>
                <w:bCs w:val="false"/>
                <w:sz w:val="18"/>
                <w:szCs w:val="18"/>
              </w:rPr>
              <w:t xml:space="preserve">lab-sles01</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Microsoft Entra ID</w:t>
            </w:r>
            <w:r>
              <w:rPr>
                <w:b w:val="false"/>
                <w:bCs w:val="false"/>
                <w:sz w:val="18"/>
                <w:szCs w:val="18"/>
              </w:rPr>
              <w:t xml:space="preserve"> (SSH)</w:t>
            </w:r>
          </w:p>
        </w:tc>
        <w:tc>
          <w:tcPr>
            <w:tcW w:type="dxa" w:w="0"/>
            <w:tcMar>
              <w:top w:type="dxa" w:w="60"/>
              <w:left w:type="dxa" w:w="80"/>
              <w:bottom w:type="dxa" w:w="60"/>
              <w:right w:type="dxa" w:w="80"/>
            </w:tcMar>
          </w:tcPr>
          <w:p>
            <w:pPr>
              <w:spacing w:after="0"/>
            </w:pPr>
            <w:r>
              <w:rPr>
                <w:b w:val="false"/>
                <w:bCs w:val="false"/>
                <w:sz w:val="18"/>
                <w:szCs w:val="18"/>
              </w:rPr>
              <w:t xml:space="preserve">your Entra account — member of the step 3.1 group</w:t>
            </w:r>
          </w:p>
        </w:tc>
      </w:tr>
      <w:tr>
        <w:tc>
          <w:tcPr>
            <w:tcW w:type="dxa" w:w="0"/>
            <w:tcMar>
              <w:top w:type="dxa" w:w="60"/>
              <w:left w:type="dxa" w:w="80"/>
              <w:bottom w:type="dxa" w:w="60"/>
              <w:right w:type="dxa" w:w="80"/>
            </w:tcMar>
          </w:tcPr>
          <w:p>
            <w:pPr>
              <w:spacing w:after="0"/>
            </w:pPr>
            <w:r>
              <w:rPr>
                <w:b w:val="false"/>
                <w:bCs w:val="false"/>
                <w:sz w:val="18"/>
                <w:szCs w:val="18"/>
              </w:rPr>
              <w:t xml:space="preserve">Windows (DC, member servers, clients)</w:t>
            </w:r>
          </w:p>
        </w:tc>
        <w:tc>
          <w:tcPr>
            <w:tcW w:type="dxa" w:w="0"/>
            <w:tcMar>
              <w:top w:type="dxa" w:w="60"/>
              <w:left w:type="dxa" w:w="80"/>
              <w:bottom w:type="dxa" w:w="60"/>
              <w:right w:type="dxa" w:w="80"/>
            </w:tcMar>
          </w:tcPr>
          <w:p>
            <w:pPr>
              <w:spacing w:after="0"/>
            </w:pPr>
            <w:r>
              <w:rPr>
                <w:b w:val="false"/>
                <w:bCs w:val="false"/>
                <w:sz w:val="18"/>
                <w:szCs w:val="18"/>
              </w:rPr>
              <w:t xml:space="preserve">VM password</w:t>
            </w:r>
            <w:r>
              <w:rPr>
                <w:b w:val="false"/>
                <w:bCs w:val="false"/>
                <w:sz w:val="18"/>
                <w:szCs w:val="18"/>
              </w:rPr>
              <w:t xml:space="preserve"> (RDP)</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labadmin@corp.contoso.lab</w:t>
            </w:r>
            <w:r>
              <w:rPr>
                <w:b w:val="false"/>
                <w:bCs w:val="false"/>
                <w:sz w:val="18"/>
                <w:szCs w:val="18"/>
              </w:rPr>
              <w:t xml:space="preserve">, or a domain user such as </w:t>
            </w:r>
            <w:r>
              <w:rPr>
                <w:rFonts w:ascii="Consolas" w:cs="Consolas" w:eastAsia="Consolas" w:hAnsi="Consolas"/>
                <w:b w:val="false"/>
                <w:bCs w:val="false"/>
                <w:sz w:val="18"/>
                <w:szCs w:val="18"/>
              </w:rPr>
              <w:t xml:space="preserve">lab.user@corp.contoso.lab</w:t>
            </w:r>
            <w:r>
              <w:rPr>
                <w:b w:val="false"/>
                <w:bCs w:val="false"/>
                <w:sz w:val="18"/>
                <w:szCs w:val="18"/>
              </w:rPr>
              <w:t xml:space="preserve"> — </w:t>
            </w:r>
            <w:r>
              <w:rPr>
                <w:b w:val="false"/>
                <w:bCs w:val="false"/>
                <w:sz w:val="18"/>
                <w:szCs w:val="18"/>
              </w:rPr>
              <w:t xml:space="preserve">UPN form</w:t>
            </w:r>
            <w:r>
              <w:rPr>
                <w:b w:val="false"/>
                <w:bCs w:val="false"/>
                <w:sz w:val="18"/>
                <w:szCs w:val="18"/>
              </w:rPr>
              <w:t xml:space="preserve">; Bastion does not accept </w:t>
            </w:r>
            <w:r>
              <w:rPr>
                <w:rFonts w:ascii="Consolas" w:cs="Consolas" w:eastAsia="Consolas" w:hAnsi="Consolas"/>
                <w:b w:val="false"/>
                <w:bCs w:val="false"/>
                <w:sz w:val="18"/>
                <w:szCs w:val="18"/>
              </w:rPr>
              <w:t xml:space="preserve">CORP\user</w:t>
            </w:r>
          </w:p>
        </w:tc>
      </w:tr>
      <w:tr>
        <w:tc>
          <w:tcPr>
            <w:tcW w:type="dxa" w:w="0"/>
            <w:tcMar>
              <w:top w:type="dxa" w:w="60"/>
              <w:left w:type="dxa" w:w="80"/>
              <w:bottom w:type="dxa" w:w="60"/>
              <w:right w:type="dxa" w:w="80"/>
            </w:tcMar>
          </w:tcPr>
          <w:p>
            <w:pPr>
              <w:spacing w:after="0"/>
            </w:pPr>
            <w:r>
              <w:rPr>
                <w:b w:val="false"/>
                <w:bCs w:val="false"/>
                <w:sz w:val="18"/>
                <w:szCs w:val="18"/>
              </w:rPr>
              <w:t xml:space="preserve">Windows client, after hybrid join</w:t>
            </w:r>
          </w:p>
        </w:tc>
        <w:tc>
          <w:tcPr>
            <w:tcW w:type="dxa" w:w="0"/>
            <w:tcMar>
              <w:top w:type="dxa" w:w="60"/>
              <w:left w:type="dxa" w:w="80"/>
              <w:bottom w:type="dxa" w:w="60"/>
              <w:right w:type="dxa" w:w="80"/>
            </w:tcMar>
          </w:tcPr>
          <w:p>
            <w:pPr>
              <w:spacing w:after="0"/>
            </w:pPr>
            <w:r>
              <w:rPr>
                <w:b w:val="false"/>
                <w:bCs w:val="false"/>
                <w:sz w:val="18"/>
                <w:szCs w:val="18"/>
              </w:rPr>
              <w:t xml:space="preserve">VM password</w:t>
            </w:r>
            <w:r>
              <w:rPr>
                <w:b w:val="false"/>
                <w:bCs w:val="false"/>
                <w:sz w:val="18"/>
                <w:szCs w:val="18"/>
              </w:rPr>
              <w:t xml:space="preserve"> (RDP)</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lab.user@contoso.onmicrosoft.com</w:t>
            </w:r>
            <w:r>
              <w:rPr>
                <w:b w:val="false"/>
                <w:bCs w:val="false"/>
                <w:sz w:val="18"/>
                <w:szCs w:val="18"/>
              </w:rPr>
              <w:t xml:space="preserve"> — the synced user's UPN and password (same in AD and Entra through password hash sync)</w:t>
            </w:r>
          </w:p>
        </w:tc>
      </w:tr>
    </w:tbl>
    <w:p>
      <w:pPr>
        <w:spacing w:after="120"/>
      </w:pPr>
    </w:p>
    <w:p>
      <w:pPr>
        <w:spacing w:after="120"/>
      </w:pPr>
      <w:r>
        <w:t xml:space="preserve">Bastion's </w:t>
      </w:r>
      <w:r>
        <w:rPr>
          <w:i/>
          <w:iCs/>
        </w:rPr>
        <w:t xml:space="preserve">Microsoft Entra ID</w:t>
      </w:r>
      <w:r>
        <w:t xml:space="preserve"> option for </w:t>
      </w:r>
      <w:r>
        <w:rPr>
          <w:b/>
          <w:bCs/>
        </w:rPr>
        <w:t xml:space="preserve">Windows RDP</w:t>
      </w:r>
      <w:r>
        <w:t xml:space="preserve"> only works for Entra-joined VMs, which conflicts with the AD domain join and hybrid join this lab is built on, so the kit does not install it on Windows. Linux Entra SSH is unaffected.</w:t>
      </w:r>
    </w:p>
    <w:p>
      <w:pPr>
        <w:pStyle w:val="Heading2"/>
      </w:pPr>
      <w:r>
        <w:t xml:space="preserve">5.3 Data hydration — automatic, nothing to run</w:t>
      </w:r>
    </w:p>
    <w:p>
      <w:pPr>
        <w:spacing w:after="120"/>
      </w:pPr>
      <w:r>
        <w:t xml:space="preserve">Identical to the Government guide: the </w:t>
      </w:r>
      <w:r>
        <w:rPr>
          <w:rFonts w:ascii="Consolas" w:cs="Consolas" w:eastAsia="Consolas" w:hAnsi="Consolas"/>
          <w:sz w:val="18"/>
          <w:szCs w:val="18"/>
        </w:rPr>
        <w:t xml:space="preserve">LAB-Hydration</w:t>
      </w:r>
      <w:r>
        <w:t xml:space="preserve"> task on every Windows VM and the </w:t>
      </w:r>
      <w:r>
        <w:rPr>
          <w:rFonts w:ascii="Consolas" w:cs="Consolas" w:eastAsia="Consolas" w:hAnsi="Consolas"/>
          <w:sz w:val="18"/>
          <w:szCs w:val="18"/>
        </w:rPr>
        <w:t xml:space="preserve">lab-hydrate</w:t>
      </w:r>
      <w:r>
        <w:t xml:space="preserve"> timer on every Linux VM start during the deployment and run hourly. Section 6.5 shows how to confirm it is reaching the workspace.</w:t>
      </w:r>
    </w:p>
    <w:p>
      <w:pPr>
        <w:pStyle w:val="Heading1"/>
        <w:pageBreakBefore/>
      </w:pPr>
      <w:r>
        <w:t xml:space="preserve">6. Verify</w:t>
      </w:r>
    </w:p>
    <w:p>
      <w:pPr>
        <w:pStyle w:val="Heading2"/>
      </w:pPr>
      <w:r>
        <w:t xml:space="preserve">6.1 Virtual machines</w:t>
      </w:r>
    </w:p>
    <w:p>
      <w:pPr>
        <w:spacing w:after="120"/>
      </w:pPr>
      <w:r>
        <w:t xml:space="preserve">Portal → </w:t>
      </w:r>
      <w:r>
        <w:rPr>
          <w:b/>
          <w:bCs/>
        </w:rPr>
        <w:t xml:space="preserve">Virtual machines</w:t>
      </w:r>
      <w:r>
        <w:t xml:space="preserve">: nine VMs, all </w:t>
      </w:r>
      <w:r>
        <w:rPr>
          <w:i/>
          <w:iCs/>
        </w:rPr>
        <w:t xml:space="preserve">Running</w:t>
      </w:r>
      <w:r>
        <w:t xml:space="preserve"> in West US 2 on </w:t>
      </w:r>
      <w:r>
        <w:rPr>
          <w:rFonts w:ascii="Consolas" w:cs="Consolas" w:eastAsia="Consolas" w:hAnsi="Consolas"/>
          <w:sz w:val="18"/>
          <w:szCs w:val="18"/>
        </w:rPr>
        <w:t xml:space="preserve">Standard_D2as_v7</w:t>
      </w:r>
      <w:r>
        <w:t xml:space="preserve"> — </w:t>
      </w:r>
      <w:r>
        <w:rPr>
          <w:rFonts w:ascii="Consolas" w:cs="Consolas" w:eastAsia="Consolas" w:hAnsi="Consolas"/>
          <w:sz w:val="18"/>
          <w:szCs w:val="18"/>
        </w:rPr>
        <w:t xml:space="preserve">lab-dc01</w:t>
      </w:r>
      <w:r>
        <w:t xml:space="preserve">, </w:t>
      </w:r>
      <w:r>
        <w:rPr>
          <w:rFonts w:ascii="Consolas" w:cs="Consolas" w:eastAsia="Consolas" w:hAnsi="Consolas"/>
          <w:sz w:val="18"/>
          <w:szCs w:val="18"/>
        </w:rPr>
        <w:t xml:space="preserve">lab-ms01</w:t>
      </w:r>
      <w:r>
        <w:t xml:space="preserve">, </w:t>
      </w:r>
      <w:r>
        <w:rPr>
          <w:rFonts w:ascii="Consolas" w:cs="Consolas" w:eastAsia="Consolas" w:hAnsi="Consolas"/>
          <w:sz w:val="18"/>
          <w:szCs w:val="18"/>
        </w:rPr>
        <w:t xml:space="preserve">lab-ms02</w:t>
      </w:r>
      <w:r>
        <w:t xml:space="preserve">, </w:t>
      </w:r>
      <w:r>
        <w:rPr>
          <w:rFonts w:ascii="Consolas" w:cs="Consolas" w:eastAsia="Consolas" w:hAnsi="Consolas"/>
          <w:sz w:val="18"/>
          <w:szCs w:val="18"/>
        </w:rPr>
        <w:t xml:space="preserve">lab-cl01</w:t>
      </w:r>
      <w:r>
        <w:t xml:space="preserve">–</w:t>
      </w:r>
      <w:r>
        <w:rPr>
          <w:rFonts w:ascii="Consolas" w:cs="Consolas" w:eastAsia="Consolas" w:hAnsi="Consolas"/>
          <w:sz w:val="18"/>
          <w:szCs w:val="18"/>
        </w:rPr>
        <w:t xml:space="preserve">lab-cl03</w:t>
      </w:r>
      <w:r>
        <w:t xml:space="preserve"> (Windows) and </w:t>
      </w:r>
      <w:r>
        <w:rPr>
          <w:rFonts w:ascii="Consolas" w:cs="Consolas" w:eastAsia="Consolas" w:hAnsi="Consolas"/>
          <w:sz w:val="18"/>
          <w:szCs w:val="18"/>
        </w:rPr>
        <w:t xml:space="preserve">lab-rhel01</w:t>
      </w:r>
      <w:r>
        <w:t xml:space="preserve">, </w:t>
      </w:r>
      <w:r>
        <w:rPr>
          <w:rFonts w:ascii="Consolas" w:cs="Consolas" w:eastAsia="Consolas" w:hAnsi="Consolas"/>
          <w:sz w:val="18"/>
          <w:szCs w:val="18"/>
        </w:rPr>
        <w:t xml:space="preserve">lab-sles01</w:t>
      </w:r>
      <w:r>
        <w:t xml:space="preserve">, </w:t>
      </w:r>
      <w:r>
        <w:rPr>
          <w:rFonts w:ascii="Consolas" w:cs="Consolas" w:eastAsia="Consolas" w:hAnsi="Consolas"/>
          <w:sz w:val="18"/>
          <w:szCs w:val="18"/>
        </w:rPr>
        <w:t xml:space="preserve">lab-ubu01</w:t>
      </w:r>
      <w:r>
        <w:t xml:space="preserve"> (Linux). None has a public IP: everything is reached through Bastion in the hub.</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Virtual machines</w:t>
      </w:r>
    </w:p>
    <w:p>
      <w:pPr>
        <w:spacing w:after="120"/>
      </w:pPr>
      <w:r>
        <w:t xml:space="preserve">The resource group </w:t>
      </w:r>
      <w:r>
        <w:rPr>
          <w:rFonts w:ascii="Consolas" w:cs="Consolas" w:eastAsia="Consolas" w:hAnsi="Consolas"/>
          <w:sz w:val="18"/>
          <w:szCs w:val="18"/>
        </w:rPr>
        <w:t xml:space="preserve">mca-dev-usw2-seclab-rg-network</w:t>
      </w:r>
      <w:r>
        <w:t xml:space="preserve"> holds the same inventory as on Government (VMs, NICs, disks, workspace, DCE/DCRs, Arc Private Link Scope with its private endpoint and the three </w:t>
      </w:r>
      <w:r>
        <w:rPr>
          <w:rFonts w:ascii="Consolas" w:cs="Consolas" w:eastAsia="Consolas" w:hAnsi="Consolas"/>
          <w:sz w:val="18"/>
          <w:szCs w:val="18"/>
        </w:rPr>
        <w:t xml:space="preserve">privatelink.*.azure.com</w:t>
      </w:r>
      <w:r>
        <w:t xml:space="preserve"> DNS zones, the CSPM samples and the content-script identity).</w:t>
      </w:r>
    </w:p>
    <w:p>
      <w:pPr>
        <w:pStyle w:val="Heading2"/>
      </w:pPr>
      <w:r>
        <w:t xml:space="preserve">6.2 Microsoft Sentinel</w:t>
      </w:r>
    </w:p>
    <w:p>
      <w:pPr>
        <w:spacing w:after="120"/>
      </w:pPr>
      <w:r>
        <w:t xml:space="preserve">On Commercial the workspace is onboarded to the </w:t>
      </w:r>
      <w:r>
        <w:rPr>
          <w:b/>
          <w:bCs/>
        </w:rPr>
        <w:t xml:space="preserve">unified Defender portal</w:t>
      </w:r>
      <w:r>
        <w:t xml:space="preserve">, so some Sentinel pages in the Azure portal are only a redirect: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Page</w:t>
            </w:r>
          </w:p>
        </w:tc>
        <w:tc>
          <w:tcPr>
            <w:tcW w:type="dxa" w:w="0"/>
            <w:shd w:fill="DCE6F1" w:color="auto" w:val="clear"/>
            <w:tcMar>
              <w:top w:type="dxa" w:w="60"/>
              <w:left w:type="dxa" w:w="80"/>
              <w:bottom w:type="dxa" w:w="60"/>
              <w:right w:type="dxa" w:w="80"/>
            </w:tcMar>
          </w:tcPr>
          <w:p>
            <w:pPr>
              <w:spacing w:after="0"/>
            </w:pPr>
            <w:r>
              <w:rPr>
                <w:b/>
                <w:bCs/>
                <w:sz w:val="18"/>
                <w:szCs w:val="18"/>
              </w:rPr>
              <w:t xml:space="preserve">Where it lives now</w:t>
            </w:r>
          </w:p>
        </w:tc>
      </w:tr>
      <w:tr>
        <w:tc>
          <w:tcPr>
            <w:tcW w:type="dxa" w:w="0"/>
            <w:tcMar>
              <w:top w:type="dxa" w:w="60"/>
              <w:left w:type="dxa" w:w="80"/>
              <w:bottom w:type="dxa" w:w="60"/>
              <w:right w:type="dxa" w:w="80"/>
            </w:tcMar>
          </w:tcPr>
          <w:p>
            <w:pPr>
              <w:spacing w:after="0"/>
            </w:pPr>
            <w:r>
              <w:rPr>
                <w:b w:val="false"/>
                <w:bCs w:val="false"/>
                <w:sz w:val="18"/>
                <w:szCs w:val="18"/>
              </w:rPr>
              <w:t xml:space="preserve">Analytics</w:t>
            </w:r>
            <w:r>
              <w:rPr>
                <w:b w:val="false"/>
                <w:bCs w:val="false"/>
                <w:sz w:val="18"/>
                <w:szCs w:val="18"/>
              </w:rPr>
              <w:t xml:space="preserve">, Incidents, Hunting, Workbooks, Entity behavior</w:t>
            </w:r>
          </w:p>
        </w:tc>
        <w:tc>
          <w:tcPr>
            <w:tcW w:type="dxa" w:w="0"/>
            <w:tcMar>
              <w:top w:type="dxa" w:w="60"/>
              <w:left w:type="dxa" w:w="80"/>
              <w:bottom w:type="dxa" w:w="60"/>
              <w:right w:type="dxa" w:w="80"/>
            </w:tcMar>
          </w:tcPr>
          <w:p>
            <w:pPr>
              <w:spacing w:after="0"/>
            </w:pPr>
            <w:r>
              <w:rPr>
                <w:b w:val="false"/>
                <w:bCs w:val="false"/>
                <w:sz w:val="18"/>
                <w:szCs w:val="18"/>
              </w:rPr>
              <w:t xml:space="preserve">still in the Azure portal (Microsoft Sentinel → the workspace)</w:t>
            </w:r>
          </w:p>
        </w:tc>
      </w:tr>
      <w:tr>
        <w:tc>
          <w:tcPr>
            <w:tcW w:type="dxa" w:w="0"/>
            <w:tcMar>
              <w:top w:type="dxa" w:w="60"/>
              <w:left w:type="dxa" w:w="80"/>
              <w:bottom w:type="dxa" w:w="60"/>
              <w:right w:type="dxa" w:w="80"/>
            </w:tcMar>
          </w:tcPr>
          <w:p>
            <w:pPr>
              <w:spacing w:after="0"/>
            </w:pPr>
            <w:r>
              <w:rPr>
                <w:b w:val="false"/>
                <w:bCs w:val="false"/>
                <w:sz w:val="18"/>
                <w:szCs w:val="18"/>
              </w:rPr>
              <w:t xml:space="preserve">Content hub</w:t>
            </w:r>
            <w:r>
              <w:rPr>
                <w:b w:val="false"/>
                <w:bCs w:val="false"/>
                <w:sz w:val="18"/>
                <w:szCs w:val="18"/>
              </w:rPr>
              <w:t xml:space="preserve">, </w:t>
            </w:r>
            <w:r>
              <w:rPr>
                <w:b w:val="false"/>
                <w:bCs w:val="false"/>
                <w:sz w:val="18"/>
                <w:szCs w:val="18"/>
              </w:rPr>
              <w:t xml:space="preserve">Data connectors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security.microsoft.com</w:t>
            </w:r>
            <w:r>
              <w:rPr>
                <w:b w:val="false"/>
                <w:bCs w:val="false"/>
                <w:sz w:val="18"/>
                <w:szCs w:val="18"/>
              </w:rPr>
              <w:t xml:space="preserve"> → Microsoft Sentinel → Content management / Configuration — the Azure page just shows </w:t>
            </w:r>
            <w:r>
              <w:rPr>
                <w:b w:val="false"/>
                <w:bCs w:val="false"/>
                <w:i/>
                <w:iCs/>
                <w:sz w:val="18"/>
                <w:szCs w:val="18"/>
              </w:rPr>
              <w:t xml:space="preserve">This page has been moved to the Defender portal</w:t>
            </w:r>
          </w:p>
        </w:tc>
      </w:tr>
    </w:tbl>
    <w:p>
      <w:pPr>
        <w:spacing w:after="120"/>
      </w:pP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Content hub moved to the Defender portal</w:t>
      </w:r>
    </w:p>
    <w:p>
      <w:pPr>
        <w:spacing w:after="120"/>
      </w:pPr>
      <w:r>
        <w:rPr>
          <w:b/>
          <w:bCs/>
        </w:rPr>
        <w:t xml:space="preserve">Analytics</w:t>
      </w:r>
      <w:r>
        <w:t xml:space="preserve"> — 263 active rules (75 High, 158 Medium, 30 Low) created from the installed solutions' templates:</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Analytics rules</w:t>
      </w:r>
    </w:p>
    <w:p>
      <w:pPr>
        <w:spacing w:after="120"/>
      </w:pPr>
      <w:r>
        <w:rPr>
          <w:b/>
          <w:bCs/>
        </w:rPr>
        <w:t xml:space="preserve">Content hub</w:t>
      </w:r>
      <w:r>
        <w:t xml:space="preserve"> (Defender portal) — 7 solutions </w:t>
      </w:r>
      <w:r>
        <w:rPr>
          <w:i/>
          <w:iCs/>
        </w:rPr>
        <w:t xml:space="preserve">Installed</w:t>
      </w:r>
      <w:r>
        <w:t xml:space="preserve">: Microsoft Entra ID, Azure Activity, Microsoft Defender XDR, Windows Security Events, Syslog, Threat Intelligence, UEBA Essentials.</w:t>
      </w:r>
    </w:p>
    <w:p>
      <w:pPr>
        <w:spacing w:after="120"/>
      </w:pPr>
      <w:r>
        <w:rPr>
          <w:b/>
          <w:bCs/>
        </w:rPr>
        <w:t xml:space="preserve">Data connectors</w:t>
      </w:r>
      <w:r>
        <w:t xml:space="preserve"> (Defender portal) — Windows Security Events via AMA and Syslog via AMA connect as soon as the VMs report; Microsoft Defender XDR is connected by the post-deploy script; Microsoft Entra ID and Azure Activity show </w:t>
      </w:r>
      <w:r>
        <w:rPr>
          <w:i/>
          <w:iCs/>
        </w:rPr>
        <w:t xml:space="preserve">Connected</w:t>
      </w:r>
      <w:r>
        <w:t xml:space="preserve"> 10–30 minutes after step 5, when their first logs arrive.</w:t>
      </w:r>
    </w:p>
    <w:p>
      <w:pPr>
        <w:spacing w:after="120"/>
      </w:pPr>
      <w:r>
        <w:rPr>
          <w:b/>
          <w:bCs/>
        </w:rPr>
        <w:t xml:space="preserve">Entity behavior</w:t>
      </w:r>
      <w:r>
        <w:t xml:space="preserve"> — Settings show UEBA </w:t>
      </w:r>
      <w:r>
        <w:rPr>
          <w:b/>
          <w:bCs/>
        </w:rPr>
        <w:t xml:space="preserve">On</w:t>
      </w:r>
      <w:r>
        <w:t xml:space="preserve">, Microsoft Entra ID as the entity provider, with Audit Logs, Azure Activity, Signin Logs and Security Events selected.</w:t>
      </w:r>
    </w:p>
    <w:p>
      <w:pPr>
        <w:pStyle w:val="Heading2"/>
      </w:pPr>
      <w:r>
        <w:t xml:space="preserve">6.3 Bastion sign-in</w:t>
      </w:r>
    </w:p>
    <w:p>
      <w:pPr>
        <w:spacing w:after="120"/>
      </w:pPr>
      <w:r>
        <w:t xml:space="preserve">Linux: open </w:t>
      </w:r>
      <w:r>
        <w:rPr>
          <w:rFonts w:ascii="Consolas" w:cs="Consolas" w:eastAsia="Consolas" w:hAnsi="Consolas"/>
          <w:sz w:val="18"/>
          <w:szCs w:val="18"/>
        </w:rPr>
        <w:t xml:space="preserve">lab-ubu01</w:t>
      </w:r>
      <w:r>
        <w:t xml:space="preserve"> → </w:t>
      </w:r>
      <w:r>
        <w:rPr>
          <w:b/>
          <w:bCs/>
        </w:rPr>
        <w:t xml:space="preserve">Connect → Bastion</w:t>
      </w:r>
      <w:r>
        <w:t xml:space="preserve"> → </w:t>
      </w:r>
      <w:r>
        <w:rPr>
          <w:i/>
          <w:iCs/>
        </w:rPr>
        <w:t xml:space="preserve">Microsoft Entra ID</w:t>
      </w:r>
      <w:r>
        <w:t xml:space="preserve"> → Connect; members of the step 3.1 group get an administrator SSH session with their Entra account. Windows: </w:t>
      </w:r>
      <w:r>
        <w:rPr>
          <w:i/>
          <w:iCs/>
        </w:rPr>
        <w:t xml:space="preserve">VM password</w:t>
      </w:r>
      <w:r>
        <w:t xml:space="preserve"> with </w:t>
      </w:r>
      <w:r>
        <w:rPr>
          <w:rFonts w:ascii="Consolas" w:cs="Consolas" w:eastAsia="Consolas" w:hAnsi="Consolas"/>
          <w:sz w:val="18"/>
          <w:szCs w:val="18"/>
        </w:rPr>
        <w:t xml:space="preserve">labadmin@corp.contoso.lab</w:t>
      </w:r>
      <w:r>
        <w:t xml:space="preserve"> (see 5.2.5 for why Entra RDP does not apply to domain-joined VMs).</w:t>
      </w:r>
    </w:p>
    <w:p>
      <w:pPr>
        <w:pStyle w:val="Heading2"/>
      </w:pPr>
      <w:r>
        <w:t xml:space="preserve">6.4 Defender for Cloud plans</w:t>
      </w:r>
    </w:p>
    <w:p>
      <w:pPr>
        <w:spacing w:after="120"/>
      </w:pPr>
      <w:r>
        <w:t xml:space="preserve">Microsoft Defender for Cloud → Environment settings → the subscription → </w:t>
      </w:r>
      <w:r>
        <w:rPr>
          <w:b/>
          <w:bCs/>
        </w:rPr>
        <w:t xml:space="preserve">Defender plans</w:t>
      </w:r>
      <w:r>
        <w:t xml:space="preserve">. Expected on Commercial: Defender CSPM, Servers (</w:t>
      </w:r>
      <w:r>
        <w:rPr>
          <w:b/>
          <w:bCs/>
        </w:rPr>
        <w:t xml:space="preserve">Plan 2</w:t>
      </w:r>
      <w:r>
        <w:t xml:space="preserve">), Databases (SQL on VMs, open-source relational, Cosmos DB), Storage, Containers, Key Vault, Resource Manager and — unlike Government — </w:t>
      </w:r>
      <w:r>
        <w:rPr>
          <w:b/>
          <w:bCs/>
        </w:rPr>
        <w:t xml:space="preserve">App Service</w:t>
      </w:r>
      <w:r>
        <w:t xml:space="preserve"> all </w:t>
      </w:r>
      <w:r>
        <w:rPr>
          <w:b/>
          <w:bCs/>
        </w:rPr>
        <w:t xml:space="preserve">On</w:t>
      </w:r>
      <w:r>
        <w:t xml:space="preserve">; SQL servers on machines' sibling </w:t>
      </w:r>
      <w:r>
        <w:rPr>
          <w:i/>
          <w:iCs/>
        </w:rPr>
        <w:t xml:space="preserve">Azure SQL</w:t>
      </w:r>
      <w:r>
        <w:t xml:space="preserve">, Kubernetes/Container registry (legacy), DNS, APIs and AI are left Off. The post-deploy script prints the same table from the API:</w:t>
      </w:r>
    </w:p>
    <w:p>
      <w:pPr>
        <w:keepNext w:val="false"/>
        <w:shd w:fill="F2F2F2" w:color="auto" w:val="clear"/>
        <w:spacing w:after="160" w:before="0" w:line="240"/>
        <w:ind w:left="120" w:right="120"/>
      </w:pPr>
      <w:r>
        <w:rPr>
          <w:rFonts w:ascii="Consolas" w:cs="Consolas" w:eastAsia="Consolas" w:hAnsi="Consolas"/>
          <w:sz w:val="17"/>
          <w:szCs w:val="17"/>
        </w:rPr>
        <w:t xml:space="preserve">az security pricing list --query "value[?pricingTier=='Standard'].{plan:name,subPlan:subPlan}" -o table</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Post-deploy summary: plans, solutions, rules, routing</w:t>
      </w:r>
    </w:p>
    <w:p>
      <w:pPr>
        <w:pStyle w:val="Heading2"/>
      </w:pPr>
      <w:r>
        <w:t xml:space="preserve">6.5 Data hydration reaching the workspace</w:t>
      </w:r>
    </w:p>
    <w:p>
      <w:pPr>
        <w:spacing w:after="120"/>
      </w:pPr>
      <w:r>
        <w:t xml:space="preserve">About an hour after the deployment, run this in the Sentinel workspace (Logs):</w:t>
      </w:r>
    </w:p>
    <w:p>
      <w:pPr>
        <w:keepNext/>
        <w:shd w:fill="F2F2F2" w:color="auto" w:val="clear"/>
        <w:spacing w:after="0" w:before="0" w:line="240"/>
        <w:ind w:left="120" w:right="120"/>
      </w:pPr>
      <w:r>
        <w:rPr>
          <w:rFonts w:ascii="Consolas" w:cs="Consolas" w:eastAsia="Consolas" w:hAnsi="Consolas"/>
          <w:sz w:val="17"/>
          <w:szCs w:val="17"/>
        </w:rPr>
        <w:t xml:space="preserve">union</w:t>
      </w:r>
    </w:p>
    <w:p>
      <w:pPr>
        <w:keepNext/>
        <w:shd w:fill="F2F2F2" w:color="auto" w:val="clear"/>
        <w:spacing w:after="0" w:before="0" w:line="240"/>
        <w:ind w:left="120" w:right="120"/>
      </w:pPr>
      <w:r>
        <w:rPr>
          <w:rFonts w:ascii="Consolas" w:cs="Consolas" w:eastAsia="Consolas" w:hAnsi="Consolas"/>
          <w:sz w:val="17"/>
          <w:szCs w:val="17"/>
        </w:rPr>
        <w:t xml:space="preserve">  (SecurityEvent | where EventID in (4728, 4729) and MemberName has "churn"</w:t>
      </w:r>
    </w:p>
    <w:p>
      <w:pPr>
        <w:keepNext/>
        <w:shd w:fill="F2F2F2" w:color="auto" w:val="clear"/>
        <w:spacing w:after="0" w:before="0" w:line="240"/>
        <w:ind w:left="120" w:right="120"/>
      </w:pPr>
      <w:r>
        <w:rPr>
          <w:rFonts w:ascii="Consolas" w:cs="Consolas" w:eastAsia="Consolas" w:hAnsi="Consolas"/>
          <w:sz w:val="17"/>
          <w:szCs w:val="17"/>
        </w:rPr>
        <w:t xml:space="preserve">     | summarize Events = count(), Last = max(TimeGenerated) by Signal = "AD group churn (4728/4729)", Computer),</w:t>
      </w:r>
    </w:p>
    <w:p>
      <w:pPr>
        <w:keepNext/>
        <w:shd w:fill="F2F2F2" w:color="auto" w:val="clear"/>
        <w:spacing w:after="0" w:before="0" w:line="240"/>
        <w:ind w:left="120" w:right="120"/>
      </w:pPr>
      <w:r>
        <w:rPr>
          <w:rFonts w:ascii="Consolas" w:cs="Consolas" w:eastAsia="Consolas" w:hAnsi="Consolas"/>
          <w:sz w:val="17"/>
          <w:szCs w:val="17"/>
        </w:rPr>
        <w:t xml:space="preserve">  (SecurityEvent | where EventID in (4625, 4771) and TargetUserName has "churn"</w:t>
      </w:r>
    </w:p>
    <w:p>
      <w:pPr>
        <w:keepNext/>
        <w:shd w:fill="F2F2F2" w:color="auto" w:val="clear"/>
        <w:spacing w:after="0" w:before="0" w:line="240"/>
        <w:ind w:left="120" w:right="120"/>
      </w:pPr>
      <w:r>
        <w:rPr>
          <w:rFonts w:ascii="Consolas" w:cs="Consolas" w:eastAsia="Consolas" w:hAnsi="Consolas"/>
          <w:sz w:val="17"/>
          <w:szCs w:val="17"/>
        </w:rPr>
        <w:t xml:space="preserve">     | summarize Events = count(), Last = max(TimeGenerated) by Signal = "failed sign-in lab.churn", Computer),</w:t>
      </w:r>
    </w:p>
    <w:p>
      <w:pPr>
        <w:keepNext/>
        <w:shd w:fill="F2F2F2" w:color="auto" w:val="clear"/>
        <w:spacing w:after="0" w:before="0" w:line="240"/>
        <w:ind w:left="120" w:right="120"/>
      </w:pPr>
      <w:r>
        <w:rPr>
          <w:rFonts w:ascii="Consolas" w:cs="Consolas" w:eastAsia="Consolas" w:hAnsi="Consolas"/>
          <w:sz w:val="17"/>
          <w:szCs w:val="17"/>
        </w:rPr>
        <w:t xml:space="preserve">  (SecurityEvent | where EventID == 4688 and CommandLine has "nltest" and CommandLine has "dsgetdc"</w:t>
      </w:r>
    </w:p>
    <w:p>
      <w:pPr>
        <w:keepNext/>
        <w:shd w:fill="F2F2F2" w:color="auto" w:val="clear"/>
        <w:spacing w:after="0" w:before="0" w:line="240"/>
        <w:ind w:left="120" w:right="120"/>
      </w:pPr>
      <w:r>
        <w:rPr>
          <w:rFonts w:ascii="Consolas" w:cs="Consolas" w:eastAsia="Consolas" w:hAnsi="Consolas"/>
          <w:sz w:val="17"/>
          <w:szCs w:val="17"/>
        </w:rPr>
        <w:t xml:space="preserve">     | summarize Events = count(), Last = max(TimeGenerated) by Signal = "Windows user activity (nltest)", Computer),</w:t>
      </w:r>
    </w:p>
    <w:p>
      <w:pPr>
        <w:keepNext/>
        <w:shd w:fill="F2F2F2" w:color="auto" w:val="clear"/>
        <w:spacing w:after="0" w:before="0" w:line="240"/>
        <w:ind w:left="120" w:right="120"/>
      </w:pPr>
      <w:r>
        <w:rPr>
          <w:rFonts w:ascii="Consolas" w:cs="Consolas" w:eastAsia="Consolas" w:hAnsi="Consolas"/>
          <w:sz w:val="17"/>
          <w:szCs w:val="17"/>
        </w:rPr>
        <w:t xml:space="preserve">  (Syslog | where ProcessName == "lab-hydrate" or SyslogMessage has "lab-hydrate"</w:t>
      </w:r>
    </w:p>
    <w:p>
      <w:pPr>
        <w:keepNext/>
        <w:shd w:fill="F2F2F2" w:color="auto" w:val="clear"/>
        <w:spacing w:after="0" w:before="0" w:line="240"/>
        <w:ind w:left="120" w:right="120"/>
      </w:pPr>
      <w:r>
        <w:rPr>
          <w:rFonts w:ascii="Consolas" w:cs="Consolas" w:eastAsia="Consolas" w:hAnsi="Consolas"/>
          <w:sz w:val="17"/>
          <w:szCs w:val="17"/>
        </w:rPr>
        <w:t xml:space="preserve">     | summarize Events = count(), Last = max(TimeGenerated) by Signal = "Linux lab-hydrate", Computer)</w:t>
      </w:r>
    </w:p>
    <w:p>
      <w:pPr>
        <w:keepNext w:val="false"/>
        <w:shd w:fill="F2F2F2" w:color="auto" w:val="clear"/>
        <w:spacing w:after="160" w:before="0" w:line="240"/>
        <w:ind w:left="120" w:right="120"/>
      </w:pPr>
      <w:r>
        <w:rPr>
          <w:rFonts w:ascii="Consolas" w:cs="Consolas" w:eastAsia="Consolas" w:hAnsi="Consolas"/>
          <w:sz w:val="17"/>
          <w:szCs w:val="17"/>
        </w:rPr>
        <w:t xml:space="preserve">| order by Signal asc, Computer asc</w:t>
      </w:r>
    </w:p>
    <w:p>
      <w:pPr>
        <w:spacing w:after="120"/>
      </w:pPr>
      <w:r>
        <w:t xml:space="preserve">Expect one row per signal and computer with </w:t>
      </w:r>
      <w:r>
        <w:rPr>
          <w:i/>
          <w:iCs/>
        </w:rPr>
        <w:t xml:space="preserve">Last</w:t>
      </w:r>
      <w:r>
        <w:t xml:space="preserve"> within the past hour: group churn and failed sign-ins on the domain controller, user activity on every Windows VM, </w:t>
      </w:r>
      <w:r>
        <w:rPr>
          <w:rFonts w:ascii="Consolas" w:cs="Consolas" w:eastAsia="Consolas" w:hAnsi="Consolas"/>
          <w:sz w:val="18"/>
          <w:szCs w:val="18"/>
        </w:rPr>
        <w:t xml:space="preserve">lab-hydrate</w:t>
      </w:r>
      <w:r>
        <w:t xml:space="preserve"> on the three Linux servers. The same query runs from a Bash Cloud Shell without opening the Logs blade (save it as </w:t>
      </w:r>
      <w:r>
        <w:rPr>
          <w:rFonts w:ascii="Consolas" w:cs="Consolas" w:eastAsia="Consolas" w:hAnsi="Consolas"/>
          <w:sz w:val="18"/>
          <w:szCs w:val="18"/>
        </w:rPr>
        <w:t xml:space="preserve">hydration.kql</w:t>
      </w:r>
      <w:r>
        <w:t xml:space="preserve"> first; the CLI asks once to install its </w:t>
      </w:r>
      <w:r>
        <w:rPr>
          <w:rFonts w:ascii="Consolas" w:cs="Consolas" w:eastAsia="Consolas" w:hAnsi="Consolas"/>
          <w:sz w:val="18"/>
          <w:szCs w:val="18"/>
        </w:rPr>
        <w:t xml:space="preserve">log-analytics</w:t>
      </w:r>
      <w:r>
        <w:t xml:space="preserve"> extension — answer </w:t>
      </w:r>
      <w:r>
        <w:rPr>
          <w:rFonts w:ascii="Consolas" w:cs="Consolas" w:eastAsia="Consolas" w:hAnsi="Consolas"/>
          <w:sz w:val="18"/>
          <w:szCs w:val="18"/>
        </w:rPr>
        <w:t xml:space="preserve">Y</w:t>
      </w:r>
      <w:r>
        <w:t xml:space="preserve">):</w:t>
      </w:r>
    </w:p>
    <w:p>
      <w:pPr>
        <w:keepNext/>
        <w:shd w:fill="F2F2F2" w:color="auto" w:val="clear"/>
        <w:spacing w:after="0" w:before="0" w:line="240"/>
        <w:ind w:left="120" w:right="120"/>
      </w:pPr>
      <w:r>
        <w:rPr>
          <w:rFonts w:ascii="Consolas" w:cs="Consolas" w:eastAsia="Consolas" w:hAnsi="Consolas"/>
          <w:sz w:val="17"/>
          <w:szCs w:val="17"/>
        </w:rPr>
        <w:t xml:space="preserve">WS=$(az monitor log-analytics workspace show -g mca-dev-usw2-seclab-rg-network -n law-mca-lab --query customerId -o tsv)</w:t>
      </w:r>
    </w:p>
    <w:p>
      <w:pPr>
        <w:keepNext w:val="false"/>
        <w:shd w:fill="F2F2F2" w:color="auto" w:val="clear"/>
        <w:spacing w:after="160" w:before="0" w:line="240"/>
        <w:ind w:left="120" w:right="120"/>
      </w:pPr>
      <w:r>
        <w:rPr>
          <w:rFonts w:ascii="Consolas" w:cs="Consolas" w:eastAsia="Consolas" w:hAnsi="Consolas"/>
          <w:sz w:val="17"/>
          <w:szCs w:val="17"/>
        </w:rPr>
        <w:t xml:space="preserve">az monitor log-analytics query -w $WS --analytics-query "$(cat hydration.kql)" -t P1D -o table</w:t>
      </w:r>
    </w:p>
    <w:p>
      <w:pPr>
        <w:spacing w:after="120"/>
      </w:pPr>
      <w:r>
        <w:t xml:space="preserve">Ten hours after the Commercial deployment all four signals were present on every machine: 7 group-churn and 14 failed-sign-in events on the DC, 5–7 </w:t>
      </w:r>
      <w:r>
        <w:rPr>
          <w:rFonts w:ascii="Consolas" w:cs="Consolas" w:eastAsia="Consolas" w:hAnsi="Consolas"/>
          <w:sz w:val="18"/>
          <w:szCs w:val="18"/>
        </w:rPr>
        <w:t xml:space="preserve">nltest</w:t>
      </w:r>
      <w:r>
        <w:t xml:space="preserve"> activity events on each of the six Windows VMs and 18 </w:t>
      </w:r>
      <w:r>
        <w:rPr>
          <w:rFonts w:ascii="Consolas" w:cs="Consolas" w:eastAsia="Consolas" w:hAnsi="Consolas"/>
          <w:sz w:val="18"/>
          <w:szCs w:val="18"/>
        </w:rPr>
        <w:t xml:space="preserve">lab-hydrate</w:t>
      </w:r>
      <w:r>
        <w:t xml:space="preserve"> entries on each Linux server — hourly, as designed (the Government lab had needed troubleshooting #46/#47 for the last two signals; the fixes carried over).</w:t>
      </w:r>
    </w:p>
    <w:p>
      <w:pPr>
        <w:keepNext/>
        <w:spacing w:after="20" w:before="6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72200" cy="3171825"/>
                    </a:xfrm>
                    <a:prstGeom prst="rect">
                      <a:avLst/>
                    </a:prstGeom>
                  </pic:spPr>
                </pic:pic>
              </a:graphicData>
            </a:graphic>
          </wp:inline>
        </w:drawing>
      </w:r>
    </w:p>
    <w:p>
      <w:pPr>
        <w:spacing w:after="200"/>
        <w:jc w:val="center"/>
      </w:pPr>
      <w:r>
        <w:rPr>
          <w:i/>
          <w:iCs/>
          <w:color w:val="595959"/>
          <w:sz w:val="17"/>
          <w:szCs w:val="17"/>
        </w:rPr>
        <w:t xml:space="preserve">Figure: Hydration check from Cloud Shell</w:t>
      </w:r>
    </w:p>
    <w:p>
      <w:pPr>
        <w:pStyle w:val="Heading1"/>
        <w:pageBreakBefore/>
      </w:pPr>
      <w:r>
        <w:t xml:space="preserve">7. Teardown</w:t>
      </w:r>
    </w:p>
    <w:p>
      <w:pPr>
        <w:spacing w:after="120"/>
      </w:pPr>
      <w:r>
        <w:rPr>
          <w:rFonts w:ascii="Consolas" w:cs="Consolas" w:eastAsia="Consolas" w:hAnsi="Consolas"/>
          <w:sz w:val="18"/>
          <w:szCs w:val="18"/>
        </w:rPr>
        <w:t xml:space="preserve">destroy.ps1</w:t>
      </w:r>
      <w:r>
        <w:t xml:space="preserve"> discovers every resource group by the naming prefix and deletes them in parallel. It also force-deletes and purges the Log Analytics workspaces, purges the Key Vaults, removes the policy assignments, resets the Defender plans, and deletes the NSG flow logs the MLZ hub left in </w:t>
      </w:r>
      <w:r>
        <w:rPr>
          <w:b/>
          <w:bCs/>
        </w:rPr>
        <w:t xml:space="preserve">NetworkWatcherRG</w:t>
      </w:r>
      <w:r>
        <w:t xml:space="preserve">.</w:t>
      </w:r>
    </w:p>
    <w:p>
      <w:pPr>
        <w:keepNext/>
        <w:shd w:fill="F2F2F2" w:color="auto" w:val="clear"/>
        <w:spacing w:after="0" w:before="0" w:line="240"/>
        <w:ind w:left="120" w:right="120"/>
      </w:pPr>
      <w:r>
        <w:rPr>
          <w:rFonts w:ascii="Consolas" w:cs="Consolas" w:eastAsia="Consolas" w:hAnsi="Consolas"/>
          <w:sz w:val="17"/>
          <w:szCs w:val="17"/>
        </w:rPr>
        <w:t xml:space="preserve">curl -sO https://raw.githubusercontent.com/lee-aguilar-msft/Azure-MLZStarterKit-Security/main/destroy.ps1</w:t>
      </w:r>
    </w:p>
    <w:p>
      <w:pPr>
        <w:keepNext/>
        <w:shd w:fill="F2F2F2" w:color="auto" w:val="clear"/>
        <w:spacing w:after="0" w:before="0" w:line="240"/>
        <w:ind w:left="120" w:right="120"/>
      </w:pPr>
      <w:r>
        <w:rPr>
          <w:rFonts w:ascii="Consolas" w:cs="Consolas" w:eastAsia="Consolas" w:hAnsi="Consolas"/>
          <w:sz w:val="17"/>
          <w:szCs w:val="17"/>
        </w:rPr>
        <w:t xml:space="preserve">pwsh -NoProfile -File ./destroy.ps1 -SubscriptionId &lt;subscription-id&gt; -Identifier mca -EnvironmentAbbreviation dev \</w:t>
      </w:r>
    </w:p>
    <w:p>
      <w:pPr>
        <w:keepNext w:val="false"/>
        <w:shd w:fill="F2F2F2" w:color="auto" w:val="clear"/>
        <w:spacing w:after="160" w:before="0" w:line="240"/>
        <w:ind w:left="120" w:right="120"/>
      </w:pPr>
      <w:r>
        <w:rPr>
          <w:rFonts w:ascii="Consolas" w:cs="Consolas" w:eastAsia="Consolas" w:hAnsi="Consolas"/>
          <w:sz w:val="17"/>
          <w:szCs w:val="17"/>
        </w:rPr>
        <w:t xml:space="preserve">  -Location westus2 -RemoveDefenderPlans -RemovePolicyAssignments -Force</w:t>
      </w:r>
    </w:p>
    <w:p>
      <w:pPr>
        <w:spacing w:after="120"/>
      </w:pPr>
      <w:r>
        <w:t xml:space="preserve">Expect 20–40 minutes (the Azure Firewall and Bastion are the slow deletes; a firewall in a </w:t>
      </w:r>
      <w:r>
        <w:rPr>
          <w:i/>
          <w:iCs/>
        </w:rPr>
        <w:t xml:space="preserve">Failed</w:t>
      </w:r>
      <w:r>
        <w:t xml:space="preserve"> state takes longest). Check afterwards that </w:t>
      </w:r>
      <w:r>
        <w:rPr>
          <w:b/>
          <w:bCs/>
        </w:rPr>
        <w:t xml:space="preserve">Resource groups</w:t>
      </w:r>
      <w:r>
        <w:t xml:space="preserve"> shows none with the </w:t>
      </w:r>
      <w:r>
        <w:rPr>
          <w:rFonts w:ascii="Consolas" w:cs="Consolas" w:eastAsia="Consolas" w:hAnsi="Consolas"/>
          <w:sz w:val="18"/>
          <w:szCs w:val="18"/>
        </w:rPr>
        <w:t xml:space="preserve">mca-dev-usw2-</w:t>
      </w:r>
      <w:r>
        <w:t xml:space="preserve"> prefix. Run it from a Cloud Shell session you keep active — or in the background with </w:t>
      </w:r>
      <w:r>
        <w:rPr>
          <w:rFonts w:ascii="Consolas" w:cs="Consolas" w:eastAsia="Consolas" w:hAnsi="Consolas"/>
          <w:sz w:val="18"/>
          <w:szCs w:val="18"/>
        </w:rPr>
        <w:t xml:space="preserve">nohup pwsh … &gt; ~/destroy.log 2&gt;&amp;1 &amp;</w:t>
      </w:r>
      <w:r>
        <w:t xml:space="preserve"> and </w:t>
      </w:r>
      <w:r>
        <w:rPr>
          <w:rFonts w:ascii="Consolas" w:cs="Consolas" w:eastAsia="Consolas" w:hAnsi="Consolas"/>
          <w:sz w:val="18"/>
          <w:szCs w:val="18"/>
        </w:rPr>
        <w:t xml:space="preserve">tail ~/destroy.log</w:t>
      </w:r>
      <w:r>
        <w:t xml:space="preserve"> — if the shell drops mid-run, simply run it again; it is safe to repeat.</w:t>
      </w:r>
    </w:p>
    <w:p>
      <w:pPr>
        <w:spacing w:after="120"/>
      </w:pPr>
      <w:r>
        <w:t xml:space="preserve">The tenant-level Entra ID diagnostic setting (</w:t>
      </w:r>
      <w:r>
        <w:rPr>
          <w:rFonts w:ascii="Consolas" w:cs="Consolas" w:eastAsia="Consolas" w:hAnsi="Consolas"/>
          <w:sz w:val="18"/>
          <w:szCs w:val="18"/>
        </w:rPr>
        <w:t xml:space="preserve">sentinel-lab</w:t>
      </w:r>
      <w:r>
        <w:t xml:space="preserve">) is not removed by </w:t>
      </w:r>
      <w:r>
        <w:rPr>
          <w:rFonts w:ascii="Consolas" w:cs="Consolas" w:eastAsia="Consolas" w:hAnsi="Consolas"/>
          <w:sz w:val="18"/>
          <w:szCs w:val="18"/>
        </w:rPr>
        <w:t xml:space="preserve">destroy.ps1</w:t>
      </w:r>
      <w:r>
        <w:t xml:space="preserve">: delete it under Microsoft Entra ID → Diagnostic settings if you are not redeploying.</w:t>
      </w:r>
    </w:p>
    <w:p>
      <w:pPr>
        <w:pStyle w:val="Heading1"/>
        <w:pageBreakBefore/>
      </w:pPr>
      <w:r>
        <w:t xml:space="preserve">8. Troubleshooting — every Commercial error hit while writing this guide</w:t>
      </w:r>
    </w:p>
    <w:p>
      <w:pPr>
        <w:spacing w:after="120"/>
      </w:pPr>
      <w:r>
        <w:t xml:space="preserve">The Government guide's troubleshooting table (#1–#47) applies to the kit as a whole; these are the entries that only showed up on Azure Commercial. All fixes are on </w:t>
      </w:r>
      <w:r>
        <w:rPr>
          <w:rFonts w:ascii="Consolas" w:cs="Consolas" w:eastAsia="Consolas" w:hAnsi="Consolas"/>
          <w:sz w:val="18"/>
          <w:szCs w:val="18"/>
        </w:rPr>
        <w:t xml:space="preserve">main</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900"/>
        <w:gridCol w:w="2500"/>
        <w:gridCol w:w="26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w:t>
            </w:r>
          </w:p>
        </w:tc>
        <w:tc>
          <w:tcPr>
            <w:tcW w:type="dxa" w:w="0"/>
            <w:shd w:fill="DCE6F1" w:color="auto" w:val="clear"/>
            <w:tcMar>
              <w:top w:type="dxa" w:w="60"/>
              <w:left w:type="dxa" w:w="80"/>
              <w:bottom w:type="dxa" w:w="60"/>
              <w:right w:type="dxa" w:w="80"/>
            </w:tcMar>
          </w:tcPr>
          <w:p>
            <w:pPr>
              <w:spacing w:after="0"/>
            </w:pPr>
            <w:r>
              <w:rPr>
                <w:b/>
                <w:bCs/>
                <w:sz w:val="18"/>
                <w:szCs w:val="18"/>
              </w:rPr>
              <w:t xml:space="preserve">Where</w:t>
            </w:r>
          </w:p>
        </w:tc>
        <w:tc>
          <w:tcPr>
            <w:tcW w:type="dxa" w:w="0"/>
            <w:shd w:fill="DCE6F1" w:color="auto" w:val="clear"/>
            <w:tcMar>
              <w:top w:type="dxa" w:w="60"/>
              <w:left w:type="dxa" w:w="80"/>
              <w:bottom w:type="dxa" w:w="60"/>
              <w:right w:type="dxa" w:w="80"/>
            </w:tcMar>
          </w:tcPr>
          <w:p>
            <w:pPr>
              <w:spacing w:after="0"/>
            </w:pPr>
            <w:r>
              <w:rPr>
                <w:b/>
                <w:bCs/>
                <w:sz w:val="18"/>
                <w:szCs w:val="18"/>
              </w:rPr>
              <w:t xml:space="preserve">Error</w:t>
            </w:r>
          </w:p>
        </w:tc>
        <w:tc>
          <w:tcPr>
            <w:tcW w:type="dxa" w:w="0"/>
            <w:shd w:fill="DCE6F1" w:color="auto" w:val="clear"/>
            <w:tcMar>
              <w:top w:type="dxa" w:w="60"/>
              <w:left w:type="dxa" w:w="80"/>
              <w:bottom w:type="dxa" w:w="60"/>
              <w:right w:type="dxa" w:w="80"/>
            </w:tcMar>
          </w:tcPr>
          <w:p>
            <w:pPr>
              <w:spacing w:after="0"/>
            </w:pPr>
            <w:r>
              <w:rPr>
                <w:b/>
                <w:bCs/>
                <w:sz w:val="18"/>
                <w:szCs w:val="18"/>
              </w:rPr>
              <w:t xml:space="preserve">Cause</w:t>
            </w:r>
          </w:p>
        </w:tc>
        <w:tc>
          <w:tcPr>
            <w:tcW w:type="dxa" w:w="0"/>
            <w:shd w:fill="DCE6F1" w:color="auto" w:val="clear"/>
            <w:tcMar>
              <w:top w:type="dxa" w:w="60"/>
              <w:left w:type="dxa" w:w="80"/>
              <w:bottom w:type="dxa" w:w="60"/>
              <w:right w:type="dxa" w:w="80"/>
            </w:tcMar>
          </w:tcPr>
          <w:p>
            <w:pPr>
              <w:spacing w:after="0"/>
            </w:pPr>
            <w:r>
              <w:rPr>
                <w:b/>
                <w:bCs/>
                <w:sz w:val="18"/>
                <w:szCs w:val="18"/>
              </w:rPr>
              <w:t xml:space="preserve">Fix (in the kit)</w:t>
            </w:r>
          </w:p>
        </w:tc>
      </w:tr>
      <w:tr>
        <w:tc>
          <w:tcPr>
            <w:tcW w:type="dxa" w:w="0"/>
            <w:tcMar>
              <w:top w:type="dxa" w:w="60"/>
              <w:left w:type="dxa" w:w="80"/>
              <w:bottom w:type="dxa" w:w="60"/>
              <w:right w:type="dxa" w:w="80"/>
            </w:tcMar>
          </w:tcPr>
          <w:p>
            <w:pPr>
              <w:spacing w:after="0"/>
            </w:pPr>
            <w:r>
              <w:rPr>
                <w:b w:val="false"/>
                <w:bCs w:val="false"/>
                <w:sz w:val="18"/>
                <w:szCs w:val="18"/>
              </w:rPr>
              <w:t xml:space="preserve">48</w:t>
            </w:r>
          </w:p>
        </w:tc>
        <w:tc>
          <w:tcPr>
            <w:tcW w:type="dxa" w:w="0"/>
            <w:tcMar>
              <w:top w:type="dxa" w:w="60"/>
              <w:left w:type="dxa" w:w="80"/>
              <w:bottom w:type="dxa" w:w="60"/>
              <w:right w:type="dxa" w:w="80"/>
            </w:tcMar>
          </w:tcPr>
          <w:p>
            <w:pPr>
              <w:spacing w:after="0"/>
            </w:pPr>
            <w:r>
              <w:rPr>
                <w:b w:val="false"/>
                <w:bCs w:val="false"/>
                <w:sz w:val="18"/>
                <w:szCs w:val="18"/>
              </w:rPr>
              <w:t xml:space="preserve">MLZ core</w:t>
            </w:r>
          </w:p>
        </w:tc>
        <w:tc>
          <w:tcPr>
            <w:tcW w:type="dxa" w:w="0"/>
            <w:tcMar>
              <w:top w:type="dxa" w:w="60"/>
              <w:left w:type="dxa" w:w="80"/>
              <w:bottom w:type="dxa" w:w="60"/>
              <w:right w:type="dxa" w:w="80"/>
            </w:tcMar>
          </w:tcPr>
          <w:p>
            <w:pPr>
              <w:spacing w:after="0"/>
            </w:pPr>
            <w:r>
              <w:rPr>
                <w:b w:val="false"/>
                <w:bCs w:val="false"/>
                <w:i/>
                <w:iCs/>
                <w:sz w:val="18"/>
                <w:szCs w:val="18"/>
              </w:rPr>
              <w:t xml:space="preserve">Subscription … is not registered for feature Microsoft.Network/AllowBringYourOwnPublicIpAddress required to carry out the requested operation</w:t>
            </w:r>
            <w:r>
              <w:rPr>
                <w:b w:val="false"/>
                <w:bCs w:val="false"/>
                <w:sz w:val="18"/>
                <w:szCs w:val="18"/>
              </w:rPr>
              <w:t xml:space="preserve"> on a firewall or Bastion public IP</w:t>
            </w:r>
          </w:p>
        </w:tc>
        <w:tc>
          <w:tcPr>
            <w:tcW w:type="dxa" w:w="0"/>
            <w:tcMar>
              <w:top w:type="dxa" w:w="60"/>
              <w:left w:type="dxa" w:w="80"/>
              <w:bottom w:type="dxa" w:w="60"/>
              <w:right w:type="dxa" w:w="80"/>
            </w:tcMar>
          </w:tcPr>
          <w:p>
            <w:pPr>
              <w:spacing w:after="0"/>
            </w:pPr>
            <w:r>
              <w:rPr>
                <w:b w:val="false"/>
                <w:bCs w:val="false"/>
                <w:sz w:val="18"/>
                <w:szCs w:val="18"/>
              </w:rPr>
              <w:t xml:space="preserve">The MLZ public IPs are plain Standard IPs; the requirement comes from the subscription (Microsoft-internal subscriptions, or a policy that adds IP tags to public IPs)</w:t>
            </w:r>
          </w:p>
        </w:tc>
        <w:tc>
          <w:tcPr>
            <w:tcW w:type="dxa" w:w="0"/>
            <w:tcMar>
              <w:top w:type="dxa" w:w="60"/>
              <w:left w:type="dxa" w:w="80"/>
              <w:bottom w:type="dxa" w:w="60"/>
              <w:right w:type="dxa" w:w="80"/>
            </w:tcMar>
          </w:tcPr>
          <w:p>
            <w:pPr>
              <w:spacing w:after="0"/>
            </w:pPr>
            <w:r>
              <w:rPr>
                <w:b w:val="false"/>
                <w:bCs w:val="false"/>
                <w:sz w:val="18"/>
                <w:szCs w:val="18"/>
              </w:rPr>
              <w:t xml:space="preserve">Register the feature (section 2.3), wait for </w:t>
            </w:r>
            <w:r>
              <w:rPr>
                <w:rFonts w:ascii="Consolas" w:cs="Consolas" w:eastAsia="Consolas" w:hAnsi="Consolas"/>
                <w:b w:val="false"/>
                <w:bCs w:val="false"/>
                <w:sz w:val="18"/>
                <w:szCs w:val="18"/>
              </w:rPr>
              <w:t xml:space="preserve">Registered</w:t>
            </w:r>
            <w:r>
              <w:rPr>
                <w:b w:val="false"/>
                <w:bCs w:val="false"/>
                <w:sz w:val="18"/>
                <w:szCs w:val="18"/>
              </w:rPr>
              <w:t xml:space="preserve">, </w:t>
            </w:r>
            <w:r>
              <w:rPr>
                <w:rFonts w:ascii="Consolas" w:cs="Consolas" w:eastAsia="Consolas" w:hAnsi="Consolas"/>
                <w:b w:val="false"/>
                <w:bCs w:val="false"/>
                <w:sz w:val="18"/>
                <w:szCs w:val="18"/>
              </w:rPr>
              <w:t xml:space="preserve">az provider register -n Microsoft.Network --wait</w:t>
            </w:r>
            <w:r>
              <w:rPr>
                <w:b w:val="false"/>
                <w:bCs w:val="false"/>
                <w:sz w:val="18"/>
                <w:szCs w:val="18"/>
              </w:rPr>
              <w:t xml:space="preserve">, then tear down and redeploy. If it stays </w:t>
            </w:r>
            <w:r>
              <w:rPr>
                <w:rFonts w:ascii="Consolas" w:cs="Consolas" w:eastAsia="Consolas" w:hAnsi="Consolas"/>
                <w:b w:val="false"/>
                <w:bCs w:val="false"/>
                <w:sz w:val="18"/>
                <w:szCs w:val="18"/>
              </w:rPr>
              <w:t xml:space="preserve">Pending</w:t>
            </w:r>
            <w:r>
              <w:rPr>
                <w:b w:val="false"/>
                <w:bCs w:val="false"/>
                <w:sz w:val="18"/>
                <w:szCs w:val="18"/>
              </w:rPr>
              <w:t xml:space="preserve">, the subscription needs approval through a support request (days) — use another subscription meanwhile</w:t>
            </w:r>
          </w:p>
        </w:tc>
      </w:tr>
      <w:tr>
        <w:tc>
          <w:tcPr>
            <w:tcW w:type="dxa" w:w="0"/>
            <w:tcMar>
              <w:top w:type="dxa" w:w="60"/>
              <w:left w:type="dxa" w:w="80"/>
              <w:bottom w:type="dxa" w:w="60"/>
              <w:right w:type="dxa" w:w="80"/>
            </w:tcMar>
          </w:tcPr>
          <w:p>
            <w:pPr>
              <w:spacing w:after="0"/>
            </w:pPr>
            <w:r>
              <w:rPr>
                <w:b w:val="false"/>
                <w:bCs w:val="false"/>
                <w:sz w:val="18"/>
                <w:szCs w:val="18"/>
              </w:rPr>
              <w:t xml:space="preserve">49</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c>
          <w:tcPr>
            <w:tcW w:type="dxa" w:w="0"/>
            <w:tcMar>
              <w:top w:type="dxa" w:w="60"/>
              <w:left w:type="dxa" w:w="80"/>
              <w:bottom w:type="dxa" w:w="60"/>
              <w:right w:type="dxa" w:w="80"/>
            </w:tcMar>
          </w:tcPr>
          <w:p>
            <w:pPr>
              <w:spacing w:after="0"/>
            </w:pPr>
            <w:r>
              <w:rPr>
                <w:b w:val="false"/>
                <w:bCs w:val="false"/>
                <w:sz w:val="18"/>
                <w:szCs w:val="18"/>
              </w:rPr>
              <w:t xml:space="preserve">Four of the eleven </w:t>
            </w:r>
            <w:r>
              <w:rPr>
                <w:rFonts w:ascii="Consolas" w:cs="Consolas" w:eastAsia="Consolas" w:hAnsi="Consolas"/>
                <w:b w:val="false"/>
                <w:bCs w:val="false"/>
                <w:sz w:val="18"/>
                <w:szCs w:val="18"/>
              </w:rPr>
              <w:t xml:space="preserve">Microsoft.Security/pricings</w:t>
            </w:r>
            <w:r>
              <w:rPr>
                <w:b w:val="false"/>
                <w:bCs w:val="false"/>
                <w:sz w:val="18"/>
                <w:szCs w:val="18"/>
              </w:rPr>
              <w:t xml:space="preserve"> resources end in </w:t>
            </w:r>
            <w:r>
              <w:rPr>
                <w:rFonts w:ascii="Consolas" w:cs="Consolas" w:eastAsia="Consolas" w:hAnsi="Consolas"/>
                <w:b w:val="false"/>
                <w:bCs w:val="false"/>
                <w:sz w:val="18"/>
                <w:szCs w:val="18"/>
              </w:rPr>
              <w:t xml:space="preserve">Conflict</w:t>
            </w:r>
            <w:r>
              <w:rPr>
                <w:b w:val="false"/>
                <w:bCs w:val="false"/>
                <w:sz w:val="18"/>
                <w:szCs w:val="18"/>
              </w:rPr>
              <w:t xml:space="preserve"> — </w:t>
            </w:r>
            <w:r>
              <w:rPr>
                <w:b w:val="false"/>
                <w:bCs w:val="false"/>
                <w:i/>
                <w:iCs/>
                <w:sz w:val="18"/>
                <w:szCs w:val="18"/>
              </w:rPr>
              <w:t xml:space="preserve">Another update operation is in progress. Please retry in a few minutes</w:t>
            </w:r>
          </w:p>
        </w:tc>
        <w:tc>
          <w:tcPr>
            <w:tcW w:type="dxa" w:w="0"/>
            <w:tcMar>
              <w:top w:type="dxa" w:w="60"/>
              <w:left w:type="dxa" w:w="80"/>
              <w:bottom w:type="dxa" w:w="60"/>
              <w:right w:type="dxa" w:w="80"/>
            </w:tcMar>
          </w:tcPr>
          <w:p>
            <w:pPr>
              <w:spacing w:after="0"/>
            </w:pPr>
            <w:r>
              <w:rPr>
                <w:b w:val="false"/>
                <w:bCs w:val="false"/>
                <w:sz w:val="18"/>
                <w:szCs w:val="18"/>
              </w:rPr>
              <w:t xml:space="preserve">Commercial's Defender pricing API serialises plan changes per subscription; the template created all plans in parallel (Government tolerated it)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build/gen_solution.py</w:t>
            </w:r>
            <w:r>
              <w:rPr>
                <w:b w:val="false"/>
                <w:bCs w:val="false"/>
                <w:sz w:val="18"/>
                <w:szCs w:val="18"/>
              </w:rPr>
              <w:t xml:space="preserve"> chains the plans with </w:t>
            </w:r>
            <w:r>
              <w:rPr>
                <w:rFonts w:ascii="Consolas" w:cs="Consolas" w:eastAsia="Consolas" w:hAnsi="Consolas"/>
                <w:b w:val="false"/>
                <w:bCs w:val="false"/>
                <w:sz w:val="18"/>
                <w:szCs w:val="18"/>
              </w:rPr>
              <w:t xml:space="preserve">dependsOn</w:t>
            </w:r>
            <w:r>
              <w:rPr>
                <w:b w:val="false"/>
                <w:bCs w:val="false"/>
                <w:sz w:val="18"/>
                <w:szCs w:val="18"/>
              </w:rPr>
              <w:t xml:space="preserve"> so ARM creates them one at a time (a dependency on a toggled-off plan is still satisfied)</w:t>
            </w:r>
          </w:p>
        </w:tc>
      </w:tr>
      <w:tr>
        <w:tc>
          <w:tcPr>
            <w:tcW w:type="dxa" w:w="0"/>
            <w:tcMar>
              <w:top w:type="dxa" w:w="60"/>
              <w:left w:type="dxa" w:w="80"/>
              <w:bottom w:type="dxa" w:w="60"/>
              <w:right w:type="dxa" w:w="80"/>
            </w:tcMar>
          </w:tcPr>
          <w:p>
            <w:pPr>
              <w:spacing w:after="0"/>
            </w:pPr>
            <w:r>
              <w:rPr>
                <w:b w:val="false"/>
                <w:bCs w:val="false"/>
                <w:sz w:val="18"/>
                <w:szCs w:val="18"/>
              </w:rPr>
              <w:t xml:space="preserve">50</w:t>
            </w:r>
          </w:p>
        </w:tc>
        <w:tc>
          <w:tcPr>
            <w:tcW w:type="dxa" w:w="0"/>
            <w:tcMar>
              <w:top w:type="dxa" w:w="60"/>
              <w:left w:type="dxa" w:w="80"/>
              <w:bottom w:type="dxa" w:w="60"/>
              <w:right w:type="dxa" w:w="80"/>
            </w:tcMar>
          </w:tcPr>
          <w:p>
            <w:pPr>
              <w:spacing w:after="0"/>
            </w:pPr>
            <w:r>
              <w:rPr>
                <w:b w:val="false"/>
                <w:bCs w:val="false"/>
                <w:sz w:val="18"/>
                <w:szCs w:val="18"/>
              </w:rPr>
              <w:t xml:space="preserve">MLZ core</w:t>
            </w:r>
          </w:p>
        </w:tc>
        <w:tc>
          <w:tcPr>
            <w:tcW w:type="dxa" w:w="0"/>
            <w:tcMar>
              <w:top w:type="dxa" w:w="60"/>
              <w:left w:type="dxa" w:w="80"/>
              <w:bottom w:type="dxa" w:w="60"/>
              <w:right w:type="dxa" w:w="80"/>
            </w:tcMar>
          </w:tcPr>
          <w:p>
            <w:pPr>
              <w:spacing w:after="0"/>
            </w:pPr>
            <w:r>
              <w:rPr>
                <w:b w:val="false"/>
                <w:bCs w:val="false"/>
                <w:sz w:val="18"/>
                <w:szCs w:val="18"/>
              </w:rPr>
              <w:t xml:space="preserve">Azure Firewall Premium ends in provisioning state </w:t>
            </w:r>
            <w:r>
              <w:rPr>
                <w:b w:val="false"/>
                <w:bCs w:val="false"/>
                <w:sz w:val="18"/>
                <w:szCs w:val="18"/>
              </w:rPr>
              <w:t xml:space="preserve">Failed</w:t>
            </w:r>
            <w:r>
              <w:rPr>
                <w:b w:val="false"/>
                <w:bCs w:val="false"/>
                <w:sz w:val="18"/>
                <w:szCs w:val="18"/>
              </w:rPr>
              <w:t xml:space="preserve"> with </w:t>
            </w:r>
            <w:r>
              <w:rPr>
                <w:rFonts w:ascii="Consolas" w:cs="Consolas" w:eastAsia="Consolas" w:hAnsi="Consolas"/>
                <w:b w:val="false"/>
                <w:bCs w:val="false"/>
                <w:sz w:val="18"/>
                <w:szCs w:val="18"/>
              </w:rPr>
              <w:t xml:space="preserve">InternalServerError: An error occurred.</w:t>
            </w:r>
            <w:r>
              <w:rPr>
                <w:b w:val="false"/>
                <w:bCs w:val="false"/>
                <w:sz w:val="18"/>
                <w:szCs w:val="18"/>
              </w:rPr>
              <w:t xml:space="preserve">; the rule collection group then fails with </w:t>
            </w:r>
            <w:r>
              <w:rPr>
                <w:b w:val="false"/>
                <w:bCs w:val="false"/>
                <w:i/>
                <w:iCs/>
                <w:sz w:val="18"/>
                <w:szCs w:val="18"/>
              </w:rPr>
              <w:t xml:space="preserve">Put on Firewall Policy … Failed with 1 faulted referenced firewalls</w:t>
            </w:r>
            <w:r>
              <w:rPr>
                <w:b w:val="false"/>
                <w:bCs w:val="false"/>
                <w:sz w:val="18"/>
                <w:szCs w:val="18"/>
              </w:rPr>
              <w:t xml:space="preserve"> and the whole core deployment fails</w:t>
            </w:r>
          </w:p>
        </w:tc>
        <w:tc>
          <w:tcPr>
            <w:tcW w:type="dxa" w:w="0"/>
            <w:tcMar>
              <w:top w:type="dxa" w:w="60"/>
              <w:left w:type="dxa" w:w="80"/>
              <w:bottom w:type="dxa" w:w="60"/>
              <w:right w:type="dxa" w:w="80"/>
            </w:tcMar>
          </w:tcPr>
          <w:p>
            <w:pPr>
              <w:spacing w:after="0"/>
            </w:pPr>
            <w:r>
              <w:rPr>
                <w:b w:val="false"/>
                <w:bCs w:val="false"/>
                <w:sz w:val="18"/>
                <w:szCs w:val="18"/>
              </w:rPr>
              <w:t xml:space="preserve">Platform-side fault while the firewall was being built (nothing in the template; East US, Premium tier); the next run built the same firewall in 12 minutes</w:t>
            </w:r>
          </w:p>
        </w:tc>
        <w:tc>
          <w:tcPr>
            <w:tcW w:type="dxa" w:w="0"/>
            <w:tcMar>
              <w:top w:type="dxa" w:w="60"/>
              <w:left w:type="dxa" w:w="80"/>
              <w:bottom w:type="dxa" w:w="60"/>
              <w:right w:type="dxa" w:w="80"/>
            </w:tcMar>
          </w:tcPr>
          <w:p>
            <w:pPr>
              <w:spacing w:after="0"/>
            </w:pPr>
            <w:r>
              <w:rPr>
                <w:b w:val="false"/>
                <w:bCs w:val="false"/>
                <w:sz w:val="18"/>
                <w:szCs w:val="18"/>
              </w:rPr>
              <w:t xml:space="preserve">Tear down (</w:t>
            </w:r>
            <w:r>
              <w:rPr>
                <w:rFonts w:ascii="Consolas" w:cs="Consolas" w:eastAsia="Consolas" w:hAnsi="Consolas"/>
                <w:b w:val="false"/>
                <w:bCs w:val="false"/>
                <w:sz w:val="18"/>
                <w:szCs w:val="18"/>
              </w:rPr>
              <w:t xml:space="preserve">destroy.ps1</w:t>
            </w:r>
            <w:r>
              <w:rPr>
                <w:b w:val="false"/>
                <w:bCs w:val="false"/>
                <w:sz w:val="18"/>
                <w:szCs w:val="18"/>
              </w:rPr>
              <w:t xml:space="preserve">) and redeploy. Do not try to repair a firewall in </w:t>
            </w:r>
            <w:r>
              <w:rPr>
                <w:rFonts w:ascii="Consolas" w:cs="Consolas" w:eastAsia="Consolas" w:hAnsi="Consolas"/>
                <w:b w:val="false"/>
                <w:bCs w:val="false"/>
                <w:sz w:val="18"/>
                <w:szCs w:val="18"/>
              </w:rPr>
              <w:t xml:space="preserve">Failed</w:t>
            </w:r>
            <w:r>
              <w:rPr>
                <w:b w:val="false"/>
                <w:bCs w:val="false"/>
                <w:sz w:val="18"/>
                <w:szCs w:val="18"/>
              </w:rPr>
              <w:t xml:space="preserve"> state in place — </w:t>
            </w:r>
            <w:r>
              <w:rPr>
                <w:b w:val="false"/>
                <w:bCs w:val="false"/>
                <w:sz w:val="18"/>
                <w:szCs w:val="18"/>
              </w:rPr>
              <w:t xml:space="preserve">Redeploy</w:t>
            </w:r>
            <w:r>
              <w:rPr>
                <w:b w:val="false"/>
                <w:bCs w:val="false"/>
                <w:sz w:val="18"/>
                <w:szCs w:val="18"/>
              </w:rPr>
              <w:t xml:space="preserve"> on the failed deployment reuses the faulted instance</w:t>
            </w:r>
          </w:p>
        </w:tc>
      </w:tr>
      <w:tr>
        <w:tc>
          <w:tcPr>
            <w:tcW w:type="dxa" w:w="0"/>
            <w:tcMar>
              <w:top w:type="dxa" w:w="60"/>
              <w:left w:type="dxa" w:w="80"/>
              <w:bottom w:type="dxa" w:w="60"/>
              <w:right w:type="dxa" w:w="80"/>
            </w:tcMar>
          </w:tcPr>
          <w:p>
            <w:pPr>
              <w:spacing w:after="0"/>
            </w:pPr>
            <w:r>
              <w:rPr>
                <w:b w:val="false"/>
                <w:bCs w:val="false"/>
                <w:sz w:val="18"/>
                <w:szCs w:val="18"/>
              </w:rPr>
              <w:t xml:space="preserve">51</w:t>
            </w:r>
          </w:p>
        </w:tc>
        <w:tc>
          <w:tcPr>
            <w:tcW w:type="dxa" w:w="0"/>
            <w:tcMar>
              <w:top w:type="dxa" w:w="60"/>
              <w:left w:type="dxa" w:w="80"/>
              <w:bottom w:type="dxa" w:w="60"/>
              <w:right w:type="dxa" w:w="80"/>
            </w:tcMar>
          </w:tcPr>
          <w:p>
            <w:pPr>
              <w:spacing w:after="0"/>
            </w:pPr>
            <w:r>
              <w:rPr>
                <w:b w:val="false"/>
                <w:bCs w:val="false"/>
                <w:sz w:val="18"/>
                <w:szCs w:val="18"/>
              </w:rPr>
              <w:t xml:space="preserve">Compute tab / VM module</w:t>
            </w:r>
          </w:p>
        </w:tc>
        <w:tc>
          <w:tcPr>
            <w:tcW w:type="dxa" w:w="0"/>
            <w:tcMar>
              <w:top w:type="dxa" w:w="60"/>
              <w:left w:type="dxa" w:w="80"/>
              <w:bottom w:type="dxa" w:w="60"/>
              <w:right w:type="dxa" w:w="80"/>
            </w:tcMar>
          </w:tcPr>
          <w:p>
            <w:pPr>
              <w:spacing w:after="0"/>
            </w:pPr>
            <w:r>
              <w:rPr>
                <w:b w:val="false"/>
                <w:bCs w:val="false"/>
                <w:sz w:val="18"/>
                <w:szCs w:val="18"/>
              </w:rPr>
              <w:t xml:space="preserve">Every D-series size shows </w:t>
            </w:r>
            <w:r>
              <w:rPr>
                <w:rFonts w:ascii="Consolas" w:cs="Consolas" w:eastAsia="Consolas" w:hAnsi="Consolas"/>
                <w:b w:val="false"/>
                <w:bCs w:val="false"/>
                <w:sz w:val="18"/>
                <w:szCs w:val="18"/>
              </w:rPr>
              <w:t xml:space="preserve">NotAvailableForSubscription</w:t>
            </w:r>
            <w:r>
              <w:rPr>
                <w:b w:val="false"/>
                <w:bCs w:val="false"/>
                <w:sz w:val="18"/>
                <w:szCs w:val="18"/>
              </w:rPr>
              <w:t xml:space="preserve"> in East US (or the deployment fails with </w:t>
            </w:r>
            <w:r>
              <w:rPr>
                <w:rFonts w:ascii="Consolas" w:cs="Consolas" w:eastAsia="Consolas" w:hAnsi="Consolas"/>
                <w:b w:val="false"/>
                <w:bCs w:val="false"/>
                <w:sz w:val="18"/>
                <w:szCs w:val="18"/>
              </w:rPr>
              <w:t xml:space="preserve">SkuNotAvailable</w:t>
            </w:r>
            <w:r>
              <w:rPr>
                <w:b w:val="false"/>
                <w:bCs w:val="false"/>
                <w:sz w:val="18"/>
                <w:szCs w:val="18"/>
              </w:rPr>
              <w:t xml:space="preserve">) although the quota is 100 vCPU per family</w:t>
            </w:r>
          </w:p>
        </w:tc>
        <w:tc>
          <w:tcPr>
            <w:tcW w:type="dxa" w:w="0"/>
            <w:tcMar>
              <w:top w:type="dxa" w:w="60"/>
              <w:left w:type="dxa" w:w="80"/>
              <w:bottom w:type="dxa" w:w="60"/>
              <w:right w:type="dxa" w:w="80"/>
            </w:tcMar>
          </w:tcPr>
          <w:p>
            <w:pPr>
              <w:spacing w:after="0"/>
            </w:pPr>
            <w:r>
              <w:rPr>
                <w:b w:val="false"/>
                <w:bCs w:val="false"/>
                <w:sz w:val="18"/>
                <w:szCs w:val="18"/>
              </w:rPr>
              <w:t xml:space="preserve">Region-level VM restrictions on the subscription (common on internal, trial and new subscriptions); the earlier hard-coded Commercial size list offered sizes regardless</w:t>
            </w:r>
          </w:p>
        </w:tc>
        <w:tc>
          <w:tcPr>
            <w:tcW w:type="dxa" w:w="0"/>
            <w:tcMar>
              <w:top w:type="dxa" w:w="60"/>
              <w:left w:type="dxa" w:w="80"/>
              <w:bottom w:type="dxa" w:w="60"/>
              <w:right w:type="dxa" w:w="80"/>
            </w:tcMar>
          </w:tcPr>
          <w:p>
            <w:pPr>
              <w:spacing w:after="0"/>
            </w:pPr>
            <w:r>
              <w:rPr>
                <w:b w:val="false"/>
                <w:bCs w:val="false"/>
                <w:sz w:val="18"/>
                <w:szCs w:val="18"/>
              </w:rPr>
              <w:t xml:space="preserve">Commercial size pickers replaced with the portal's size selector limited to six lab-tested sizes (D2as_v7 / D4as_v7 / D2s_v5 / D4s_v5 / D2ads_v6 / D4ads_v6); it lists only what the subscription can deploy in the region and pre-selects the first one. Check regions with the SKU API (section 2.4) and deploy where the list is not empty — West US 2 on the test subscription</w:t>
            </w:r>
          </w:p>
        </w:tc>
      </w:tr>
      <w:tr>
        <w:tc>
          <w:tcPr>
            <w:tcW w:type="dxa" w:w="0"/>
            <w:tcMar>
              <w:top w:type="dxa" w:w="60"/>
              <w:left w:type="dxa" w:w="80"/>
              <w:bottom w:type="dxa" w:w="60"/>
              <w:right w:type="dxa" w:w="80"/>
            </w:tcMar>
          </w:tcPr>
          <w:p>
            <w:pPr>
              <w:spacing w:after="0"/>
            </w:pPr>
            <w:r>
              <w:rPr>
                <w:b w:val="false"/>
                <w:bCs w:val="false"/>
                <w:sz w:val="18"/>
                <w:szCs w:val="18"/>
              </w:rPr>
              <w:t xml:space="preserve">52</w:t>
            </w:r>
          </w:p>
        </w:tc>
        <w:tc>
          <w:tcPr>
            <w:tcW w:type="dxa" w:w="0"/>
            <w:tcMar>
              <w:top w:type="dxa" w:w="60"/>
              <w:left w:type="dxa" w:w="80"/>
              <w:bottom w:type="dxa" w:w="60"/>
              <w:right w:type="dxa" w:w="80"/>
            </w:tcMar>
          </w:tcPr>
          <w:p>
            <w:pPr>
              <w:spacing w:after="0"/>
            </w:pPr>
            <w:r>
              <w:rPr>
                <w:b w:val="false"/>
                <w:bCs w:val="false"/>
                <w:sz w:val="18"/>
                <w:szCs w:val="18"/>
              </w:rPr>
              <w:t xml:space="preserve">VM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lab-sles01</w:t>
            </w:r>
            <w:r>
              <w:rPr>
                <w:b w:val="false"/>
                <w:bCs w:val="false"/>
                <w:sz w:val="18"/>
                <w:szCs w:val="18"/>
              </w:rPr>
              <w:t xml:space="preserve"> ends in </w:t>
            </w:r>
            <w:r>
              <w:rPr>
                <w:rFonts w:ascii="Consolas" w:cs="Consolas" w:eastAsia="Consolas" w:hAnsi="Consolas"/>
                <w:b w:val="false"/>
                <w:bCs w:val="false"/>
                <w:sz w:val="18"/>
                <w:szCs w:val="18"/>
              </w:rPr>
              <w:t xml:space="preserve">OSProvisioningTimedOut</w:t>
            </w:r>
            <w:r>
              <w:rPr>
                <w:b w:val="false"/>
                <w:bCs w:val="false"/>
                <w:sz w:val="18"/>
                <w:szCs w:val="18"/>
              </w:rPr>
              <w:t xml:space="preserve"> (</w:t>
            </w:r>
            <w:r>
              <w:rPr>
                <w:b w:val="false"/>
                <w:bCs w:val="false"/>
                <w:i/>
                <w:iCs/>
                <w:sz w:val="18"/>
                <w:szCs w:val="18"/>
              </w:rPr>
              <w:t xml:space="preserve">OS provisioning … did not finish in the allotted time</w:t>
            </w:r>
            <w:r>
              <w:rPr>
                <w:b w:val="false"/>
                <w:bCs w:val="false"/>
                <w:sz w:val="18"/>
                <w:szCs w:val="18"/>
              </w:rPr>
              <w:t xml:space="preserve">), VM running, agent </w:t>
            </w:r>
            <w:r>
              <w:rPr>
                <w:b w:val="false"/>
                <w:bCs w:val="false"/>
                <w:i/>
                <w:iCs/>
                <w:sz w:val="18"/>
                <w:szCs w:val="18"/>
              </w:rPr>
              <w:t xml:space="preserve">Not Ready</w:t>
            </w:r>
            <w:r>
              <w:rPr>
                <w:b w:val="false"/>
                <w:bCs w:val="false"/>
                <w:sz w:val="18"/>
                <w:szCs w:val="18"/>
              </w:rPr>
              <w:t xml:space="preserve">, every other VM fine</w:t>
            </w:r>
          </w:p>
        </w:tc>
        <w:tc>
          <w:tcPr>
            <w:tcW w:type="dxa" w:w="0"/>
            <w:tcMar>
              <w:top w:type="dxa" w:w="60"/>
              <w:left w:type="dxa" w:w="80"/>
              <w:bottom w:type="dxa" w:w="60"/>
              <w:right w:type="dxa" w:w="80"/>
            </w:tcMar>
          </w:tcPr>
          <w:p>
            <w:pPr>
              <w:spacing w:after="0"/>
            </w:pPr>
            <w:r>
              <w:rPr>
                <w:b w:val="false"/>
                <w:bCs w:val="false"/>
                <w:sz w:val="18"/>
                <w:szCs w:val="18"/>
              </w:rPr>
              <w:t xml:space="preserve">The </w:t>
            </w:r>
            <w:r>
              <w:rPr>
                <w:rFonts w:ascii="Consolas" w:cs="Consolas" w:eastAsia="Consolas" w:hAnsi="Consolas"/>
                <w:b w:val="false"/>
                <w:bCs w:val="false"/>
                <w:sz w:val="18"/>
                <w:szCs w:val="18"/>
              </w:rPr>
              <w:t xml:space="preserve">SUSE:sles-15-sp5:gen2</w:t>
            </w:r>
            <w:r>
              <w:rPr>
                <w:b w:val="false"/>
                <w:bCs w:val="false"/>
                <w:sz w:val="18"/>
                <w:szCs w:val="18"/>
              </w:rPr>
              <w:t xml:space="preserve"> </w:t>
            </w:r>
            <w:r>
              <w:rPr>
                <w:b w:val="false"/>
                <w:bCs w:val="false"/>
                <w:sz w:val="18"/>
                <w:szCs w:val="18"/>
              </w:rPr>
              <w:t xml:space="preserve">latest</w:t>
            </w:r>
            <w:r>
              <w:rPr>
                <w:b w:val="false"/>
                <w:bCs w:val="false"/>
                <w:sz w:val="18"/>
                <w:szCs w:val="18"/>
              </w:rPr>
              <w:t xml:space="preserve"> image (version 2026.10.19, published after SLES 15 SP5 left general support) never completes provisioning — reproduced on D2as_v7, D2s_v5, with and without Trusted Launch; </w:t>
            </w:r>
            <w:r>
              <w:rPr>
                <w:rFonts w:ascii="Consolas" w:cs="Consolas" w:eastAsia="Consolas" w:hAnsi="Consolas"/>
                <w:b w:val="false"/>
                <w:bCs w:val="false"/>
                <w:sz w:val="18"/>
                <w:szCs w:val="18"/>
              </w:rPr>
              <w:t xml:space="preserve">sles-15-sp6</w:t>
            </w:r>
            <w:r>
              <w:rPr>
                <w:b w:val="false"/>
                <w:bCs w:val="false"/>
                <w:sz w:val="18"/>
                <w:szCs w:val="18"/>
              </w:rPr>
              <w:t xml:space="preserve"> provisions in 2 min on the same size</w:t>
            </w:r>
          </w:p>
        </w:tc>
        <w:tc>
          <w:tcPr>
            <w:tcW w:type="dxa" w:w="0"/>
            <w:tcMar>
              <w:top w:type="dxa" w:w="60"/>
              <w:left w:type="dxa" w:w="80"/>
              <w:bottom w:type="dxa" w:w="60"/>
              <w:right w:type="dxa" w:w="80"/>
            </w:tcMar>
          </w:tcPr>
          <w:p>
            <w:pPr>
              <w:spacing w:after="0"/>
            </w:pPr>
            <w:r>
              <w:rPr>
                <w:b w:val="false"/>
                <w:bCs w:val="false"/>
                <w:sz w:val="18"/>
                <w:szCs w:val="18"/>
              </w:rPr>
              <w:t xml:space="preserve">Kit moved to </w:t>
            </w:r>
            <w:r>
              <w:rPr>
                <w:rFonts w:ascii="Consolas" w:cs="Consolas" w:eastAsia="Consolas" w:hAnsi="Consolas"/>
                <w:b w:val="false"/>
                <w:bCs w:val="false"/>
                <w:sz w:val="18"/>
                <w:szCs w:val="18"/>
              </w:rPr>
              <w:t xml:space="preserve">SUSE:sles-15-sp6:gen2</w:t>
            </w:r>
            <w:r>
              <w:rPr>
                <w:b w:val="false"/>
                <w:bCs w:val="false"/>
                <w:sz w:val="18"/>
                <w:szCs w:val="18"/>
              </w:rPr>
              <w:t xml:space="preserve">; all lab VMs now have managed boot diagnostics so the serial log is readable next time (a VM in a failed provisioning state cannot have diagnostics enabled afterwards)</w:t>
            </w:r>
          </w:p>
        </w:tc>
      </w:tr>
      <w:tr>
        <w:tc>
          <w:tcPr>
            <w:tcW w:type="dxa" w:w="0"/>
            <w:tcMar>
              <w:top w:type="dxa" w:w="60"/>
              <w:left w:type="dxa" w:w="80"/>
              <w:bottom w:type="dxa" w:w="60"/>
              <w:right w:type="dxa" w:w="80"/>
            </w:tcMar>
          </w:tcPr>
          <w:p>
            <w:pPr>
              <w:spacing w:after="0"/>
            </w:pPr>
            <w:r>
              <w:rPr>
                <w:b w:val="false"/>
                <w:bCs w:val="false"/>
                <w:sz w:val="18"/>
                <w:szCs w:val="18"/>
              </w:rPr>
              <w:t xml:space="preserve">53</w:t>
            </w:r>
          </w:p>
        </w:tc>
        <w:tc>
          <w:tcPr>
            <w:tcW w:type="dxa" w:w="0"/>
            <w:tcMar>
              <w:top w:type="dxa" w:w="60"/>
              <w:left w:type="dxa" w:w="80"/>
              <w:bottom w:type="dxa" w:w="60"/>
              <w:right w:type="dxa" w:w="80"/>
            </w:tcMar>
          </w:tcPr>
          <w:p>
            <w:pPr>
              <w:spacing w:after="0"/>
            </w:pPr>
            <w:r>
              <w:rPr>
                <w:b w:val="false"/>
                <w:bCs w:val="false"/>
                <w:sz w:val="18"/>
                <w:szCs w:val="18"/>
              </w:rPr>
              <w:t xml:space="preserve">Post-Deploy (Cloud Shell)</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Post-Deploy.ps1</w:t>
            </w:r>
            <w:r>
              <w:rPr>
                <w:b w:val="false"/>
                <w:bCs w:val="false"/>
                <w:sz w:val="18"/>
                <w:szCs w:val="18"/>
              </w:rPr>
              <w:t xml:space="preserve"> run as </w:t>
            </w:r>
            <w:r>
              <w:rPr>
                <w:rFonts w:ascii="Consolas" w:cs="Consolas" w:eastAsia="Consolas" w:hAnsi="Consolas"/>
                <w:b w:val="false"/>
                <w:bCs w:val="false"/>
                <w:sz w:val="18"/>
                <w:szCs w:val="18"/>
              </w:rPr>
              <w:t xml:space="preserve">pwsh -File …</w:t>
            </w:r>
            <w:r>
              <w:rPr>
                <w:b w:val="false"/>
                <w:bCs w:val="false"/>
                <w:sz w:val="18"/>
                <w:szCs w:val="18"/>
              </w:rPr>
              <w:t xml:space="preserve"> from a </w:t>
            </w:r>
            <w:r>
              <w:rPr>
                <w:b w:val="false"/>
                <w:bCs w:val="false"/>
                <w:sz w:val="18"/>
                <w:szCs w:val="18"/>
              </w:rPr>
              <w:t xml:space="preserve">Bash</w:t>
            </w:r>
            <w:r>
              <w:rPr>
                <w:b w:val="false"/>
                <w:bCs w:val="false"/>
                <w:sz w:val="18"/>
                <w:szCs w:val="18"/>
              </w:rPr>
              <w:t xml:space="preserve"> Cloud Shell stops at </w:t>
            </w:r>
            <w:r>
              <w:rPr>
                <w:b w:val="false"/>
                <w:bCs w:val="false"/>
                <w:i/>
                <w:iCs/>
                <w:sz w:val="18"/>
                <w:szCs w:val="18"/>
              </w:rPr>
              <w:t xml:space="preserve">Run Connect-AzAccount to login</w:t>
            </w:r>
          </w:p>
        </w:tc>
        <w:tc>
          <w:tcPr>
            <w:tcW w:type="dxa" w:w="0"/>
            <w:tcMar>
              <w:top w:type="dxa" w:w="60"/>
              <w:left w:type="dxa" w:w="80"/>
              <w:bottom w:type="dxa" w:w="60"/>
              <w:right w:type="dxa" w:w="80"/>
            </w:tcMar>
          </w:tcPr>
          <w:p>
            <w:pPr>
              <w:spacing w:after="0"/>
            </w:pPr>
            <w:r>
              <w:rPr>
                <w:b w:val="false"/>
                <w:bCs w:val="false"/>
                <w:sz w:val="18"/>
                <w:szCs w:val="18"/>
              </w:rPr>
              <w:t xml:space="preserve">A </w:t>
            </w:r>
            <w:r>
              <w:rPr>
                <w:rFonts w:ascii="Consolas" w:cs="Consolas" w:eastAsia="Consolas" w:hAnsi="Consolas"/>
                <w:b w:val="false"/>
                <w:bCs w:val="false"/>
                <w:sz w:val="18"/>
                <w:szCs w:val="18"/>
              </w:rPr>
              <w:t xml:space="preserve">pwsh</w:t>
            </w:r>
            <w:r>
              <w:rPr>
                <w:b w:val="false"/>
                <w:bCs w:val="false"/>
                <w:sz w:val="18"/>
                <w:szCs w:val="18"/>
              </w:rPr>
              <w:t xml:space="preserve"> child process started from Bash has no Az context; only the PowerShell-mode Cloud Shell signs </w:t>
            </w:r>
            <w:r>
              <w:rPr>
                <w:rFonts w:ascii="Consolas" w:cs="Consolas" w:eastAsia="Consolas" w:hAnsi="Consolas"/>
                <w:b w:val="false"/>
                <w:bCs w:val="false"/>
                <w:sz w:val="18"/>
                <w:szCs w:val="18"/>
              </w:rPr>
              <w:t xml:space="preserve">Az</w:t>
            </w:r>
            <w:r>
              <w:rPr>
                <w:b w:val="false"/>
                <w:bCs w:val="false"/>
                <w:sz w:val="18"/>
                <w:szCs w:val="18"/>
              </w:rPr>
              <w:t xml:space="preserve"> in automatically</w:t>
            </w:r>
          </w:p>
        </w:tc>
        <w:tc>
          <w:tcPr>
            <w:tcW w:type="dxa" w:w="0"/>
            <w:tcMar>
              <w:top w:type="dxa" w:w="60"/>
              <w:left w:type="dxa" w:w="80"/>
              <w:bottom w:type="dxa" w:w="60"/>
              <w:right w:type="dxa" w:w="80"/>
            </w:tcMar>
          </w:tcPr>
          <w:p>
            <w:pPr>
              <w:spacing w:after="0"/>
            </w:pPr>
            <w:r>
              <w:rPr>
                <w:b w:val="false"/>
                <w:bCs w:val="false"/>
                <w:sz w:val="18"/>
                <w:szCs w:val="18"/>
              </w:rPr>
              <w:t xml:space="preserve">Switch the shell to PowerShell (toolbar → </w:t>
            </w:r>
            <w:r>
              <w:rPr>
                <w:b w:val="false"/>
                <w:bCs w:val="false"/>
                <w:i/>
                <w:iCs/>
                <w:sz w:val="18"/>
                <w:szCs w:val="18"/>
              </w:rPr>
              <w:t xml:space="preserve">Switch to PowerShell</w:t>
            </w:r>
            <w:r>
              <w:rPr>
                <w:b w:val="false"/>
                <w:bCs w:val="false"/>
                <w:sz w:val="18"/>
                <w:szCs w:val="18"/>
              </w:rPr>
              <w:t xml:space="preserve">) and run </w:t>
            </w:r>
            <w:r>
              <w:rPr>
                <w:rFonts w:ascii="Consolas" w:cs="Consolas" w:eastAsia="Consolas" w:hAnsi="Consolas"/>
                <w:b w:val="false"/>
                <w:bCs w:val="false"/>
                <w:sz w:val="18"/>
                <w:szCs w:val="18"/>
              </w:rPr>
              <w:t xml:space="preserve">./Post-Deploy.ps1 …</w:t>
            </w:r>
            <w:r>
              <w:rPr>
                <w:b w:val="false"/>
                <w:bCs w:val="false"/>
                <w:sz w:val="18"/>
                <w:szCs w:val="18"/>
              </w:rPr>
              <w:t xml:space="preserve"> directly (section 5.1)</w:t>
            </w:r>
          </w:p>
        </w:tc>
      </w:tr>
      <w:tr>
        <w:tc>
          <w:tcPr>
            <w:tcW w:type="dxa" w:w="0"/>
            <w:tcMar>
              <w:top w:type="dxa" w:w="60"/>
              <w:left w:type="dxa" w:w="80"/>
              <w:bottom w:type="dxa" w:w="60"/>
              <w:right w:type="dxa" w:w="80"/>
            </w:tcMar>
          </w:tcPr>
          <w:p>
            <w:pPr>
              <w:spacing w:after="0"/>
            </w:pPr>
            <w:r>
              <w:rPr>
                <w:b w:val="false"/>
                <w:bCs w:val="false"/>
                <w:sz w:val="18"/>
                <w:szCs w:val="18"/>
              </w:rPr>
              <w:t xml:space="preserve">54</w:t>
            </w:r>
          </w:p>
        </w:tc>
        <w:tc>
          <w:tcPr>
            <w:tcW w:type="dxa" w:w="0"/>
            <w:tcMar>
              <w:top w:type="dxa" w:w="60"/>
              <w:left w:type="dxa" w:w="80"/>
              <w:bottom w:type="dxa" w:w="60"/>
              <w:right w:type="dxa" w:w="80"/>
            </w:tcMar>
          </w:tcPr>
          <w:p>
            <w:pPr>
              <w:spacing w:after="0"/>
            </w:pPr>
            <w:r>
              <w:rPr>
                <w:b w:val="false"/>
                <w:bCs w:val="false"/>
                <w:sz w:val="18"/>
                <w:szCs w:val="18"/>
              </w:rPr>
              <w:t xml:space="preserve">Prepare-Tenant</w:t>
            </w:r>
          </w:p>
        </w:tc>
        <w:tc>
          <w:tcPr>
            <w:tcW w:type="dxa" w:w="0"/>
            <w:tcMar>
              <w:top w:type="dxa" w:w="60"/>
              <w:left w:type="dxa" w:w="80"/>
              <w:bottom w:type="dxa" w:w="60"/>
              <w:right w:type="dxa" w:w="80"/>
            </w:tcMar>
          </w:tcPr>
          <w:p>
            <w:pPr>
              <w:spacing w:after="0"/>
            </w:pPr>
            <w:r>
              <w:rPr>
                <w:b w:val="false"/>
                <w:bCs w:val="false"/>
                <w:i/>
                <w:iCs/>
                <w:sz w:val="18"/>
                <w:szCs w:val="18"/>
              </w:rPr>
              <w:t xml:space="preserve">Authentication timed out after 120 seconds due to inactivity. Please try again.</w:t>
            </w:r>
            <w:r>
              <w:rPr>
                <w:b w:val="false"/>
                <w:bCs w:val="false"/>
                <w:sz w:val="18"/>
                <w:szCs w:val="18"/>
              </w:rPr>
              <w:t xml:space="preserve"> right after the device-code prompt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Connect-MgGraph -UseDeviceCode</w:t>
            </w:r>
            <w:r>
              <w:rPr>
                <w:b w:val="false"/>
                <w:bCs w:val="false"/>
                <w:sz w:val="18"/>
                <w:szCs w:val="18"/>
              </w:rPr>
              <w:t xml:space="preserve"> cancels after a hard-coded 120 s (</w:t>
            </w:r>
            <w:r>
              <w:rPr>
                <w:rFonts w:ascii="Consolas" w:cs="Consolas" w:eastAsia="Consolas" w:hAnsi="Consolas"/>
                <w:b w:val="false"/>
                <w:bCs w:val="false"/>
                <w:sz w:val="18"/>
                <w:szCs w:val="18"/>
              </w:rPr>
              <w:t xml:space="preserve">-ClientTimeout</w:t>
            </w:r>
            <w:r>
              <w:rPr>
                <w:b w:val="false"/>
                <w:bCs w:val="false"/>
                <w:sz w:val="18"/>
                <w:szCs w:val="18"/>
              </w:rPr>
              <w:t xml:space="preserve"> does not change it) — not enough to open the page, enter the code and pass MFA</w:t>
            </w:r>
          </w:p>
        </w:tc>
        <w:tc>
          <w:tcPr>
            <w:tcW w:type="dxa" w:w="0"/>
            <w:tcMar>
              <w:top w:type="dxa" w:w="60"/>
              <w:left w:type="dxa" w:w="80"/>
              <w:bottom w:type="dxa" w:w="60"/>
              <w:right w:type="dxa" w:w="80"/>
            </w:tcMar>
          </w:tcPr>
          <w:p>
            <w:pPr>
              <w:spacing w:after="0"/>
            </w:pPr>
            <w:r>
              <w:rPr>
                <w:b w:val="false"/>
                <w:bCs w:val="false"/>
                <w:sz w:val="18"/>
                <w:szCs w:val="18"/>
              </w:rPr>
              <w:t xml:space="preserve">Kit does the device-code grant itself (RFC 8628) with the SDK's own public client and hands the token to </w:t>
            </w:r>
            <w:r>
              <w:rPr>
                <w:rFonts w:ascii="Consolas" w:cs="Consolas" w:eastAsia="Consolas" w:hAnsi="Consolas"/>
                <w:b w:val="false"/>
                <w:bCs w:val="false"/>
                <w:sz w:val="18"/>
                <w:szCs w:val="18"/>
              </w:rPr>
              <w:t xml:space="preserve">Connect-MgGraph -AccessToken</w:t>
            </w:r>
            <w:r>
              <w:rPr>
                <w:b w:val="false"/>
                <w:bCs w:val="false"/>
                <w:sz w:val="18"/>
                <w:szCs w:val="18"/>
              </w:rPr>
              <w:t xml:space="preserve">; the code is now valid for the full 15 minutes</w:t>
            </w:r>
          </w:p>
        </w:tc>
      </w:tr>
      <w:tr>
        <w:tc>
          <w:tcPr>
            <w:tcW w:type="dxa" w:w="0"/>
            <w:tcMar>
              <w:top w:type="dxa" w:w="60"/>
              <w:left w:type="dxa" w:w="80"/>
              <w:bottom w:type="dxa" w:w="60"/>
              <w:right w:type="dxa" w:w="80"/>
            </w:tcMar>
          </w:tcPr>
          <w:p>
            <w:pPr>
              <w:spacing w:after="0"/>
            </w:pPr>
            <w:r>
              <w:rPr>
                <w:b w:val="false"/>
                <w:bCs w:val="false"/>
                <w:sz w:val="18"/>
                <w:szCs w:val="18"/>
              </w:rPr>
              <w:t xml:space="preserve">55</w:t>
            </w:r>
          </w:p>
        </w:tc>
        <w:tc>
          <w:tcPr>
            <w:tcW w:type="dxa" w:w="0"/>
            <w:tcMar>
              <w:top w:type="dxa" w:w="60"/>
              <w:left w:type="dxa" w:w="80"/>
              <w:bottom w:type="dxa" w:w="60"/>
              <w:right w:type="dxa" w:w="80"/>
            </w:tcMar>
          </w:tcPr>
          <w:p>
            <w:pPr>
              <w:spacing w:after="0"/>
            </w:pPr>
            <w:r>
              <w:rPr>
                <w:b w:val="false"/>
                <w:bCs w:val="false"/>
                <w:sz w:val="18"/>
                <w:szCs w:val="18"/>
              </w:rPr>
              <w:t xml:space="preserve">Post-Deploy</w:t>
            </w:r>
          </w:p>
        </w:tc>
        <w:tc>
          <w:tcPr>
            <w:tcW w:type="dxa" w:w="0"/>
            <w:tcMar>
              <w:top w:type="dxa" w:w="60"/>
              <w:left w:type="dxa" w:w="80"/>
              <w:bottom w:type="dxa" w:w="60"/>
              <w:right w:type="dxa" w:w="80"/>
            </w:tcMar>
          </w:tcPr>
          <w:p>
            <w:pPr>
              <w:spacing w:after="0"/>
            </w:pPr>
            <w:r>
              <w:rPr>
                <w:b w:val="false"/>
                <w:bCs w:val="false"/>
                <w:sz w:val="18"/>
                <w:szCs w:val="18"/>
              </w:rPr>
              <w:t xml:space="preserve">Sentinel solution install fails with </w:t>
            </w:r>
            <w:r>
              <w:rPr>
                <w:rFonts w:ascii="Consolas" w:cs="Consolas" w:eastAsia="Consolas" w:hAnsi="Consolas"/>
                <w:b w:val="false"/>
                <w:bCs w:val="false"/>
                <w:sz w:val="18"/>
                <w:szCs w:val="18"/>
              </w:rPr>
              <w:t xml:space="preserve">RequestContentTooLarge</w:t>
            </w:r>
            <w:r>
              <w:rPr>
                <w:b w:val="false"/>
                <w:bCs w:val="false"/>
                <w:sz w:val="18"/>
                <w:szCs w:val="18"/>
              </w:rPr>
              <w:t xml:space="preserve"> — </w:t>
            </w:r>
            <w:r>
              <w:rPr>
                <w:b w:val="false"/>
                <w:bCs w:val="false"/>
                <w:i/>
                <w:iCs/>
                <w:sz w:val="18"/>
                <w:szCs w:val="18"/>
              </w:rPr>
              <w:t xml:space="preserve">The request content size exceeds the maximum size of 4 MB</w:t>
            </w:r>
            <w:r>
              <w:rPr>
                <w:b w:val="false"/>
                <w:bCs w:val="false"/>
                <w:sz w:val="18"/>
                <w:szCs w:val="18"/>
              </w:rPr>
              <w:t xml:space="preserve"> (Defender XDR solution)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New-AzResourceGroupDeployment</w:t>
            </w:r>
            <w:r>
              <w:rPr>
                <w:b w:val="false"/>
                <w:bCs w:val="false"/>
                <w:sz w:val="18"/>
                <w:szCs w:val="18"/>
              </w:rPr>
              <w:t xml:space="preserve"> re-serialises the template pretty-printed; the Commercial XDR package then exceeds ARM's 4 MB inline limit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Enable-SentinelContent.ps1</w:t>
            </w:r>
            <w:r>
              <w:rPr>
                <w:b w:val="false"/>
                <w:bCs w:val="false"/>
                <w:sz w:val="18"/>
                <w:szCs w:val="18"/>
              </w:rPr>
              <w:t xml:space="preserve"> submits the deployment compact through REST (3.6 MB) and, above the cap, stages the template in the workspace storage account and deploys it from a link</w:t>
            </w:r>
          </w:p>
        </w:tc>
      </w:tr>
      <w:tr>
        <w:tc>
          <w:tcPr>
            <w:tcW w:type="dxa" w:w="0"/>
            <w:tcMar>
              <w:top w:type="dxa" w:w="60"/>
              <w:left w:type="dxa" w:w="80"/>
              <w:bottom w:type="dxa" w:w="60"/>
              <w:right w:type="dxa" w:w="80"/>
            </w:tcMar>
          </w:tcPr>
          <w:p>
            <w:pPr>
              <w:spacing w:after="0"/>
            </w:pPr>
            <w:r>
              <w:rPr>
                <w:b w:val="false"/>
                <w:bCs w:val="false"/>
                <w:sz w:val="18"/>
                <w:szCs w:val="18"/>
              </w:rPr>
              <w:t xml:space="preserve">56</w:t>
            </w:r>
          </w:p>
        </w:tc>
        <w:tc>
          <w:tcPr>
            <w:tcW w:type="dxa" w:w="0"/>
            <w:tcMar>
              <w:top w:type="dxa" w:w="60"/>
              <w:left w:type="dxa" w:w="80"/>
              <w:bottom w:type="dxa" w:w="60"/>
              <w:right w:type="dxa" w:w="80"/>
            </w:tcMar>
          </w:tcPr>
          <w:p>
            <w:pPr>
              <w:spacing w:after="0"/>
            </w:pPr>
            <w:r>
              <w:rPr>
                <w:b w:val="false"/>
                <w:bCs w:val="false"/>
                <w:sz w:val="18"/>
                <w:szCs w:val="18"/>
              </w:rPr>
              <w:t xml:space="preserve">Post-Deploy</w:t>
            </w:r>
          </w:p>
        </w:tc>
        <w:tc>
          <w:tcPr>
            <w:tcW w:type="dxa" w:w="0"/>
            <w:tcMar>
              <w:top w:type="dxa" w:w="60"/>
              <w:left w:type="dxa" w:w="80"/>
              <w:bottom w:type="dxa" w:w="60"/>
              <w:right w:type="dxa" w:w="80"/>
            </w:tcMar>
          </w:tcPr>
          <w:p>
            <w:pPr>
              <w:spacing w:after="0"/>
            </w:pPr>
            <w:r>
              <w:rPr>
                <w:b w:val="false"/>
                <w:bCs w:val="false"/>
                <w:sz w:val="18"/>
                <w:szCs w:val="18"/>
              </w:rPr>
              <w:t xml:space="preserve">UEBA settings </w:t>
            </w:r>
            <w:r>
              <w:rPr>
                <w:rFonts w:ascii="Consolas" w:cs="Consolas" w:eastAsia="Consolas" w:hAnsi="Consolas"/>
                <w:b w:val="false"/>
                <w:bCs w:val="false"/>
                <w:sz w:val="18"/>
                <w:szCs w:val="18"/>
              </w:rPr>
              <w:t xml:space="preserve">PUT</w:t>
            </w:r>
            <w:r>
              <w:rPr>
                <w:b w:val="false"/>
                <w:bCs w:val="false"/>
                <w:sz w:val="18"/>
                <w:szCs w:val="18"/>
              </w:rPr>
              <w:t xml:space="preserve"> returns </w:t>
            </w:r>
            <w:r>
              <w:rPr>
                <w:b w:val="false"/>
                <w:bCs w:val="false"/>
                <w:sz w:val="18"/>
                <w:szCs w:val="18"/>
              </w:rPr>
              <w:t xml:space="preserve">401</w:t>
            </w:r>
            <w:r>
              <w:rPr>
                <w:b w:val="false"/>
                <w:bCs w:val="false"/>
                <w:sz w:val="18"/>
                <w:szCs w:val="18"/>
              </w:rPr>
              <w:t xml:space="preserve"> </w:t>
            </w:r>
            <w:r>
              <w:rPr>
                <w:b w:val="false"/>
                <w:bCs w:val="false"/>
                <w:i/>
                <w:iCs/>
                <w:sz w:val="18"/>
                <w:szCs w:val="18"/>
              </w:rPr>
              <w:t xml:space="preserve">User does not have required admin roles</w:t>
            </w:r>
            <w:r>
              <w:rPr>
                <w:b w:val="false"/>
                <w:bCs w:val="false"/>
                <w:sz w:val="18"/>
                <w:szCs w:val="18"/>
              </w:rPr>
              <w:t xml:space="preserve"> although the account is Owner of the subscription</w:t>
            </w:r>
          </w:p>
        </w:tc>
        <w:tc>
          <w:tcPr>
            <w:tcW w:type="dxa" w:w="0"/>
            <w:tcMar>
              <w:top w:type="dxa" w:w="60"/>
              <w:left w:type="dxa" w:w="80"/>
              <w:bottom w:type="dxa" w:w="60"/>
              <w:right w:type="dxa" w:w="80"/>
            </w:tcMar>
          </w:tcPr>
          <w:p>
            <w:pPr>
              <w:spacing w:after="0"/>
            </w:pPr>
            <w:r>
              <w:rPr>
                <w:b w:val="false"/>
                <w:bCs w:val="false"/>
                <w:sz w:val="18"/>
                <w:szCs w:val="18"/>
              </w:rPr>
              <w:t xml:space="preserve">Sentinel's UEBA/EntityAnalytics settings require </w:t>
            </w:r>
            <w:r>
              <w:rPr>
                <w:b w:val="false"/>
                <w:bCs w:val="false"/>
                <w:sz w:val="18"/>
                <w:szCs w:val="18"/>
              </w:rPr>
              <w:t xml:space="preserve">Global Administrator</w:t>
            </w:r>
            <w:r>
              <w:rPr>
                <w:b w:val="false"/>
                <w:bCs w:val="false"/>
                <w:sz w:val="18"/>
                <w:szCs w:val="18"/>
              </w:rPr>
              <w:t xml:space="preserve"> or </w:t>
            </w:r>
            <w:r>
              <w:rPr>
                <w:b w:val="false"/>
                <w:bCs w:val="false"/>
                <w:sz w:val="18"/>
                <w:szCs w:val="18"/>
              </w:rPr>
              <w:t xml:space="preserve">Security Administrator</w:t>
            </w:r>
            <w:r>
              <w:rPr>
                <w:b w:val="false"/>
                <w:bCs w:val="false"/>
                <w:sz w:val="18"/>
                <w:szCs w:val="18"/>
              </w:rPr>
              <w:t xml:space="preserve"> on the tenant, not an Azure RBAC role</w:t>
            </w:r>
          </w:p>
        </w:tc>
        <w:tc>
          <w:tcPr>
            <w:tcW w:type="dxa" w:w="0"/>
            <w:tcMar>
              <w:top w:type="dxa" w:w="60"/>
              <w:left w:type="dxa" w:w="80"/>
              <w:bottom w:type="dxa" w:w="60"/>
              <w:right w:type="dxa" w:w="80"/>
            </w:tcMar>
          </w:tcPr>
          <w:p>
            <w:pPr>
              <w:spacing w:after="0"/>
            </w:pPr>
            <w:r>
              <w:rPr>
                <w:b w:val="false"/>
                <w:bCs w:val="false"/>
                <w:sz w:val="18"/>
                <w:szCs w:val="18"/>
              </w:rPr>
              <w:t xml:space="preserve">Activate the role (PIM) and re-run </w:t>
            </w:r>
            <w:r>
              <w:rPr>
                <w:rFonts w:ascii="Consolas" w:cs="Consolas" w:eastAsia="Consolas" w:hAnsi="Consolas"/>
                <w:b w:val="false"/>
                <w:bCs w:val="false"/>
                <w:sz w:val="18"/>
                <w:szCs w:val="18"/>
              </w:rPr>
              <w:t xml:space="preserve">Post-Deploy.ps1</w:t>
            </w:r>
            <w:r>
              <w:rPr>
                <w:b w:val="false"/>
                <w:bCs w:val="false"/>
                <w:sz w:val="18"/>
                <w:szCs w:val="18"/>
              </w:rPr>
              <w:t xml:space="preserve"> (it skips what is already done)</w:t>
            </w:r>
          </w:p>
        </w:tc>
      </w:tr>
      <w:tr>
        <w:tc>
          <w:tcPr>
            <w:tcW w:type="dxa" w:w="0"/>
            <w:tcMar>
              <w:top w:type="dxa" w:w="60"/>
              <w:left w:type="dxa" w:w="80"/>
              <w:bottom w:type="dxa" w:w="60"/>
              <w:right w:type="dxa" w:w="80"/>
            </w:tcMar>
          </w:tcPr>
          <w:p>
            <w:pPr>
              <w:spacing w:after="0"/>
            </w:pPr>
            <w:r>
              <w:rPr>
                <w:b w:val="false"/>
                <w:bCs w:val="false"/>
                <w:sz w:val="18"/>
                <w:szCs w:val="18"/>
              </w:rPr>
              <w:t xml:space="preserve">57</w:t>
            </w:r>
          </w:p>
        </w:tc>
        <w:tc>
          <w:tcPr>
            <w:tcW w:type="dxa" w:w="0"/>
            <w:tcMar>
              <w:top w:type="dxa" w:w="60"/>
              <w:left w:type="dxa" w:w="80"/>
              <w:bottom w:type="dxa" w:w="60"/>
              <w:right w:type="dxa" w:w="80"/>
            </w:tcMar>
          </w:tcPr>
          <w:p>
            <w:pPr>
              <w:spacing w:after="0"/>
            </w:pPr>
            <w:r>
              <w:rPr>
                <w:b w:val="false"/>
                <w:bCs w:val="false"/>
                <w:sz w:val="18"/>
                <w:szCs w:val="18"/>
              </w:rPr>
              <w:t xml:space="preserve">Post-Deploy</w:t>
            </w:r>
          </w:p>
        </w:tc>
        <w:tc>
          <w:tcPr>
            <w:tcW w:type="dxa" w:w="0"/>
            <w:tcMar>
              <w:top w:type="dxa" w:w="60"/>
              <w:left w:type="dxa" w:w="80"/>
              <w:bottom w:type="dxa" w:w="60"/>
              <w:right w:type="dxa" w:w="80"/>
            </w:tcMar>
          </w:tcPr>
          <w:p>
            <w:pPr>
              <w:spacing w:after="0"/>
            </w:pPr>
            <w:r>
              <w:rPr>
                <w:b w:val="false"/>
                <w:bCs w:val="false"/>
                <w:sz w:val="18"/>
                <w:szCs w:val="18"/>
              </w:rPr>
              <w:t xml:space="preserve">Access token expires half-way through the analytics-rule loop (</w:t>
            </w:r>
            <w:r>
              <w:rPr>
                <w:rFonts w:ascii="Consolas" w:cs="Consolas" w:eastAsia="Consolas" w:hAnsi="Consolas"/>
                <w:b w:val="false"/>
                <w:bCs w:val="false"/>
                <w:sz w:val="18"/>
                <w:szCs w:val="18"/>
              </w:rPr>
              <w:t xml:space="preserve">ExpiredAuthenticationToken</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A Cloud Shell token lives ~1 h; the Commercial catalogue has 300 rule templates to install</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Enable-SentinelContent.ps1</w:t>
            </w:r>
            <w:r>
              <w:rPr>
                <w:b w:val="false"/>
                <w:bCs w:val="false"/>
                <w:sz w:val="18"/>
                <w:szCs w:val="18"/>
              </w:rPr>
              <w:t xml:space="preserve"> refreshes its ARM token every 20 min and on any 401</w:t>
            </w:r>
          </w:p>
        </w:tc>
      </w:tr>
      <w:tr>
        <w:tc>
          <w:tcPr>
            <w:tcW w:type="dxa" w:w="0"/>
            <w:tcMar>
              <w:top w:type="dxa" w:w="60"/>
              <w:left w:type="dxa" w:w="80"/>
              <w:bottom w:type="dxa" w:w="60"/>
              <w:right w:type="dxa" w:w="80"/>
            </w:tcMar>
          </w:tcPr>
          <w:p>
            <w:pPr>
              <w:spacing w:after="0"/>
            </w:pPr>
            <w:r>
              <w:rPr>
                <w:b w:val="false"/>
                <w:bCs w:val="false"/>
                <w:sz w:val="18"/>
                <w:szCs w:val="18"/>
              </w:rPr>
              <w:t xml:space="preserve">58</w:t>
            </w:r>
          </w:p>
        </w:tc>
        <w:tc>
          <w:tcPr>
            <w:tcW w:type="dxa" w:w="0"/>
            <w:tcMar>
              <w:top w:type="dxa" w:w="60"/>
              <w:left w:type="dxa" w:w="80"/>
              <w:bottom w:type="dxa" w:w="60"/>
              <w:right w:type="dxa" w:w="80"/>
            </w:tcMar>
          </w:tcPr>
          <w:p>
            <w:pPr>
              <w:spacing w:after="0"/>
            </w:pPr>
            <w:r>
              <w:rPr>
                <w:b w:val="false"/>
                <w:bCs w:val="false"/>
                <w:sz w:val="18"/>
                <w:szCs w:val="18"/>
              </w:rPr>
              <w:t xml:space="preserve">Verify</w:t>
            </w:r>
          </w:p>
        </w:tc>
        <w:tc>
          <w:tcPr>
            <w:tcW w:type="dxa" w:w="0"/>
            <w:tcMar>
              <w:top w:type="dxa" w:w="60"/>
              <w:left w:type="dxa" w:w="80"/>
              <w:bottom w:type="dxa" w:w="60"/>
              <w:right w:type="dxa" w:w="80"/>
            </w:tcMar>
          </w:tcPr>
          <w:p>
            <w:pPr>
              <w:spacing w:after="0"/>
            </w:pPr>
            <w:r>
              <w:rPr>
                <w:b w:val="false"/>
                <w:bCs w:val="false"/>
                <w:sz w:val="18"/>
                <w:szCs w:val="18"/>
              </w:rPr>
              <w:t xml:space="preserve">Defender for Servers reads </w:t>
            </w:r>
            <w:r>
              <w:rPr>
                <w:b w:val="false"/>
                <w:bCs w:val="false"/>
                <w:sz w:val="18"/>
                <w:szCs w:val="18"/>
              </w:rPr>
              <w:t xml:space="preserve">Free</w:t>
            </w:r>
            <w:r>
              <w:rPr>
                <w:b w:val="false"/>
                <w:bCs w:val="false"/>
                <w:sz w:val="18"/>
                <w:szCs w:val="18"/>
              </w:rPr>
              <w:t xml:space="preserve"> after a deployment that set it to P2</w:t>
            </w:r>
          </w:p>
        </w:tc>
        <w:tc>
          <w:tcPr>
            <w:tcW w:type="dxa" w:w="0"/>
            <w:tcMar>
              <w:top w:type="dxa" w:w="60"/>
              <w:left w:type="dxa" w:w="80"/>
              <w:bottom w:type="dxa" w:w="60"/>
              <w:right w:type="dxa" w:w="80"/>
            </w:tcMar>
          </w:tcPr>
          <w:p>
            <w:pPr>
              <w:spacing w:after="0"/>
            </w:pPr>
            <w:r>
              <w:rPr>
                <w:b w:val="false"/>
                <w:bCs w:val="false"/>
                <w:sz w:val="18"/>
                <w:szCs w:val="18"/>
              </w:rPr>
              <w:t xml:space="preserve">Commercial Defender plan API occasionally reverts the Servers plan when sub-plans are set in the same pass (also Government #23)</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Post-Deploy.ps1</w:t>
            </w:r>
            <w:r>
              <w:rPr>
                <w:b w:val="false"/>
                <w:bCs w:val="false"/>
                <w:sz w:val="18"/>
                <w:szCs w:val="18"/>
              </w:rPr>
              <w:t xml:space="preserve"> re-asserts every plan and prints the final table; re-run it if the portal shows </w:t>
            </w:r>
            <w:r>
              <w:rPr>
                <w:b w:val="false"/>
                <w:bCs w:val="false"/>
                <w:i/>
                <w:iCs/>
                <w:sz w:val="18"/>
                <w:szCs w:val="18"/>
              </w:rPr>
              <w:t xml:space="preserve">Off</w:t>
            </w:r>
          </w:p>
        </w:tc>
      </w:tr>
      <w:tr>
        <w:tc>
          <w:tcPr>
            <w:tcW w:type="dxa" w:w="0"/>
            <w:tcMar>
              <w:top w:type="dxa" w:w="60"/>
              <w:left w:type="dxa" w:w="80"/>
              <w:bottom w:type="dxa" w:w="60"/>
              <w:right w:type="dxa" w:w="80"/>
            </w:tcMar>
          </w:tcPr>
          <w:p>
            <w:pPr>
              <w:spacing w:after="0"/>
            </w:pPr>
            <w:r>
              <w:rPr>
                <w:b w:val="false"/>
                <w:bCs w:val="false"/>
                <w:sz w:val="18"/>
                <w:szCs w:val="18"/>
              </w:rPr>
              <w:t xml:space="preserve">59</w:t>
            </w:r>
          </w:p>
        </w:tc>
        <w:tc>
          <w:tcPr>
            <w:tcW w:type="dxa" w:w="0"/>
            <w:tcMar>
              <w:top w:type="dxa" w:w="60"/>
              <w:left w:type="dxa" w:w="80"/>
              <w:bottom w:type="dxa" w:w="60"/>
              <w:right w:type="dxa" w:w="80"/>
            </w:tcMar>
          </w:tcPr>
          <w:p>
            <w:pPr>
              <w:spacing w:after="0"/>
            </w:pPr>
            <w:r>
              <w:rPr>
                <w:b w:val="false"/>
                <w:bCs w:val="false"/>
                <w:sz w:val="18"/>
                <w:szCs w:val="18"/>
              </w:rPr>
              <w:t xml:space="preserve">Client / Intune</w:t>
            </w:r>
          </w:p>
        </w:tc>
        <w:tc>
          <w:tcPr>
            <w:tcW w:type="dxa" w:w="0"/>
            <w:tcMar>
              <w:top w:type="dxa" w:w="60"/>
              <w:left w:type="dxa" w:w="80"/>
              <w:bottom w:type="dxa" w:w="60"/>
              <w:right w:type="dxa" w:w="80"/>
            </w:tcMar>
          </w:tcPr>
          <w:p>
            <w:pPr>
              <w:spacing w:after="0"/>
            </w:pPr>
            <w:r>
              <w:rPr>
                <w:b w:val="false"/>
                <w:bCs w:val="false"/>
                <w:sz w:val="18"/>
                <w:szCs w:val="18"/>
              </w:rPr>
              <w:t xml:space="preserve">Client is hybrid joined, the user has a PRT, but Intune lists no devices; on the client the task </w:t>
            </w:r>
            <w:r>
              <w:rPr>
                <w:b w:val="false"/>
                <w:bCs w:val="false"/>
                <w:i/>
                <w:iCs/>
                <w:sz w:val="18"/>
                <w:szCs w:val="18"/>
              </w:rPr>
              <w:t xml:space="preserve">Schedule created by enrollment client for automatically enrolling in MDM from AAD</w:t>
            </w:r>
            <w:r>
              <w:rPr>
                <w:b w:val="false"/>
                <w:bCs w:val="false"/>
                <w:sz w:val="18"/>
                <w:szCs w:val="18"/>
              </w:rPr>
              <w:t xml:space="preserve"> ends with </w:t>
            </w:r>
            <w:r>
              <w:rPr>
                <w:b w:val="false"/>
                <w:bCs w:val="false"/>
                <w:sz w:val="18"/>
                <w:szCs w:val="18"/>
              </w:rPr>
              <w:t xml:space="preserve">0x8018002A</w:t>
            </w:r>
            <w:r>
              <w:rPr>
                <w:b w:val="false"/>
                <w:bCs w:val="false"/>
                <w:sz w:val="18"/>
                <w:szCs w:val="18"/>
              </w:rPr>
              <w:t xml:space="preserve"> (2149056554) and </w:t>
            </w:r>
            <w:r>
              <w:rPr>
                <w:rFonts w:ascii="Consolas" w:cs="Consolas" w:eastAsia="Consolas" w:hAnsi="Consolas"/>
                <w:b w:val="false"/>
                <w:bCs w:val="false"/>
                <w:sz w:val="18"/>
                <w:szCs w:val="18"/>
              </w:rPr>
              <w:t xml:space="preserve">LAB-IntuneAutoEnroll-Retry</w:t>
            </w:r>
            <w:r>
              <w:rPr>
                <w:b w:val="false"/>
                <w:bCs w:val="false"/>
                <w:sz w:val="18"/>
                <w:szCs w:val="18"/>
              </w:rPr>
              <w:t xml:space="preserve"> fails the same way</w:t>
            </w:r>
          </w:p>
        </w:tc>
        <w:tc>
          <w:tcPr>
            <w:tcW w:type="dxa" w:w="0"/>
            <w:tcMar>
              <w:top w:type="dxa" w:w="60"/>
              <w:left w:type="dxa" w:w="80"/>
              <w:bottom w:type="dxa" w:w="60"/>
              <w:right w:type="dxa" w:w="80"/>
            </w:tcMar>
          </w:tcPr>
          <w:p>
            <w:pPr>
              <w:spacing w:after="0"/>
            </w:pPr>
            <w:r>
              <w:rPr>
                <w:b w:val="false"/>
                <w:bCs w:val="false"/>
                <w:sz w:val="18"/>
                <w:szCs w:val="18"/>
              </w:rPr>
              <w:t xml:space="preserve">Conditional Access requires MFA for the enrollment: the Microsoft-managed </w:t>
            </w:r>
            <w:r>
              <w:rPr>
                <w:b w:val="false"/>
                <w:bCs w:val="false"/>
                <w:i/>
                <w:iCs/>
                <w:sz w:val="18"/>
                <w:szCs w:val="18"/>
              </w:rPr>
              <w:t xml:space="preserve">… for Microsoft partners and vendors</w:t>
            </w:r>
            <w:r>
              <w:rPr>
                <w:b w:val="false"/>
                <w:bCs w:val="false"/>
                <w:sz w:val="18"/>
                <w:szCs w:val="18"/>
              </w:rPr>
              <w:t xml:space="preserve"> policies in the test tenant apply to all users and all cloud apps and do not exclude </w:t>
            </w:r>
            <w:r>
              <w:rPr>
                <w:b w:val="false"/>
                <w:bCs w:val="false"/>
                <w:i/>
                <w:iCs/>
                <w:sz w:val="18"/>
                <w:szCs w:val="18"/>
              </w:rPr>
              <w:t xml:space="preserve">Microsoft Intune Enrollment</w:t>
            </w:r>
            <w:r>
              <w:rPr>
                <w:b w:val="false"/>
                <w:bCs w:val="false"/>
                <w:sz w:val="18"/>
                <w:szCs w:val="18"/>
              </w:rPr>
              <w:t xml:space="preserve">; a background enrollment cannot answer an MFA prompt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./Prepare-Tenant.ps1 -Cloud Global -SkipMdm -ExcludeIntuneEnrollmentFromCa</w:t>
            </w:r>
            <w:r>
              <w:rPr>
                <w:b w:val="false"/>
                <w:bCs w:val="false"/>
                <w:sz w:val="18"/>
                <w:szCs w:val="18"/>
              </w:rPr>
              <w:t xml:space="preserve"> adds the app exclusion to every enabled all-apps policy (or add it by hand: policy → Target resources → Exclude → </w:t>
            </w:r>
            <w:r>
              <w:rPr>
                <w:b w:val="false"/>
                <w:bCs w:val="false"/>
                <w:i/>
                <w:iCs/>
                <w:sz w:val="18"/>
                <w:szCs w:val="18"/>
              </w:rPr>
              <w:t xml:space="preserve">Microsoft Intune Enrollment</w:t>
            </w:r>
            <w:r>
              <w:rPr>
                <w:b w:val="false"/>
                <w:bCs w:val="false"/>
                <w:sz w:val="18"/>
                <w:szCs w:val="18"/>
              </w:rPr>
              <w:t xml:space="preserve">), then re-trigger the client task — </w:t>
            </w:r>
            <w:r>
              <w:rPr>
                <w:rFonts w:ascii="Consolas" w:cs="Consolas" w:eastAsia="Consolas" w:hAnsi="Consolas"/>
                <w:b w:val="false"/>
                <w:bCs w:val="false"/>
                <w:sz w:val="18"/>
                <w:szCs w:val="18"/>
              </w:rPr>
              <w:t xml:space="preserve">Start-ScheduledTask -TaskPath '\Microsoft\Windows\EnterpriseMgmt\&lt;guid&gt;\' -TaskName 'Schedule created by enrollment client for automatically enrolling in MDM from AAD'</w:t>
            </w:r>
            <w:r>
              <w:rPr>
                <w:b w:val="false"/>
                <w:bCs w:val="false"/>
                <w:sz w:val="18"/>
                <w:szCs w:val="18"/>
              </w:rPr>
              <w:t xml:space="preserve"> via Run command</w:t>
            </w:r>
          </w:p>
        </w:tc>
      </w:tr>
      <w:tr>
        <w:tc>
          <w:tcPr>
            <w:tcW w:type="dxa" w:w="0"/>
            <w:tcMar>
              <w:top w:type="dxa" w:w="60"/>
              <w:left w:type="dxa" w:w="80"/>
              <w:bottom w:type="dxa" w:w="60"/>
              <w:right w:type="dxa" w:w="80"/>
            </w:tcMar>
          </w:tcPr>
          <w:p>
            <w:pPr>
              <w:spacing w:after="0"/>
            </w:pP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Sentinel</w:t>
            </w:r>
          </w:p>
        </w:tc>
        <w:tc>
          <w:tcPr>
            <w:tcW w:type="dxa" w:w="0"/>
            <w:tcMar>
              <w:top w:type="dxa" w:w="60"/>
              <w:left w:type="dxa" w:w="80"/>
              <w:bottom w:type="dxa" w:w="60"/>
              <w:right w:type="dxa" w:w="80"/>
            </w:tcMar>
          </w:tcPr>
          <w:p>
            <w:pPr>
              <w:spacing w:after="0"/>
            </w:pPr>
            <w:r>
              <w:rPr>
                <w:b w:val="false"/>
                <w:bCs w:val="false"/>
                <w:i/>
                <w:iCs/>
                <w:sz w:val="18"/>
                <w:szCs w:val="18"/>
              </w:rPr>
              <w:t xml:space="preserve">Content hub</w:t>
            </w:r>
            <w:r>
              <w:rPr>
                <w:b w:val="false"/>
                <w:bCs w:val="false"/>
                <w:sz w:val="18"/>
                <w:szCs w:val="18"/>
              </w:rPr>
              <w:t xml:space="preserve"> and </w:t>
            </w:r>
            <w:r>
              <w:rPr>
                <w:b w:val="false"/>
                <w:bCs w:val="false"/>
                <w:i/>
                <w:iCs/>
                <w:sz w:val="18"/>
                <w:szCs w:val="18"/>
              </w:rPr>
              <w:t xml:space="preserve">Data connectors</w:t>
            </w:r>
            <w:r>
              <w:rPr>
                <w:b w:val="false"/>
                <w:bCs w:val="false"/>
                <w:sz w:val="18"/>
                <w:szCs w:val="18"/>
              </w:rPr>
              <w:t xml:space="preserve"> open the Defender portal (</w:t>
            </w:r>
            <w:r>
              <w:rPr>
                <w:rFonts w:ascii="Consolas" w:cs="Consolas" w:eastAsia="Consolas" w:hAnsi="Consolas"/>
                <w:b w:val="false"/>
                <w:bCs w:val="false"/>
                <w:sz w:val="18"/>
                <w:szCs w:val="18"/>
              </w:rPr>
              <w:t xml:space="preserve">security.microsoft.com</w:t>
            </w:r>
            <w:r>
              <w:rPr>
                <w:b w:val="false"/>
                <w:bCs w:val="false"/>
                <w:sz w:val="18"/>
                <w:szCs w:val="18"/>
              </w:rPr>
              <w:t xml:space="preserve">) instead of a blade in the Azure portal</w:t>
            </w:r>
          </w:p>
        </w:tc>
        <w:tc>
          <w:tcPr>
            <w:tcW w:type="dxa" w:w="0"/>
            <w:tcMar>
              <w:top w:type="dxa" w:w="60"/>
              <w:left w:type="dxa" w:w="80"/>
              <w:bottom w:type="dxa" w:w="60"/>
              <w:right w:type="dxa" w:w="80"/>
            </w:tcMar>
          </w:tcPr>
          <w:p>
            <w:pPr>
              <w:spacing w:after="0"/>
            </w:pPr>
            <w:r>
              <w:rPr>
                <w:b w:val="false"/>
                <w:bCs w:val="false"/>
                <w:sz w:val="18"/>
                <w:szCs w:val="18"/>
              </w:rPr>
              <w:t xml:space="preserve">Commercial Sentinel workspaces onboarded to the unified Defender portal move those pages there</w:t>
            </w:r>
          </w:p>
        </w:tc>
        <w:tc>
          <w:tcPr>
            <w:tcW w:type="dxa" w:w="0"/>
            <w:tcMar>
              <w:top w:type="dxa" w:w="60"/>
              <w:left w:type="dxa" w:w="80"/>
              <w:bottom w:type="dxa" w:w="60"/>
              <w:right w:type="dxa" w:w="80"/>
            </w:tcMar>
          </w:tcPr>
          <w:p>
            <w:pPr>
              <w:spacing w:after="0"/>
            </w:pPr>
            <w:r>
              <w:rPr>
                <w:b w:val="false"/>
                <w:bCs w:val="false"/>
                <w:sz w:val="18"/>
                <w:szCs w:val="18"/>
              </w:rPr>
              <w:t xml:space="preserve">Use the Defender portal links; the kit's post-deploy does not need them</w:t>
            </w:r>
          </w:p>
        </w:tc>
      </w:tr>
      <w:tr>
        <w:tc>
          <w:tcPr>
            <w:tcW w:type="dxa" w:w="0"/>
            <w:tcMar>
              <w:top w:type="dxa" w:w="60"/>
              <w:left w:type="dxa" w:w="80"/>
              <w:bottom w:type="dxa" w:w="60"/>
              <w:right w:type="dxa" w:w="80"/>
            </w:tcMar>
          </w:tcPr>
          <w:p>
            <w:pPr>
              <w:spacing w:after="0"/>
            </w:pP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Identity tab</w:t>
            </w:r>
          </w:p>
        </w:tc>
        <w:tc>
          <w:tcPr>
            <w:tcW w:type="dxa" w:w="0"/>
            <w:tcMar>
              <w:top w:type="dxa" w:w="60"/>
              <w:left w:type="dxa" w:w="80"/>
              <w:bottom w:type="dxa" w:w="60"/>
              <w:right w:type="dxa" w:w="80"/>
            </w:tcMar>
          </w:tcPr>
          <w:p>
            <w:pPr>
              <w:spacing w:after="0"/>
            </w:pPr>
            <w:r>
              <w:rPr>
                <w:b w:val="false"/>
                <w:bCs w:val="false"/>
                <w:i/>
                <w:iCs/>
                <w:sz w:val="18"/>
                <w:szCs w:val="18"/>
              </w:rPr>
              <w:t xml:space="preserve">Validation failed. Required information is missing or not valid</w:t>
            </w:r>
            <w:r>
              <w:rPr>
                <w:b w:val="false"/>
                <w:bCs w:val="false"/>
                <w:sz w:val="18"/>
                <w:szCs w:val="18"/>
              </w:rPr>
              <w:t xml:space="preserve"> → </w:t>
            </w:r>
            <w:r>
              <w:rPr>
                <w:b w:val="false"/>
                <w:bCs w:val="false"/>
                <w:sz w:val="18"/>
                <w:szCs w:val="18"/>
              </w:rPr>
              <w:t xml:space="preserve">Domain NetBIOS Name: The value must not be empty</w:t>
            </w:r>
          </w:p>
        </w:tc>
        <w:tc>
          <w:tcPr>
            <w:tcW w:type="dxa" w:w="0"/>
            <w:tcMar>
              <w:top w:type="dxa" w:w="60"/>
              <w:left w:type="dxa" w:w="80"/>
              <w:bottom w:type="dxa" w:w="60"/>
              <w:right w:type="dxa" w:w="80"/>
            </w:tcMar>
          </w:tcPr>
          <w:p>
            <w:pPr>
              <w:spacing w:after="0"/>
            </w:pPr>
            <w:r>
              <w:rPr>
                <w:b w:val="false"/>
                <w:bCs w:val="false"/>
                <w:sz w:val="18"/>
                <w:szCs w:val="18"/>
              </w:rPr>
              <w:t xml:space="preserve">The field shows </w:t>
            </w:r>
            <w:r>
              <w:rPr>
                <w:rFonts w:ascii="Consolas" w:cs="Consolas" w:eastAsia="Consolas" w:hAnsi="Consolas"/>
                <w:b w:val="false"/>
                <w:bCs w:val="false"/>
                <w:sz w:val="18"/>
                <w:szCs w:val="18"/>
              </w:rPr>
              <w:t xml:space="preserve">CORP</w:t>
            </w:r>
            <w:r>
              <w:rPr>
                <w:b w:val="false"/>
                <w:bCs w:val="false"/>
                <w:sz w:val="18"/>
                <w:szCs w:val="18"/>
              </w:rPr>
              <w:t xml:space="preserve"> as a placeholder, not a value</w:t>
            </w:r>
          </w:p>
        </w:tc>
        <w:tc>
          <w:tcPr>
            <w:tcW w:type="dxa" w:w="0"/>
            <w:tcMar>
              <w:top w:type="dxa" w:w="60"/>
              <w:left w:type="dxa" w:w="80"/>
              <w:bottom w:type="dxa" w:w="60"/>
              <w:right w:type="dxa" w:w="80"/>
            </w:tcMar>
          </w:tcPr>
          <w:p>
            <w:pPr>
              <w:spacing w:after="0"/>
            </w:pPr>
            <w:r>
              <w:rPr>
                <w:b w:val="false"/>
                <w:bCs w:val="false"/>
                <w:sz w:val="18"/>
                <w:szCs w:val="18"/>
              </w:rPr>
              <w:t xml:space="preserve">Type </w:t>
            </w:r>
            <w:r>
              <w:rPr>
                <w:rFonts w:ascii="Consolas" w:cs="Consolas" w:eastAsia="Consolas" w:hAnsi="Consolas"/>
                <w:b w:val="false"/>
                <w:bCs w:val="false"/>
                <w:sz w:val="18"/>
                <w:szCs w:val="18"/>
              </w:rPr>
              <w:t xml:space="preserve">CORP</w:t>
            </w:r>
            <w:r>
              <w:rPr>
                <w:b w:val="false"/>
                <w:bCs w:val="false"/>
                <w:sz w:val="18"/>
                <w:szCs w:val="18"/>
              </w:rPr>
              <w:t xml:space="preserve"> (section 4.6)</w:t>
            </w:r>
          </w:p>
        </w:tc>
      </w:tr>
      <w:tr>
        <w:tc>
          <w:tcPr>
            <w:tcW w:type="dxa" w:w="0"/>
            <w:tcMar>
              <w:top w:type="dxa" w:w="60"/>
              <w:left w:type="dxa" w:w="80"/>
              <w:bottom w:type="dxa" w:w="60"/>
              <w:right w:type="dxa" w:w="80"/>
            </w:tcMar>
          </w:tcPr>
          <w:p>
            <w:pPr>
              <w:spacing w:after="0"/>
            </w:pP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Compute tab</w:t>
            </w:r>
          </w:p>
        </w:tc>
        <w:tc>
          <w:tcPr>
            <w:tcW w:type="dxa" w:w="0"/>
            <w:tcMar>
              <w:top w:type="dxa" w:w="60"/>
              <w:left w:type="dxa" w:w="80"/>
              <w:bottom w:type="dxa" w:w="60"/>
              <w:right w:type="dxa" w:w="80"/>
            </w:tcMar>
          </w:tcPr>
          <w:p>
            <w:pPr>
              <w:spacing w:after="0"/>
            </w:pPr>
            <w:r>
              <w:rPr>
                <w:b w:val="false"/>
                <w:bCs w:val="false"/>
                <w:sz w:val="18"/>
                <w:szCs w:val="18"/>
              </w:rPr>
              <w:t xml:space="preserve">Linux </w:t>
            </w:r>
            <w:r>
              <w:rPr>
                <w:b w:val="false"/>
                <w:bCs w:val="false"/>
                <w:i/>
                <w:iCs/>
                <w:sz w:val="18"/>
                <w:szCs w:val="18"/>
              </w:rPr>
              <w:t xml:space="preserve">Change size</w:t>
            </w:r>
            <w:r>
              <w:rPr>
                <w:b w:val="false"/>
                <w:bCs w:val="false"/>
                <w:sz w:val="18"/>
                <w:szCs w:val="18"/>
              </w:rPr>
              <w:t xml:space="preserve"> link greyed out, no size shown</w:t>
            </w:r>
          </w:p>
        </w:tc>
        <w:tc>
          <w:tcPr>
            <w:tcW w:type="dxa" w:w="0"/>
            <w:tcMar>
              <w:top w:type="dxa" w:w="60"/>
              <w:left w:type="dxa" w:w="80"/>
              <w:bottom w:type="dxa" w:w="60"/>
              <w:right w:type="dxa" w:w="80"/>
            </w:tcMar>
          </w:tcPr>
          <w:p>
            <w:pPr>
              <w:spacing w:after="0"/>
            </w:pPr>
            <w:r>
              <w:rPr>
                <w:b w:val="false"/>
                <w:bCs w:val="false"/>
                <w:sz w:val="18"/>
                <w:szCs w:val="18"/>
              </w:rPr>
              <w:t xml:space="preserve">Portal race while the size selector resolves the Linux image on first load</w:t>
            </w:r>
          </w:p>
        </w:tc>
        <w:tc>
          <w:tcPr>
            <w:tcW w:type="dxa" w:w="0"/>
            <w:tcMar>
              <w:top w:type="dxa" w:w="60"/>
              <w:left w:type="dxa" w:w="80"/>
              <w:bottom w:type="dxa" w:w="60"/>
              <w:right w:type="dxa" w:w="80"/>
            </w:tcMar>
          </w:tcPr>
          <w:p>
            <w:pPr>
              <w:spacing w:after="0"/>
            </w:pPr>
            <w:r>
              <w:rPr>
                <w:b w:val="false"/>
                <w:bCs w:val="false"/>
                <w:sz w:val="18"/>
                <w:szCs w:val="18"/>
              </w:rPr>
              <w:t xml:space="preserve">Wait a few seconds, or switch tabs and come back; re-selecting the region on Basics also re-triggers it (but resets the other Compute fields)</w:t>
            </w:r>
          </w:p>
        </w:tc>
      </w:tr>
    </w:tbl>
    <w:p>
      <w:pPr>
        <w:spacing w:after="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MLZ Security Lab Starter Kit — Implementation Guide (Azure Commercial)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44"/>
      <w:szCs w:val="44"/>
    </w:rPr>
  </w:style>
  <w:style w:type="paragraph" w:styleId="Heading1">
    <w:name w:val="Heading 1"/>
    <w:basedOn w:val="Normal"/>
    <w:next w:val="Normal"/>
    <w:qFormat/>
    <w:pPr>
      <w:spacing w:after="120" w:before="240"/>
      <w:outlineLvl w:val="0"/>
    </w:pPr>
    <w:rPr>
      <w:b/>
      <w:bCs/>
      <w:color w:val="1F3864"/>
      <w:sz w:val="30"/>
      <w:szCs w:val="30"/>
    </w:rPr>
  </w:style>
  <w:style w:type="paragraph" w:styleId="Heading2">
    <w:name w:val="Heading 2"/>
    <w:basedOn w:val="Normal"/>
    <w:next w:val="Normal"/>
    <w:qFormat/>
    <w:pPr>
      <w:spacing w:after="80" w:before="20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ykn_5692so8uciwto5qz" Type="http://schemas.openxmlformats.org/officeDocument/2006/relationships/hyperlink" Target="https://github.com/lee-aguilar-msft/Azure-MLZStarterKit-Security" TargetMode="External"/><Relationship Id="rIddnoj6vgot6sntapehdber" Type="http://schemas.openxmlformats.org/officeDocument/2006/relationships/hyperlink" Target="https://github.com/lee-aguilar-msft/Azure-MLZStarterKit-Security" TargetMode="External"/><Relationship Id="rIdhml_-n-yrsqgqng3rr9om" Type="http://schemas.openxmlformats.org/officeDocument/2006/relationships/hyperlink" Target="https://portal.azure.com" TargetMode="External"/><Relationship Id="rId9" Type="http://schemas.openxmlformats.org/officeDocument/2006/relationships/image" Target="media/795597a071dbfe77bacc28f28fad4d9b06163e7e.png"/><Relationship Id="rId10" Type="http://schemas.openxmlformats.org/officeDocument/2006/relationships/image" Target="media/00d21cdff43c3aaff9d288c217a9dba58d87ca3f.png"/><Relationship Id="rId11" Type="http://schemas.openxmlformats.org/officeDocument/2006/relationships/image" Target="media/6b7359e7b5f06a3b6fe9eedbf2625935c3f179c5.jpg"/><Relationship Id="rId12" Type="http://schemas.openxmlformats.org/officeDocument/2006/relationships/image" Target="media/1309813ad520d5339b06cb6fb59a92f0cf0b06cc.jpg"/><Relationship Id="rId13" Type="http://schemas.openxmlformats.org/officeDocument/2006/relationships/image" Target="media/838b39576ae186496ab45da25f821134b89cf6ea.jpg"/><Relationship Id="rId14" Type="http://schemas.openxmlformats.org/officeDocument/2006/relationships/image" Target="media/4f9f694743c5584d8c29254094c0521754cc75b2.jpg"/><Relationship Id="rId15" Type="http://schemas.openxmlformats.org/officeDocument/2006/relationships/image" Target="media/38a59a807b0b69a8ac1d6610cc2e463ed8c17f28.jpg"/><Relationship Id="rId16" Type="http://schemas.openxmlformats.org/officeDocument/2006/relationships/image" Target="media/7700f325d3d9f12b6b8e30e42be3a55dc97ea012.jpg"/><Relationship Id="rId17" Type="http://schemas.openxmlformats.org/officeDocument/2006/relationships/image" Target="media/8ed6b60edcf4c5b39b8ea8d17598276769f4fc4b.jpg"/><Relationship Id="rId18" Type="http://schemas.openxmlformats.org/officeDocument/2006/relationships/image" Target="media/be970bdbbeb49c44e7545a03275d0db8f4a36078.jpg"/><Relationship Id="rId19" Type="http://schemas.openxmlformats.org/officeDocument/2006/relationships/image" Target="media/4862225954630dd4b3fe27852cacac84db8ba97a.jpg"/><Relationship Id="rId20" Type="http://schemas.openxmlformats.org/officeDocument/2006/relationships/image" Target="media/5c3c947d1d995a527d912a100ca9a71f91a0f347.jpg"/><Relationship Id="rId21" Type="http://schemas.openxmlformats.org/officeDocument/2006/relationships/image" Target="media/fcd8e7b12e4d6ffa970cbcbe9d2ec99418aa5578.jpg"/><Relationship Id="rId22" Type="http://schemas.openxmlformats.org/officeDocument/2006/relationships/image" Target="media/dbcbeb2c792530d117ea9d142d76f4cce6620e47.jpg"/><Relationship Id="rId23" Type="http://schemas.openxmlformats.org/officeDocument/2006/relationships/image" Target="media/7bf72dad3a08c2a2fefa90c7c2273898b3f21e14.jpg"/><Relationship Id="rId24" Type="http://schemas.openxmlformats.org/officeDocument/2006/relationships/image" Target="media/a48ca26301e1085cc0114b7d170af1d190fa545d.jpg"/><Relationship Id="rId25" Type="http://schemas.openxmlformats.org/officeDocument/2006/relationships/image" Target="media/c64742874c15d4423ddd6efb074d90939ee4a341.jpg"/><Relationship Id="rId26" Type="http://schemas.openxmlformats.org/officeDocument/2006/relationships/image" Target="media/23aad9985657820e676290b67b73bd0542b25774.jpg"/><Relationship Id="rId27" Type="http://schemas.openxmlformats.org/officeDocument/2006/relationships/image" Target="media/528cc867a28d9dac349f46f25f1deb8a1c1d88b9.jpg"/><Relationship Id="rId28" Type="http://schemas.openxmlformats.org/officeDocument/2006/relationships/image" Target="media/3fc274109c31d5d33f6012a39bf1c96bf81bdcea.jpg"/><Relationship Id="rId29" Type="http://schemas.openxmlformats.org/officeDocument/2006/relationships/image" Target="media/fd3d54f3e41f96a9d46d045fd180c7e2939ea7f7.jpg"/><Relationship Id="rId30" Type="http://schemas.openxmlformats.org/officeDocument/2006/relationships/image" Target="media/3cacaed6c422388d1701d6e1457a25b4b55a0d2f.jpg"/><Relationship Id="rId31" Type="http://schemas.openxmlformats.org/officeDocument/2006/relationships/image" Target="media/4b6256de999f4a4911ffe2ad6d1cc37cbecc50e3.jpg"/><Relationship Id="rId32" Type="http://schemas.openxmlformats.org/officeDocument/2006/relationships/image" Target="media/50a6d2ec272fc03b42f115e969b3a974e2b02487.jpg"/><Relationship Id="rId33" Type="http://schemas.openxmlformats.org/officeDocument/2006/relationships/image" Target="media/b94bec5294b2f3117132ba40e85bd5c875273007.jpg"/><Relationship Id="rId34" Type="http://schemas.openxmlformats.org/officeDocument/2006/relationships/image" Target="media/a81c5634addb8c459dd88773c817a666fa740780.jpg"/><Relationship Id="rId35" Type="http://schemas.openxmlformats.org/officeDocument/2006/relationships/image" Target="media/f90e373dc170e2f4067882bf797cabd3c6f18222.jpg"/><Relationship Id="rId36" Type="http://schemas.openxmlformats.org/officeDocument/2006/relationships/image" Target="media/3721e86cde6337519f2a67fc5e346bb174a7b440.jp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MLZ Security Lab Starter Kit — Implementation Guide (Azure Commercial)</dc:title>
  <dc:creator>MLZ Security Lab Starter Kit</dc:creator>
  <cp:lastModifiedBy>Un-named</cp:lastModifiedBy>
  <cp:revision>1</cp:revision>
  <dcterms:created xsi:type="dcterms:W3CDTF">2026-10-28T00:56:07.132Z</dcterms:created>
  <dcterms:modified xsi:type="dcterms:W3CDTF">2026-10-28T00:56:07.139Z</dcterms:modified>
</cp:coreProperties>
</file>

<file path=docProps/custom.xml><?xml version="1.0" encoding="utf-8"?>
<Properties xmlns="http://schemas.openxmlformats.org/officeDocument/2006/custom-properties" xmlns:vt="http://schemas.openxmlformats.org/officeDocument/2006/docPropsVTypes"/>
</file>