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3812" w14:textId="3BA88111" w:rsidR="00413978" w:rsidRDefault="00000000">
      <w:pPr>
        <w:tabs>
          <w:tab w:val="left" w:pos="4282"/>
        </w:tabs>
        <w:jc w:val="center"/>
        <w:rPr>
          <w:rFonts w:ascii="Times New Roman" w:eastAsia="Times New Roman" w:hAnsi="Times New Roman" w:cs="Times New Roman"/>
          <w:smallCaps/>
          <w:color w:val="000000"/>
        </w:rPr>
      </w:pPr>
      <w:commentRangeStart w:id="0"/>
      <w:r>
        <w:rPr>
          <w:rFonts w:ascii="Times New Roman" w:eastAsia="Times New Roman" w:hAnsi="Times New Roman" w:cs="Times New Roman"/>
          <w:smallCaps/>
        </w:rPr>
        <w:t xml:space="preserve">Leveraging local efforts to solve </w:t>
      </w:r>
      <w:r w:rsidR="000B463F">
        <w:rPr>
          <w:rFonts w:ascii="Times New Roman" w:eastAsia="Times New Roman" w:hAnsi="Times New Roman" w:cs="Times New Roman"/>
          <w:smallCaps/>
        </w:rPr>
        <w:t>regional</w:t>
      </w:r>
      <w:r>
        <w:rPr>
          <w:rFonts w:ascii="Times New Roman" w:eastAsia="Times New Roman" w:hAnsi="Times New Roman" w:cs="Times New Roman"/>
          <w:smallCaps/>
        </w:rPr>
        <w:t xml:space="preserve">-scale ecological questions: using </w:t>
      </w:r>
      <w:r w:rsidR="000B463F">
        <w:rPr>
          <w:rFonts w:ascii="Times New Roman" w:eastAsia="Times New Roman" w:hAnsi="Times New Roman" w:cs="Times New Roman"/>
          <w:smallCaps/>
        </w:rPr>
        <w:t>multiple sources of</w:t>
      </w:r>
      <w:r>
        <w:rPr>
          <w:rFonts w:ascii="Times New Roman" w:eastAsia="Times New Roman" w:hAnsi="Times New Roman" w:cs="Times New Roman"/>
          <w:smallCaps/>
        </w:rPr>
        <w:t xml:space="preserve"> data and a multi-species occupancy model to explore bee-plant interactions</w:t>
      </w:r>
      <w:commentRangeEnd w:id="0"/>
      <w:r>
        <w:commentReference w:id="0"/>
      </w:r>
      <w:r>
        <w:rPr>
          <w:rFonts w:ascii="Times New Roman" w:eastAsia="Times New Roman" w:hAnsi="Times New Roman" w:cs="Times New Roman"/>
          <w:smallCaps/>
          <w:color w:val="000000"/>
        </w:rPr>
        <w:t xml:space="preserve"> </w:t>
      </w:r>
    </w:p>
    <w:p w14:paraId="20E7DE50" w14:textId="77777777" w:rsidR="00413978" w:rsidRDefault="00413978">
      <w:pPr>
        <w:tabs>
          <w:tab w:val="left" w:pos="4282"/>
        </w:tabs>
        <w:jc w:val="center"/>
        <w:rPr>
          <w:rFonts w:ascii="Times New Roman" w:eastAsia="Times New Roman" w:hAnsi="Times New Roman" w:cs="Times New Roman"/>
          <w:color w:val="000000"/>
        </w:rPr>
      </w:pPr>
    </w:p>
    <w:p w14:paraId="7A485962" w14:textId="23178108" w:rsidR="00413978" w:rsidRDefault="00000000">
      <w:pPr>
        <w:tabs>
          <w:tab w:val="left" w:pos="4282"/>
        </w:tabs>
        <w:rPr>
          <w:rFonts w:ascii="Times New Roman" w:eastAsia="Times New Roman" w:hAnsi="Times New Roman" w:cs="Times New Roman"/>
          <w:smallCaps/>
        </w:rPr>
      </w:pPr>
      <w:r>
        <w:rPr>
          <w:rFonts w:ascii="Times New Roman" w:eastAsia="Times New Roman" w:hAnsi="Times New Roman" w:cs="Times New Roman"/>
          <w:b/>
          <w:color w:val="000000"/>
        </w:rPr>
        <w:t>Running title (&lt; 45 characters):</w:t>
      </w:r>
      <w:r>
        <w:rPr>
          <w:rFonts w:ascii="Times New Roman" w:eastAsia="Times New Roman" w:hAnsi="Times New Roman" w:cs="Times New Roman"/>
          <w:color w:val="000000"/>
        </w:rPr>
        <w:t xml:space="preserve"> </w:t>
      </w:r>
      <w:commentRangeStart w:id="1"/>
      <w:r>
        <w:rPr>
          <w:rFonts w:ascii="Times New Roman" w:eastAsia="Times New Roman" w:hAnsi="Times New Roman" w:cs="Times New Roman"/>
          <w:smallCaps/>
        </w:rPr>
        <w:t xml:space="preserve">local efforts to solve </w:t>
      </w:r>
      <w:r w:rsidR="000B463F">
        <w:rPr>
          <w:rFonts w:ascii="Times New Roman" w:eastAsia="Times New Roman" w:hAnsi="Times New Roman" w:cs="Times New Roman"/>
          <w:smallCaps/>
        </w:rPr>
        <w:t>regional</w:t>
      </w:r>
      <w:r>
        <w:rPr>
          <w:rFonts w:ascii="Times New Roman" w:eastAsia="Times New Roman" w:hAnsi="Times New Roman" w:cs="Times New Roman"/>
          <w:smallCaps/>
        </w:rPr>
        <w:t xml:space="preserve"> problems</w:t>
      </w:r>
      <w:commentRangeEnd w:id="1"/>
      <w:r>
        <w:commentReference w:id="1"/>
      </w:r>
    </w:p>
    <w:p w14:paraId="4499F8E4" w14:textId="77777777" w:rsidR="00413978" w:rsidRDefault="00413978">
      <w:pPr>
        <w:tabs>
          <w:tab w:val="left" w:pos="4282"/>
        </w:tabs>
        <w:rPr>
          <w:rFonts w:ascii="Times New Roman" w:eastAsia="Times New Roman" w:hAnsi="Times New Roman" w:cs="Times New Roman"/>
          <w:smallCaps/>
        </w:rPr>
      </w:pPr>
    </w:p>
    <w:p w14:paraId="61EE1912" w14:textId="77777777" w:rsidR="00413978" w:rsidRDefault="00000000">
      <w:pPr>
        <w:tabs>
          <w:tab w:val="left" w:pos="4282"/>
        </w:tabs>
        <w:rPr>
          <w:rFonts w:ascii="Times New Roman" w:eastAsia="Times New Roman" w:hAnsi="Times New Roman" w:cs="Times New Roman"/>
          <w:color w:val="000000"/>
          <w:vertAlign w:val="superscript"/>
        </w:rPr>
      </w:pPr>
      <w:r>
        <w:rPr>
          <w:rFonts w:ascii="Times New Roman" w:eastAsia="Times New Roman" w:hAnsi="Times New Roman" w:cs="Times New Roman"/>
          <w:color w:val="000000"/>
        </w:rPr>
        <w:t>Authors: Michelle J. Lee</w:t>
      </w:r>
      <w:r>
        <w:rPr>
          <w:rFonts w:ascii="Times New Roman" w:eastAsia="Times New Roman" w:hAnsi="Times New Roman" w:cs="Times New Roman"/>
          <w:vertAlign w:val="superscript"/>
        </w:rPr>
        <w:t>1☨</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rPr>
        <w:t>Graziella</w:t>
      </w:r>
      <w:proofErr w:type="spellEnd"/>
      <w:r>
        <w:rPr>
          <w:rFonts w:ascii="Times New Roman" w:eastAsia="Times New Roman" w:hAnsi="Times New Roman" w:cs="Times New Roman"/>
        </w:rPr>
        <w:t xml:space="preserve"> V. DiRenzo</w:t>
      </w:r>
      <w:r>
        <w:rPr>
          <w:rFonts w:ascii="Times New Roman" w:eastAsia="Times New Roman" w:hAnsi="Times New Roman" w:cs="Times New Roman"/>
          <w:vertAlign w:val="superscript"/>
        </w:rPr>
        <w:t>2☨</w:t>
      </w:r>
      <w:r>
        <w:rPr>
          <w:rFonts w:ascii="Times New Roman" w:eastAsia="Times New Roman" w:hAnsi="Times New Roman" w:cs="Times New Roman"/>
        </w:rPr>
        <w:t>, Yolanda Diao</w:t>
      </w:r>
      <w:commentRangeStart w:id="2"/>
      <w:r>
        <w:rPr>
          <w:rFonts w:ascii="Times New Roman" w:eastAsia="Times New Roman" w:hAnsi="Times New Roman" w:cs="Times New Roman"/>
          <w:vertAlign w:val="superscript"/>
        </w:rPr>
        <w:t>3</w:t>
      </w:r>
      <w:commentRangeEnd w:id="2"/>
      <w:r>
        <w:commentReference w:id="2"/>
      </w:r>
      <w:r>
        <w:rPr>
          <w:rFonts w:ascii="Times New Roman" w:eastAsia="Times New Roman" w:hAnsi="Times New Roman" w:cs="Times New Roman"/>
          <w:color w:val="000000"/>
        </w:rPr>
        <w:t>, &amp; Katja C. Seltmann</w:t>
      </w:r>
      <w:r>
        <w:rPr>
          <w:rFonts w:ascii="Times New Roman" w:eastAsia="Times New Roman" w:hAnsi="Times New Roman" w:cs="Times New Roman"/>
          <w:vertAlign w:val="superscript"/>
        </w:rPr>
        <w:t>3*</w:t>
      </w:r>
    </w:p>
    <w:p w14:paraId="0644A401" w14:textId="77777777" w:rsidR="00413978" w:rsidRDefault="00413978">
      <w:pPr>
        <w:rPr>
          <w:rFonts w:ascii="Times New Roman" w:eastAsia="Times New Roman" w:hAnsi="Times New Roman" w:cs="Times New Roman"/>
        </w:rPr>
      </w:pPr>
    </w:p>
    <w:p w14:paraId="12547363" w14:textId="77777777" w:rsidR="00413978" w:rsidRDefault="00413978">
      <w:pPr>
        <w:rPr>
          <w:rFonts w:ascii="Times New Roman" w:eastAsia="Times New Roman" w:hAnsi="Times New Roman" w:cs="Times New Roman"/>
        </w:rPr>
      </w:pPr>
    </w:p>
    <w:p w14:paraId="4CDB5935" w14:textId="77777777" w:rsidR="00413978" w:rsidRDefault="00000000">
      <w:pP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 Ecology, Evolution and Marine Biology, University of California Santa Barbara, USA</w:t>
      </w:r>
    </w:p>
    <w:p w14:paraId="15FA2198" w14:textId="77777777" w:rsidR="00413978" w:rsidRDefault="00000000">
      <w:pP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 U.S. Geological Survey, Massachusetts Cooperative Fish and Wildlife Research Unit, University of Massachusetts Amherst, USA </w:t>
      </w:r>
    </w:p>
    <w:p w14:paraId="37E787CE" w14:textId="77777777" w:rsidR="00413978" w:rsidRDefault="00000000">
      <w:pPr>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 xml:space="preserve"> Cheadle Center for Biodiversity and Ecological Restoration, University of California Santa Barbara, USA</w:t>
      </w:r>
    </w:p>
    <w:p w14:paraId="4851BD88" w14:textId="77777777" w:rsidR="00413978" w:rsidRDefault="00413978">
      <w:pPr>
        <w:rPr>
          <w:rFonts w:ascii="Times New Roman" w:eastAsia="Times New Roman" w:hAnsi="Times New Roman" w:cs="Times New Roman"/>
        </w:rPr>
      </w:pPr>
    </w:p>
    <w:p w14:paraId="02E0E021" w14:textId="77777777" w:rsidR="00413978" w:rsidRDefault="00000000">
      <w:pPr>
        <w:rPr>
          <w:rFonts w:ascii="Times New Roman" w:eastAsia="Times New Roman" w:hAnsi="Times New Roman" w:cs="Times New Roman"/>
        </w:rPr>
      </w:pPr>
      <w:r>
        <w:rPr>
          <w:rFonts w:ascii="Times New Roman" w:eastAsia="Times New Roman" w:hAnsi="Times New Roman" w:cs="Times New Roman"/>
          <w:vertAlign w:val="superscript"/>
        </w:rPr>
        <w:t>☨</w:t>
      </w:r>
      <w:r>
        <w:rPr>
          <w:rFonts w:ascii="Times New Roman" w:eastAsia="Times New Roman" w:hAnsi="Times New Roman" w:cs="Times New Roman"/>
        </w:rPr>
        <w:t xml:space="preserve"> Both authors contributed equally to leading this study</w:t>
      </w:r>
    </w:p>
    <w:p w14:paraId="0802FDAD"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 Corresponding author; email </w:t>
      </w:r>
      <w:proofErr w:type="spellStart"/>
      <w:r>
        <w:rPr>
          <w:rFonts w:ascii="Times New Roman" w:eastAsia="Times New Roman" w:hAnsi="Times New Roman" w:cs="Times New Roman"/>
        </w:rPr>
        <w:t>xxxx</w:t>
      </w:r>
      <w:proofErr w:type="spellEnd"/>
    </w:p>
    <w:p w14:paraId="75CA855A" w14:textId="77777777" w:rsidR="00413978" w:rsidRDefault="00413978">
      <w:pPr>
        <w:tabs>
          <w:tab w:val="left" w:pos="4282"/>
        </w:tabs>
        <w:rPr>
          <w:rFonts w:ascii="Times New Roman" w:eastAsia="Times New Roman" w:hAnsi="Times New Roman" w:cs="Times New Roman"/>
          <w:b/>
          <w:color w:val="000000"/>
        </w:rPr>
      </w:pPr>
    </w:p>
    <w:p w14:paraId="756AC4AB" w14:textId="77777777" w:rsidR="00413978" w:rsidRDefault="00000000">
      <w:pPr>
        <w:tabs>
          <w:tab w:val="left" w:pos="4282"/>
        </w:tabs>
        <w:rPr>
          <w:rFonts w:ascii="Times New Roman" w:eastAsia="Times New Roman" w:hAnsi="Times New Roman" w:cs="Times New Roman"/>
          <w:color w:val="000000"/>
        </w:rPr>
      </w:pPr>
      <w:r>
        <w:rPr>
          <w:rFonts w:ascii="Times New Roman" w:eastAsia="Times New Roman" w:hAnsi="Times New Roman" w:cs="Times New Roman"/>
          <w:b/>
          <w:color w:val="000000"/>
        </w:rPr>
        <w:t>Target journal:</w:t>
      </w:r>
      <w:r>
        <w:rPr>
          <w:rFonts w:ascii="Times New Roman" w:eastAsia="Times New Roman" w:hAnsi="Times New Roman" w:cs="Times New Roman"/>
          <w:color w:val="000000"/>
        </w:rPr>
        <w:t xml:space="preserve"> </w:t>
      </w:r>
    </w:p>
    <w:p w14:paraId="54A83B41" w14:textId="57BDCF38" w:rsidR="00413978" w:rsidRDefault="00000000">
      <w:pPr>
        <w:tabs>
          <w:tab w:val="left" w:pos="4282"/>
        </w:tabs>
        <w:rPr>
          <w:rFonts w:ascii="Times New Roman" w:eastAsia="Times New Roman" w:hAnsi="Times New Roman" w:cs="Times New Roman"/>
        </w:rPr>
      </w:pPr>
      <w:commentRangeStart w:id="3"/>
      <w:r>
        <w:rPr>
          <w:rFonts w:ascii="Times New Roman" w:eastAsia="Times New Roman" w:hAnsi="Times New Roman" w:cs="Times New Roman"/>
        </w:rPr>
        <w:t>Methods in Ecology &amp; Evolution</w:t>
      </w:r>
      <w:commentRangeEnd w:id="3"/>
      <w:r>
        <w:commentReference w:id="3"/>
      </w:r>
      <w:r>
        <w:rPr>
          <w:rFonts w:ascii="Times New Roman" w:eastAsia="Times New Roman" w:hAnsi="Times New Roman" w:cs="Times New Roman"/>
        </w:rPr>
        <w:t xml:space="preserve"> - Research article (7000-8000 words)</w:t>
      </w:r>
    </w:p>
    <w:p w14:paraId="54F61CC8" w14:textId="77777777" w:rsidR="00413978" w:rsidRDefault="00413978">
      <w:pPr>
        <w:tabs>
          <w:tab w:val="left" w:pos="4282"/>
        </w:tabs>
        <w:rPr>
          <w:rFonts w:ascii="Times New Roman" w:eastAsia="Times New Roman" w:hAnsi="Times New Roman" w:cs="Times New Roman"/>
        </w:rPr>
      </w:pPr>
    </w:p>
    <w:p w14:paraId="00BAFB47" w14:textId="77777777" w:rsidR="00413978" w:rsidRDefault="00000000">
      <w:pPr>
        <w:pBdr>
          <w:top w:val="nil"/>
          <w:left w:val="nil"/>
          <w:bottom w:val="nil"/>
          <w:right w:val="nil"/>
          <w:between w:val="nil"/>
        </w:pBdr>
        <w:rPr>
          <w:rFonts w:ascii="Times New Roman" w:eastAsia="Times New Roman" w:hAnsi="Times New Roman" w:cs="Times New Roman"/>
          <w:b/>
          <w:smallCaps/>
          <w:color w:val="000000"/>
        </w:rPr>
      </w:pPr>
      <w:r>
        <w:rPr>
          <w:rFonts w:ascii="Times New Roman" w:eastAsia="Times New Roman" w:hAnsi="Times New Roman" w:cs="Times New Roman"/>
          <w:b/>
          <w:smallCaps/>
          <w:color w:val="000000"/>
        </w:rPr>
        <w:t>Competing interest statement</w:t>
      </w:r>
    </w:p>
    <w:p w14:paraId="2046855F"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We have no competing interests.</w:t>
      </w:r>
    </w:p>
    <w:p w14:paraId="4C77584A" w14:textId="77777777" w:rsidR="00413978" w:rsidRDefault="00413978">
      <w:pPr>
        <w:rPr>
          <w:rFonts w:ascii="Times New Roman" w:eastAsia="Times New Roman" w:hAnsi="Times New Roman" w:cs="Times New Roman"/>
          <w:color w:val="000000"/>
        </w:rPr>
      </w:pPr>
    </w:p>
    <w:p w14:paraId="1982FEDE"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color w:val="000000"/>
        </w:rPr>
        <w:t xml:space="preserve">This draft manuscript is distributed solely for purposes of scientific peer review. Its content is deliberative and </w:t>
      </w:r>
      <w:proofErr w:type="spellStart"/>
      <w:r>
        <w:rPr>
          <w:rFonts w:ascii="Times New Roman" w:eastAsia="Times New Roman" w:hAnsi="Times New Roman" w:cs="Times New Roman"/>
          <w:i/>
          <w:color w:val="000000"/>
        </w:rPr>
        <w:t>predecisional</w:t>
      </w:r>
      <w:proofErr w:type="spellEnd"/>
      <w:r>
        <w:rPr>
          <w:rFonts w:ascii="Times New Roman" w:eastAsia="Times New Roman" w:hAnsi="Times New Roman" w:cs="Times New Roman"/>
          <w:i/>
          <w:color w:val="000000"/>
        </w:rPr>
        <w:t>, so it must not be disclosed or released by reviewers. Because the manuscript has not yet been approved for publication by the U.S. Geological Survey (USGS), it does not represent any official USGS finding or policy.</w:t>
      </w:r>
    </w:p>
    <w:p w14:paraId="51783CB3" w14:textId="77777777" w:rsidR="00413978" w:rsidRDefault="00413978">
      <w:pPr>
        <w:rPr>
          <w:rFonts w:ascii="Times New Roman" w:eastAsia="Times New Roman" w:hAnsi="Times New Roman" w:cs="Times New Roman"/>
          <w:i/>
          <w:color w:val="000000"/>
        </w:rPr>
      </w:pPr>
    </w:p>
    <w:p w14:paraId="0CBD85C2"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i/>
        </w:rPr>
        <w:t>Any use of trade, firm, or product names is for descriptive purposes only and does not imply endorsement by the U.S. Government.</w:t>
      </w:r>
      <w:r>
        <w:br w:type="page"/>
      </w:r>
    </w:p>
    <w:p w14:paraId="5DC11813" w14:textId="77777777" w:rsidR="00413978" w:rsidRDefault="00000000">
      <w:pPr>
        <w:rPr>
          <w:rFonts w:ascii="Times New Roman" w:eastAsia="Times New Roman" w:hAnsi="Times New Roman" w:cs="Times New Roman"/>
          <w:b/>
          <w:smallCaps/>
        </w:rPr>
      </w:pPr>
      <w:commentRangeStart w:id="4"/>
      <w:r>
        <w:rPr>
          <w:rFonts w:ascii="Times New Roman" w:eastAsia="Times New Roman" w:hAnsi="Times New Roman" w:cs="Times New Roman"/>
          <w:b/>
          <w:smallCaps/>
        </w:rPr>
        <w:lastRenderedPageBreak/>
        <w:t>Abstract</w:t>
      </w:r>
      <w:commentRangeEnd w:id="4"/>
      <w:r>
        <w:commentReference w:id="4"/>
      </w:r>
      <w:r>
        <w:rPr>
          <w:rFonts w:ascii="Times New Roman" w:eastAsia="Times New Roman" w:hAnsi="Times New Roman" w:cs="Times New Roman"/>
          <w:b/>
          <w:smallCaps/>
        </w:rPr>
        <w:t xml:space="preserve"> (350 words max)</w:t>
      </w:r>
    </w:p>
    <w:p w14:paraId="53C57E5F" w14:textId="77777777" w:rsidR="00413978" w:rsidRDefault="00413978">
      <w:pPr>
        <w:shd w:val="clear" w:color="auto" w:fill="FFFFFF"/>
        <w:spacing w:after="220"/>
        <w:rPr>
          <w:rFonts w:ascii="Times New Roman" w:eastAsia="Times New Roman" w:hAnsi="Times New Roman" w:cs="Times New Roman"/>
        </w:rPr>
      </w:pPr>
    </w:p>
    <w:p w14:paraId="5A8DEAD0" w14:textId="158380A4" w:rsidR="00413978" w:rsidRDefault="00000000">
      <w:pPr>
        <w:shd w:val="clear" w:color="auto" w:fill="FFFFFF"/>
        <w:spacing w:after="220"/>
        <w:rPr>
          <w:rFonts w:ascii="Times New Roman" w:eastAsia="Times New Roman" w:hAnsi="Times New Roman" w:cs="Times New Roman"/>
        </w:rPr>
      </w:pPr>
      <w:r>
        <w:rPr>
          <w:rFonts w:ascii="Times New Roman" w:eastAsia="Times New Roman" w:hAnsi="Times New Roman" w:cs="Times New Roman"/>
        </w:rPr>
        <w:t xml:space="preserve">1: Bees and their associated interactions are declining globally, imperiling many ecosystem services they provide, such as plant pollination. Unfortunately, many bee-plant interactions are understudied, producing an incomplete picture </w:t>
      </w:r>
      <w:r w:rsidR="00725D6A">
        <w:rPr>
          <w:rFonts w:ascii="Times New Roman" w:eastAsia="Times New Roman" w:hAnsi="Times New Roman" w:cs="Times New Roman"/>
        </w:rPr>
        <w:t>system-level losses</w:t>
      </w:r>
      <w:r>
        <w:rPr>
          <w:rFonts w:ascii="Times New Roman" w:eastAsia="Times New Roman" w:hAnsi="Times New Roman" w:cs="Times New Roman"/>
        </w:rPr>
        <w:t xml:space="preserve"> as a result of bee declines. Today, we have the opportunity to learn more about bee-plant interactions via opportunistic data coalesced across historic museum records, current collections, and community science initiatives in online databases, such as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(Global Biotic Interactions). </w:t>
      </w:r>
    </w:p>
    <w:p w14:paraId="11760169" w14:textId="5D3FE536" w:rsidR="00413978" w:rsidRPr="00342C61" w:rsidRDefault="00000000">
      <w:pPr>
        <w:shd w:val="clear" w:color="auto" w:fill="FFFFFF"/>
        <w:spacing w:after="220"/>
        <w:rPr>
          <w:rFonts w:ascii="Times New Roman" w:eastAsia="Times New Roman" w:hAnsi="Times New Roman" w:cs="Times New Roman"/>
        </w:rPr>
      </w:pPr>
      <w:r>
        <w:rPr>
          <w:rFonts w:ascii="Times New Roman" w:eastAsia="Times New Roman" w:hAnsi="Times New Roman" w:cs="Times New Roman"/>
        </w:rPr>
        <w:t xml:space="preserve">2: Here, we used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curated, local checklists of bee and flowering plant species, phenology data, and a multi-species occupancy model alongside stochastic search variable selection to explore hypotheses related to bee-plant </w:t>
      </w:r>
      <w:r w:rsidRPr="00725D6A">
        <w:rPr>
          <w:rFonts w:ascii="Times New Roman" w:eastAsia="Times New Roman" w:hAnsi="Times New Roman" w:cs="Times New Roman"/>
        </w:rPr>
        <w:t>interactions and detection processes.</w:t>
      </w:r>
      <w:r>
        <w:rPr>
          <w:rFonts w:ascii="Times New Roman" w:eastAsia="Times New Roman" w:hAnsi="Times New Roman" w:cs="Times New Roman"/>
        </w:rPr>
        <w:t xml:space="preserve"> </w:t>
      </w:r>
      <w:r w:rsidR="00725D6A">
        <w:rPr>
          <w:rFonts w:ascii="Times New Roman" w:eastAsia="Times New Roman" w:hAnsi="Times New Roman" w:cs="Times New Roman"/>
        </w:rPr>
        <w:t>Accounting for some forbidden-links or unobservable interactions,</w:t>
      </w:r>
      <w:r>
        <w:rPr>
          <w:rFonts w:ascii="Times New Roman" w:eastAsia="Times New Roman" w:hAnsi="Times New Roman" w:cs="Times New Roman"/>
        </w:rPr>
        <w:t xml:space="preserve"> </w:t>
      </w:r>
      <w:r w:rsidR="00725D6A">
        <w:rPr>
          <w:rFonts w:ascii="Times New Roman" w:eastAsia="Times New Roman" w:hAnsi="Times New Roman" w:cs="Times New Roman"/>
        </w:rPr>
        <w:t>w</w:t>
      </w:r>
      <w:r>
        <w:rPr>
          <w:rFonts w:ascii="Times New Roman" w:eastAsia="Times New Roman" w:hAnsi="Times New Roman" w:cs="Times New Roman"/>
        </w:rPr>
        <w:t xml:space="preserve">e hypothesized that </w:t>
      </w:r>
      <w:r w:rsidR="00725D6A">
        <w:rPr>
          <w:rFonts w:ascii="Times New Roman" w:eastAsia="Times New Roman" w:hAnsi="Times New Roman" w:cs="Times New Roman"/>
        </w:rPr>
        <w:t>bee and floral traits would impact the number and detection of interactions.</w:t>
      </w:r>
      <w:r w:rsidR="00194A57">
        <w:rPr>
          <w:rFonts w:ascii="Times New Roman" w:eastAsia="Times New Roman" w:hAnsi="Times New Roman" w:cs="Times New Roman"/>
          <w:highlight w:val="yellow"/>
        </w:rPr>
        <w:t xml:space="preserve"> </w:t>
      </w:r>
      <w:r w:rsidR="00C86E6B" w:rsidRPr="00342C61">
        <w:rPr>
          <w:rFonts w:ascii="Times New Roman" w:eastAsia="Times New Roman" w:hAnsi="Times New Roman" w:cs="Times New Roman"/>
        </w:rPr>
        <w:t>W</w:t>
      </w:r>
      <w:r w:rsidR="00194A57" w:rsidRPr="00342C61">
        <w:rPr>
          <w:rFonts w:ascii="Times New Roman" w:eastAsia="Times New Roman" w:hAnsi="Times New Roman" w:cs="Times New Roman"/>
        </w:rPr>
        <w:t xml:space="preserve">e hypothesized that our </w:t>
      </w:r>
      <w:r w:rsidR="00C86E6B" w:rsidRPr="00342C61">
        <w:rPr>
          <w:rFonts w:ascii="Times New Roman" w:eastAsia="Times New Roman" w:hAnsi="Times New Roman" w:cs="Times New Roman"/>
        </w:rPr>
        <w:t xml:space="preserve">multi-species </w:t>
      </w:r>
      <w:r w:rsidR="00194A57" w:rsidRPr="00342C61">
        <w:rPr>
          <w:rFonts w:ascii="Times New Roman" w:eastAsia="Times New Roman" w:hAnsi="Times New Roman" w:cs="Times New Roman"/>
        </w:rPr>
        <w:t xml:space="preserve">occupancy model would increase our understanding of whole network structure relative to the raw </w:t>
      </w:r>
      <w:r w:rsidR="00725D6A" w:rsidRPr="00342C61">
        <w:rPr>
          <w:rFonts w:ascii="Times New Roman" w:eastAsia="Times New Roman" w:hAnsi="Times New Roman" w:cs="Times New Roman"/>
        </w:rPr>
        <w:t>interaction</w:t>
      </w:r>
      <w:r w:rsidR="00194A57" w:rsidRPr="00342C61">
        <w:rPr>
          <w:rFonts w:ascii="Times New Roman" w:eastAsia="Times New Roman" w:hAnsi="Times New Roman" w:cs="Times New Roman"/>
        </w:rPr>
        <w:t xml:space="preserve"> occurrences, reflecting a more </w:t>
      </w:r>
      <w:r w:rsidR="00725D6A" w:rsidRPr="00342C61">
        <w:rPr>
          <w:rFonts w:ascii="Times New Roman" w:eastAsia="Times New Roman" w:hAnsi="Times New Roman" w:cs="Times New Roman"/>
        </w:rPr>
        <w:t>realistic</w:t>
      </w:r>
      <w:r w:rsidR="00194A57" w:rsidRPr="00342C61">
        <w:rPr>
          <w:rFonts w:ascii="Times New Roman" w:eastAsia="Times New Roman" w:hAnsi="Times New Roman" w:cs="Times New Roman"/>
        </w:rPr>
        <w:t xml:space="preserve"> depiction of the </w:t>
      </w:r>
      <w:r w:rsidR="00C86E6B" w:rsidRPr="00342C61">
        <w:rPr>
          <w:rFonts w:ascii="Times New Roman" w:eastAsia="Times New Roman" w:hAnsi="Times New Roman" w:cs="Times New Roman"/>
        </w:rPr>
        <w:t>whole network.</w:t>
      </w:r>
      <w:r w:rsidR="00194A57" w:rsidRPr="00342C61">
        <w:rPr>
          <w:rFonts w:ascii="Times New Roman" w:eastAsia="Times New Roman" w:hAnsi="Times New Roman" w:cs="Times New Roman"/>
        </w:rPr>
        <w:t xml:space="preserve">  </w:t>
      </w:r>
    </w:p>
    <w:p w14:paraId="7720D66F" w14:textId="013D305D" w:rsidR="00413978" w:rsidRDefault="00000000">
      <w:pPr>
        <w:shd w:val="clear" w:color="auto" w:fill="FFFFFF"/>
        <w:spacing w:after="220"/>
        <w:rPr>
          <w:rFonts w:ascii="Times New Roman" w:eastAsia="Times New Roman" w:hAnsi="Times New Roman" w:cs="Times New Roman"/>
        </w:rPr>
      </w:pPr>
      <w:r w:rsidRPr="00342C61">
        <w:rPr>
          <w:rFonts w:ascii="Times New Roman" w:eastAsia="Times New Roman" w:hAnsi="Times New Roman" w:cs="Times New Roman"/>
        </w:rPr>
        <w:t>3: We found a strong effect of bee sociality on the probability of bee-plant interaction, where solitary bees had a lower probability of bee-plant interactions than non-solitary (i.e., social) bees. We did not find an effect of bee size, flower color, or flower shape on the probability of bee-plant interaction. We found a strong effect of source citation type</w:t>
      </w:r>
      <w:r w:rsidR="00725D6A" w:rsidRPr="00342C61">
        <w:rPr>
          <w:rFonts w:ascii="Times New Roman" w:eastAsia="Times New Roman" w:hAnsi="Times New Roman" w:cs="Times New Roman"/>
        </w:rPr>
        <w:t xml:space="preserve"> and floral traits</w:t>
      </w:r>
      <w:r w:rsidRPr="00342C61">
        <w:rPr>
          <w:rFonts w:ascii="Times New Roman" w:eastAsia="Times New Roman" w:hAnsi="Times New Roman" w:cs="Times New Roman"/>
        </w:rPr>
        <w:t xml:space="preserve"> on bee-plant detection probability, where the probability of detecting a bee-plant interaction was much higher for observational citations (e.g., </w:t>
      </w:r>
      <w:proofErr w:type="spellStart"/>
      <w:r w:rsidRPr="00342C61">
        <w:rPr>
          <w:rFonts w:ascii="Times New Roman" w:eastAsia="Times New Roman" w:hAnsi="Times New Roman" w:cs="Times New Roman"/>
        </w:rPr>
        <w:t>iNaturalist</w:t>
      </w:r>
      <w:proofErr w:type="spellEnd"/>
      <w:r w:rsidRPr="00342C61">
        <w:rPr>
          <w:rFonts w:ascii="Times New Roman" w:eastAsia="Times New Roman" w:hAnsi="Times New Roman" w:cs="Times New Roman"/>
        </w:rPr>
        <w:t>) than for collections (e.g., museums).</w:t>
      </w:r>
      <w:r w:rsidR="00725D6A" w:rsidRPr="00342C61">
        <w:rPr>
          <w:rFonts w:ascii="Times New Roman" w:eastAsia="Times New Roman" w:hAnsi="Times New Roman" w:cs="Times New Roman"/>
        </w:rPr>
        <w:t xml:space="preserve"> </w:t>
      </w:r>
      <w:r w:rsidR="00C86E6B" w:rsidRPr="00342C61">
        <w:rPr>
          <w:rFonts w:ascii="Times New Roman" w:eastAsia="Times New Roman" w:hAnsi="Times New Roman" w:cs="Times New Roman"/>
        </w:rPr>
        <w:t>Our modeled interaction network showed a higher level of</w:t>
      </w:r>
      <w:r w:rsidR="00443FE7" w:rsidRPr="00342C61">
        <w:rPr>
          <w:rFonts w:ascii="Times New Roman" w:eastAsia="Times New Roman" w:hAnsi="Times New Roman" w:cs="Times New Roman"/>
        </w:rPr>
        <w:t xml:space="preserve"> evenness,</w:t>
      </w:r>
      <w:r w:rsidR="00C86E6B" w:rsidRPr="00342C61">
        <w:rPr>
          <w:rFonts w:ascii="Times New Roman" w:eastAsia="Times New Roman" w:hAnsi="Times New Roman" w:cs="Times New Roman"/>
        </w:rPr>
        <w:t xml:space="preserve"> </w:t>
      </w:r>
      <w:proofErr w:type="spellStart"/>
      <w:r w:rsidR="00C86E6B" w:rsidRPr="00342C61">
        <w:rPr>
          <w:rFonts w:ascii="Times New Roman" w:eastAsia="Times New Roman" w:hAnsi="Times New Roman" w:cs="Times New Roman"/>
        </w:rPr>
        <w:t>nestedness</w:t>
      </w:r>
      <w:proofErr w:type="spellEnd"/>
      <w:r w:rsidR="00443FE7" w:rsidRPr="00342C61">
        <w:rPr>
          <w:rFonts w:ascii="Times New Roman" w:eastAsia="Times New Roman" w:hAnsi="Times New Roman" w:cs="Times New Roman"/>
        </w:rPr>
        <w:t>,</w:t>
      </w:r>
      <w:r w:rsidR="00C86E6B" w:rsidRPr="00342C61">
        <w:rPr>
          <w:rFonts w:ascii="Times New Roman" w:eastAsia="Times New Roman" w:hAnsi="Times New Roman" w:cs="Times New Roman"/>
        </w:rPr>
        <w:t xml:space="preserve"> and </w:t>
      </w:r>
      <w:r w:rsidR="00443FE7" w:rsidRPr="00342C61">
        <w:rPr>
          <w:rFonts w:ascii="Times New Roman" w:eastAsia="Times New Roman" w:hAnsi="Times New Roman" w:cs="Times New Roman"/>
        </w:rPr>
        <w:t xml:space="preserve">specialization relative to the interaction network of raw </w:t>
      </w:r>
      <w:proofErr w:type="spellStart"/>
      <w:r w:rsidR="00443FE7" w:rsidRPr="00342C61">
        <w:rPr>
          <w:rFonts w:ascii="Times New Roman" w:eastAsia="Times New Roman" w:hAnsi="Times New Roman" w:cs="Times New Roman"/>
        </w:rPr>
        <w:t>GloBI</w:t>
      </w:r>
      <w:proofErr w:type="spellEnd"/>
      <w:r w:rsidR="00443FE7" w:rsidRPr="00342C61">
        <w:rPr>
          <w:rFonts w:ascii="Times New Roman" w:eastAsia="Times New Roman" w:hAnsi="Times New Roman" w:cs="Times New Roman"/>
        </w:rPr>
        <w:t xml:space="preserve"> occurrences.</w:t>
      </w:r>
      <w:r w:rsidRPr="00342C61">
        <w:rPr>
          <w:rFonts w:ascii="Times New Roman" w:eastAsia="Times New Roman" w:hAnsi="Times New Roman" w:cs="Times New Roman"/>
          <w:highlight w:val="yellow"/>
        </w:rPr>
        <w:t xml:space="preserve"> </w:t>
      </w:r>
    </w:p>
    <w:p w14:paraId="41CF507E" w14:textId="1A5A2256" w:rsidR="00413978" w:rsidRDefault="00000000">
      <w:pPr>
        <w:shd w:val="clear" w:color="auto" w:fill="FFFFFF"/>
        <w:spacing w:after="220"/>
        <w:rPr>
          <w:rFonts w:ascii="Times New Roman" w:eastAsia="Times New Roman" w:hAnsi="Times New Roman" w:cs="Times New Roman"/>
        </w:rPr>
      </w:pPr>
      <w:r>
        <w:rPr>
          <w:rFonts w:ascii="Times New Roman" w:eastAsia="Times New Roman" w:hAnsi="Times New Roman" w:cs="Times New Roman"/>
        </w:rPr>
        <w:t xml:space="preserve">4: Observations of species interactions dictate our ability to both predict and protect ecosystem structure and function. Our study is the first of its kind to utilize occupancy modeling to better understand species interactions, leveraging both aggregated, </w:t>
      </w:r>
      <w:r w:rsidR="00725D6A">
        <w:rPr>
          <w:rFonts w:ascii="Times New Roman" w:eastAsia="Times New Roman" w:hAnsi="Times New Roman" w:cs="Times New Roman"/>
        </w:rPr>
        <w:t>open-source</w:t>
      </w:r>
      <w:r>
        <w:rPr>
          <w:rFonts w:ascii="Times New Roman" w:eastAsia="Times New Roman" w:hAnsi="Times New Roman" w:cs="Times New Roman"/>
        </w:rPr>
        <w:t xml:space="preserve"> databases and expert checklists. Our findings, while largely counterintuitive, stress the importance of investigating the effect of detection and collection biases on our understanding of ecological processes. </w:t>
      </w:r>
    </w:p>
    <w:p w14:paraId="14CA5D24" w14:textId="77777777" w:rsidR="00413978" w:rsidRDefault="00413978">
      <w:pPr>
        <w:rPr>
          <w:rFonts w:ascii="Times New Roman" w:eastAsia="Times New Roman" w:hAnsi="Times New Roman" w:cs="Times New Roman"/>
        </w:rPr>
      </w:pPr>
    </w:p>
    <w:p w14:paraId="3263F4BD" w14:textId="77777777" w:rsidR="00413978" w:rsidRDefault="00000000">
      <w:pPr>
        <w:rPr>
          <w:rFonts w:ascii="Times New Roman" w:eastAsia="Times New Roman" w:hAnsi="Times New Roman" w:cs="Times New Roman"/>
        </w:rPr>
      </w:pPr>
      <w:r>
        <w:rPr>
          <w:rFonts w:ascii="Times New Roman" w:eastAsia="Times New Roman" w:hAnsi="Times New Roman" w:cs="Times New Roman"/>
          <w:b/>
        </w:rPr>
        <w:t xml:space="preserve">Keywords: </w:t>
      </w:r>
      <w:r>
        <w:rPr>
          <w:rFonts w:ascii="Times New Roman" w:eastAsia="Times New Roman" w:hAnsi="Times New Roman" w:cs="Times New Roman"/>
        </w:rPr>
        <w:t>imperfect detection, occupancy modeling, community science, opportunistic data, presence-only, bee-plant interactions, pollinators, stochastic search variable selection</w:t>
      </w:r>
      <w:r>
        <w:br w:type="page"/>
      </w:r>
    </w:p>
    <w:p w14:paraId="3FB0B527" w14:textId="77777777" w:rsidR="00413978" w:rsidRDefault="00000000">
      <w:pPr>
        <w:rPr>
          <w:rFonts w:ascii="Times New Roman" w:eastAsia="Times New Roman" w:hAnsi="Times New Roman" w:cs="Times New Roman"/>
        </w:rPr>
      </w:pPr>
      <w:r>
        <w:rPr>
          <w:rFonts w:ascii="Times New Roman" w:eastAsia="Times New Roman" w:hAnsi="Times New Roman" w:cs="Times New Roman"/>
          <w:b/>
          <w:smallCaps/>
        </w:rPr>
        <w:lastRenderedPageBreak/>
        <w:t>Introduction</w:t>
      </w:r>
    </w:p>
    <w:p w14:paraId="79225F5F" w14:textId="77777777" w:rsidR="00413978" w:rsidRDefault="00413978">
      <w:pPr>
        <w:rPr>
          <w:rFonts w:ascii="Times New Roman" w:eastAsia="Times New Roman" w:hAnsi="Times New Roman" w:cs="Times New Roman"/>
        </w:rPr>
      </w:pPr>
    </w:p>
    <w:p w14:paraId="36B1C748" w14:textId="5C32C19C"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Declines in the abundance and diversity of bee species have been reported globally and regionally </w:t>
      </w:r>
      <w:r w:rsidR="00342C61">
        <w:rPr>
          <w:rFonts w:ascii="Times New Roman" w:eastAsia="Times New Roman" w:hAnsi="Times New Roman" w:cs="Times New Roman"/>
        </w:rPr>
        <w:fldChar w:fldCharType="begin"/>
      </w:r>
      <w:r w:rsidR="00342C61">
        <w:rPr>
          <w:rFonts w:ascii="Times New Roman" w:eastAsia="Times New Roman" w:hAnsi="Times New Roman" w:cs="Times New Roman"/>
        </w:rPr>
        <w:instrText xml:space="preserve"> ADDIN ZOTERO_ITEM CSL_CITATION {"citationID":"dKG2C5Gm","properties":{"formattedCitation":"(Potts et al., 2010; Zattara &amp; Aizen, 2021)","plainCitation":"(Potts et al., 2010; Zattara &amp; Aizen, 2021)","noteIndex":0},"citationItems":[{"id":1496,"uris":["http://zotero.org/groups/4699449/items/BYUFXRAJ"],"itemData":{"id":1496,"type":"article-journal","abstract":"Pollinators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E."}],"issued":{"date-parts":[["2010",6,1]]}}},{"id":1034,"uris":["http://zotero.org/groups/4699449/items/5UI4LWLR"],"itemData":{"id":1034,"type":"article-journal","abstract":"Wild and managed bees are key pollinators, ensuring or enhancing the reproduction of a large fraction of the world's wild flowering plants and the yield of </w:instrText>
      </w:r>
      <w:r w:rsidR="00342C61">
        <w:rPr>
          <w:rFonts w:ascii="Cambria Math" w:eastAsia="Times New Roman" w:hAnsi="Cambria Math" w:cs="Cambria Math"/>
        </w:rPr>
        <w:instrText>∼</w:instrText>
      </w:r>
      <w:r w:rsidR="00342C61">
        <w:rPr>
          <w:rFonts w:ascii="Times New Roman" w:eastAsia="Times New Roman" w:hAnsi="Times New Roman" w:cs="Times New Roman"/>
        </w:rPr>
        <w:instrText xml:space="preserve">85% of all cultivated crops. Recent reports of wild bee decline and its potential consequences are thus worrisome. However, evidence is mostly based on local or regional studies; the global status of bee decline has not been assessed yet. To fill this gap, we analyzed publicly available worldwide occurrence records from the Global Biodiversity Information Facility spanning over a century. We found that after the 1990s, the number of collected bee species declines steeply such that approximately 25% fewer species were reported between 2006 and 2015 than before the 1990s. Although these trends must be interpreted cautiously given the heterogeneous nature of the dataset and potential biases in data collection and reporting, results suggest the need for swift actions to avoid further pollinator decline.","container-title":"One Earth","DOI":"10.1016/j.oneear.2020.12.005","ISSN":"2590-3322","issue":"1","journalAbbreviation":"One Earth","language":"en","page":"114-123","source":"ScienceDirect","title":"Worldwide occurrence records suggest a global decline in bee species richness","volume":"4","author":[{"family":"Zattara","given":"Eduardo E."},{"family":"Aizen","given":"Marcelo A."}],"issued":{"date-parts":[["2021",1,22]]}}}],"schema":"https://github.com/citation-style-language/schema/raw/master/csl-citation.json"} </w:instrText>
      </w:r>
      <w:r w:rsidR="00342C61">
        <w:rPr>
          <w:rFonts w:ascii="Times New Roman" w:eastAsia="Times New Roman" w:hAnsi="Times New Roman" w:cs="Times New Roman"/>
        </w:rPr>
        <w:fldChar w:fldCharType="separate"/>
      </w:r>
      <w:r w:rsidR="00342C61">
        <w:rPr>
          <w:rFonts w:ascii="Times New Roman" w:eastAsia="Times New Roman" w:hAnsi="Times New Roman" w:cs="Times New Roman"/>
          <w:noProof/>
        </w:rPr>
        <w:t>(Potts et al., 2010; Zattara &amp; Aizen, 2021)</w:t>
      </w:r>
      <w:r w:rsidR="00342C61">
        <w:rPr>
          <w:rFonts w:ascii="Times New Roman" w:eastAsia="Times New Roman" w:hAnsi="Times New Roman" w:cs="Times New Roman"/>
        </w:rPr>
        <w:fldChar w:fldCharType="end"/>
      </w:r>
      <w:r w:rsidR="00342C61">
        <w:rPr>
          <w:rFonts w:ascii="Times New Roman" w:eastAsia="Times New Roman" w:hAnsi="Times New Roman" w:cs="Times New Roman"/>
        </w:rPr>
        <w:t xml:space="preserve">; </w:t>
      </w:r>
      <w:r>
        <w:rPr>
          <w:rFonts w:ascii="Times New Roman" w:eastAsia="Times New Roman" w:hAnsi="Times New Roman" w:cs="Times New Roman"/>
        </w:rPr>
        <w:t xml:space="preserve">however, the mechanisms of bee declines and their biological interactions with other species (e.g., plants) are poorly understood or largely unknown, making the community and ecosystem-level consequences of such declines unknown </w:t>
      </w:r>
      <w:r w:rsidR="00342C61">
        <w:rPr>
          <w:rFonts w:ascii="Times New Roman" w:eastAsia="Times New Roman" w:hAnsi="Times New Roman" w:cs="Times New Roman"/>
        </w:rPr>
        <w:fldChar w:fldCharType="begin"/>
      </w:r>
      <w:r w:rsidR="00342C61">
        <w:rPr>
          <w:rFonts w:ascii="Times New Roman" w:eastAsia="Times New Roman" w:hAnsi="Times New Roman" w:cs="Times New Roman"/>
        </w:rPr>
        <w:instrText xml:space="preserve"> ADDIN ZOTERO_ITEM CSL_CITATION {"citationID":"xDccRThy","properties":{"formattedCitation":"(Ramos-Jiliberto et al., 2020)","plainCitation":"(Ramos-Jiliberto et al., 2020)","noteIndex":0},"citationItems":[{"id":1018,"uris":["http://zotero.org/groups/4699449/items/D5FKBRAC"],"itemData":{"id":1018,"type":"article-journal","abstract":"Population declines of pollinators constitute a major concern for the fate of biodiversity and associated ecosystem services in a context of global change. Massive declines of pollinator populations driven by habitat loss, pollution, and climate change have been reported, whose consequences at community and ecosystem levels remain elusive. We conducted a mathematical modeling and computer simulation study to assess the dynamic consequences of pollinator declines for the biodiversity of plants and pollinators. Specifically, we evaluated the effects of increased mortality and decreased carrying capacity of specialist vs. generalist and effective vs. ineffective pollinators visiting specialist vs. generalist plants on long-term community biomass and species persistence. Our results reveal that increased larval mortality and increased competition for space among larvae had the greatest impacts on the decline of pollinator diversity. In contrast, the largest sustained decreases in pollinator biomass were driven by increased adult mortality in spite of a small increase in pollinator species persistence. Decreased pollinator diversity led in turn to decreased plant diversity. Attacking pollinators with high degree and connected mostly to low-degree plants produced the greatest losses of plant diversity. Pollinator effectiveness had no noticeable effect on persistence. Our results illuminate our understanding of the consequences of pollinator declines for the maintenance of biodiversity.","container-title":"Ecosphere","DOI":"10.1002/ecs2.3069","ISSN":"2150-8925","issue":"4","language":"en","note":"_eprint: https://onlinelibrary.wiley.com/doi/pdf/10.1002/ecs2.3069","page":"e03069","source":"Wiley Online Library","title":"Pollinator declines and the stability of plant–pollinator networks","volume":"11","author":[{"family":"Ramos-Jiliberto","given":"Rodrigo"},{"family":"Moisset de Espanés","given":"Pablo"},{"family":"Vázquez","given":"Diego P."}],"issued":{"date-parts":[["2020"]]}}}],"schema":"https://github.com/citation-style-language/schema/raw/master/csl-citation.json"} </w:instrText>
      </w:r>
      <w:r w:rsidR="00342C61">
        <w:rPr>
          <w:rFonts w:ascii="Times New Roman" w:eastAsia="Times New Roman" w:hAnsi="Times New Roman" w:cs="Times New Roman"/>
        </w:rPr>
        <w:fldChar w:fldCharType="separate"/>
      </w:r>
      <w:r w:rsidR="00342C61">
        <w:rPr>
          <w:rFonts w:ascii="Times New Roman" w:eastAsia="Times New Roman" w:hAnsi="Times New Roman" w:cs="Times New Roman"/>
          <w:noProof/>
        </w:rPr>
        <w:t>(Ramos-Jiliberto et al., 2020)</w:t>
      </w:r>
      <w:r w:rsidR="00342C61">
        <w:rPr>
          <w:rFonts w:ascii="Times New Roman" w:eastAsia="Times New Roman" w:hAnsi="Times New Roman" w:cs="Times New Roman"/>
        </w:rPr>
        <w:fldChar w:fldCharType="end"/>
      </w:r>
      <w:r>
        <w:rPr>
          <w:rFonts w:ascii="Times New Roman" w:eastAsia="Times New Roman" w:hAnsi="Times New Roman" w:cs="Times New Roman"/>
        </w:rPr>
        <w:t>. Currently, our ability to evaluate the decline of the 20,000 bee species worldwide and thus their interactions relies heavily on opportunistic occurrence data found in historic museum record databases, current collections and community science initiatives</w:t>
      </w:r>
      <w:r w:rsidR="00342C61">
        <w:rPr>
          <w:rFonts w:ascii="Times New Roman" w:eastAsia="Times New Roman" w:hAnsi="Times New Roman" w:cs="Times New Roman"/>
        </w:rPr>
        <w:t xml:space="preserve"> </w:t>
      </w:r>
      <w:r w:rsidR="00342C61">
        <w:rPr>
          <w:rFonts w:ascii="Times New Roman" w:eastAsia="Times New Roman" w:hAnsi="Times New Roman" w:cs="Times New Roman"/>
        </w:rPr>
        <w:fldChar w:fldCharType="begin"/>
      </w:r>
      <w:r w:rsidR="00342C61">
        <w:rPr>
          <w:rFonts w:ascii="Times New Roman" w:eastAsia="Times New Roman" w:hAnsi="Times New Roman" w:cs="Times New Roman"/>
        </w:rPr>
        <w:instrText xml:space="preserve"> ADDIN ZOTERO_ITEM CSL_CITATION {"citationID":"fhJ9RZJt","properties":{"formattedCitation":"(Soroye et al., 2020)","plainCitation":"(Soroye et al., 2020)","noteIndex":0},"citationItems":[{"id":1009,"uris":["http://zotero.org/groups/4699449/items/4KLCC7JV"],"itemData":{"id":1009,"type":"article-journal","abstract":"Increasing temperatures and declines\n            \n              One aspect of climate change is an increasing number of days with extreme heat. Soroye\n              et al.\n              analyzed a large dataset of bumble bee occurrences across North America and Europe and found that an increasing frequency of unusually hot days is increasing local extinction rates, reducing colonization and site occupancy, and decreasing species richness within a region, independent of land-use change or condition (see the Perspective by Bridle and van Rensburg). As average temperatures continue to rise, bumble bees may be faced with an untenable increase in frequency of extreme temperatures.\n            \n            \n              Science\n              , this issue p.\n              685\n              ; see also p.\n              626\n            \n          , \n            An increasing frequency of hot days results in bumble bee decline.\n          , \n            Climate change could increase species’ extinction risk as temperatures and precipitation begin to exceed species’ historically observed tolerances. Using long-term data for 66 bumble bee species across North America and Europe, we tested whether this mechanism altered likelihoods of bumble bee species’ extinction or colonization. Increasing frequency of hotter temperatures predicts species’ local extinction risk, chances of colonizing a new area, and changing species richness. Effects are independent of changing land uses. The method developed in this study permits spatially explicit predictions of climate change–related population extinction-colonization dynamics within species that explains observed patterns of geographical range loss and expansion across continents. Increasing frequencies of temperatures that exceed historically observed tolerances help explain widespread bumble bee species decline. This mechanism may also contribute to biodiversity loss more generally.","container-title":"Science","DOI":"10.1126/science.aax8591","ISSN":"0036-8075, 1095-9203","issue":"6478","journalAbbreviation":"Science","language":"en","page":"685-688","source":"DOI.org (Crossref)","title":"Climate change contributes to widespread declines among bumble bees across continents","volume":"367","author":[{"family":"Soroye","given":"Peter"},{"family":"Newbold","given":"Tim"},{"family":"Kerr","given":"Jeremy"}],"issued":{"date-parts":[["2020",2,7]]}}}],"schema":"https://github.com/citation-style-language/schema/raw/master/csl-citation.json"} </w:instrText>
      </w:r>
      <w:r w:rsidR="00342C61">
        <w:rPr>
          <w:rFonts w:ascii="Times New Roman" w:eastAsia="Times New Roman" w:hAnsi="Times New Roman" w:cs="Times New Roman"/>
        </w:rPr>
        <w:fldChar w:fldCharType="separate"/>
      </w:r>
      <w:r w:rsidR="00342C61">
        <w:rPr>
          <w:rFonts w:ascii="Times New Roman" w:eastAsia="Times New Roman" w:hAnsi="Times New Roman" w:cs="Times New Roman"/>
          <w:noProof/>
        </w:rPr>
        <w:t>(Soroye et al., 2020)</w:t>
      </w:r>
      <w:r w:rsidR="00342C61">
        <w:rPr>
          <w:rFonts w:ascii="Times New Roman" w:eastAsia="Times New Roman" w:hAnsi="Times New Roman" w:cs="Times New Roman"/>
        </w:rPr>
        <w:fldChar w:fldCharType="end"/>
      </w:r>
      <w:r>
        <w:rPr>
          <w:rFonts w:ascii="Times New Roman" w:eastAsia="Times New Roman" w:hAnsi="Times New Roman" w:cs="Times New Roman"/>
        </w:rPr>
        <w:t xml:space="preserve">, which are often influenced by observer and sampling biases. </w:t>
      </w:r>
    </w:p>
    <w:p w14:paraId="5D36F417" w14:textId="77777777" w:rsidR="00413978" w:rsidRDefault="00413978">
      <w:pPr>
        <w:rPr>
          <w:rFonts w:ascii="Times New Roman" w:eastAsia="Times New Roman" w:hAnsi="Times New Roman" w:cs="Times New Roman"/>
        </w:rPr>
      </w:pPr>
    </w:p>
    <w:p w14:paraId="203EF584" w14:textId="12DC337E"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Over two billion records that document the global occurrence of organisms are available for research on platforms such as GBIF, </w:t>
      </w:r>
      <w:proofErr w:type="spellStart"/>
      <w:r>
        <w:rPr>
          <w:rFonts w:ascii="Times New Roman" w:eastAsia="Times New Roman" w:hAnsi="Times New Roman" w:cs="Times New Roman"/>
        </w:rPr>
        <w:t>iDigBio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 xml:space="preserve">, eBird, </w:t>
      </w:r>
      <w:commentRangeStart w:id="5"/>
      <w:r>
        <w:rPr>
          <w:rFonts w:ascii="Times New Roman" w:eastAsia="Times New Roman" w:hAnsi="Times New Roman" w:cs="Times New Roman"/>
        </w:rPr>
        <w:t>Dryad</w:t>
      </w:r>
      <w:commentRangeEnd w:id="5"/>
      <w:r>
        <w:commentReference w:id="5"/>
      </w:r>
      <w:r>
        <w:rPr>
          <w:rFonts w:ascii="Times New Roman" w:eastAsia="Times New Roman" w:hAnsi="Times New Roman" w:cs="Times New Roman"/>
        </w:rPr>
        <w:t xml:space="preserv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etc. These records span across all taxonomic kingdoms, and the majority of these records are obtained from singleton human observation in nature, community science initiatives, atlas data, and the digitization of historic museum records. The availability of this type of data is only increasing with the expansive use of camera traps and environmental DNA, adding new evidence of species occurrences of a species at a particular place and time in these databases worldwide </w:t>
      </w:r>
      <w:r w:rsidR="00342C61">
        <w:rPr>
          <w:rFonts w:ascii="Times New Roman" w:eastAsia="Times New Roman" w:hAnsi="Times New Roman" w:cs="Times New Roman"/>
        </w:rPr>
        <w:fldChar w:fldCharType="begin"/>
      </w:r>
      <w:r w:rsidR="00342C61">
        <w:rPr>
          <w:rFonts w:ascii="Times New Roman" w:eastAsia="Times New Roman" w:hAnsi="Times New Roman" w:cs="Times New Roman"/>
        </w:rPr>
        <w:instrText xml:space="preserve"> ADDIN ZOTERO_ITEM CSL_CITATION {"citationID":"hvD8mXMQ","properties":{"formattedCitation":"(Heberling et al., 2021)","plainCitation":"(Heberling et al., 2021)","noteIndex":0},"citationItems":[{"id":1588,"uris":["http://zotero.org/groups/4699449/items/DNS877S5"],"itemData":{"id":1588,"type":"article-journal","abstract":"The accessibility of global biodiversity information has surged in the past two decades, notably through widespread funding initiatives for museum specimen digitization and emergence of large-scale public participation in community science. Effective use of these data requires the integration of disconnected datasets, but the scientific impacts of consolidated biodiversity data networks have not yet been quantified. To determine whether data integration enables novel research, we carried out a quantitative text analysis and bibliographic synthesis of &gt;4,000 studies published from 2003 to 2019 that use data mediated by the world’s largest biodiversity data network, the Global Biodiversity Information Facility (GBIF). Data available through GBIF increased 12-fold since 2007, a trend matched by global data use with roughly two publications using GBIF-mediated data per day in 2019. Data-use patterns were diverse by authorship, geographic extent, taxonomic group, and dataset type. Despite facilitating global authorship, legacies of colonial science remain. Studies involving species distribution modeling were most prevalent (31% of literature surveyed) but recently shifted in focus from theory to application. Topic prevalence was stable across the 17-y period for some research areas (e.g., macroecology), yet other topics proportionately declined (e.g., taxonomy) or increased (e.g., species interactions, disease). Although centered on biological subfields, GBIF-enabled research extends surprisingly across all major scientific disciplines. Biodiversity data mobilization through global data aggregation has enabled basic and applied research use at temporal, spatial, and taxonomic scales otherwise not possible, launching biodiversity sciences into a new era.","container-title":"Proceedings of the National Academy of Sciences","DOI":"10.1073/pnas.2018093118","issue":"6","note":"publisher: Proceedings of the National Academy of Sciences","page":"e2018093118","source":"pnas.org (Atypon)","title":"Data integration enables global biodiversity synthesis","volume":"118","author":[{"family":"Heberling","given":"J. Mason"},{"family":"Miller","given":"Joseph T."},{"family":"Noesgaard","given":"Daniel"},{"family":"Weingart","given":"Scott B."},{"family":"Schigel","given":"Dmitry"}],"issued":{"date-parts":[["2021",2,9]]}}}],"schema":"https://github.com/citation-style-language/schema/raw/master/csl-citation.json"} </w:instrText>
      </w:r>
      <w:r w:rsidR="00342C61">
        <w:rPr>
          <w:rFonts w:ascii="Times New Roman" w:eastAsia="Times New Roman" w:hAnsi="Times New Roman" w:cs="Times New Roman"/>
        </w:rPr>
        <w:fldChar w:fldCharType="separate"/>
      </w:r>
      <w:r w:rsidR="00342C61">
        <w:rPr>
          <w:rFonts w:ascii="Times New Roman" w:eastAsia="Times New Roman" w:hAnsi="Times New Roman" w:cs="Times New Roman"/>
          <w:noProof/>
        </w:rPr>
        <w:t>(Heberling et al., 2021)</w:t>
      </w:r>
      <w:r w:rsidR="00342C61">
        <w:rPr>
          <w:rFonts w:ascii="Times New Roman" w:eastAsia="Times New Roman" w:hAnsi="Times New Roman" w:cs="Times New Roman"/>
        </w:rPr>
        <w:fldChar w:fldCharType="end"/>
      </w:r>
      <w:r>
        <w:rPr>
          <w:rFonts w:ascii="Times New Roman" w:eastAsia="Times New Roman" w:hAnsi="Times New Roman" w:cs="Times New Roman"/>
        </w:rPr>
        <w:t xml:space="preserve">. Typically, the data entered into these online databases do not conform to any particular study or design, making them a type of “opportunistic” data. When using opportunistic data, there are several types of biases to be aware of, which include but not limited to: (1) taxonomic bias (e.g., particular species may be sampled more frequently than others because more is known about them or inference is desired on that species), (2) detection bias (e.g., species detectability changes over time and space as a result of observers or number of surveys), (3) spatial bias (e.g., particular locations are more easily visited), and (4) temporal bias (e.g., certain periods of time [either time of day or seasons] may be easier for samples to be collected). Although there are these caveats, several studies have successfully used opportunistic data to examine species distributions across space and time </w:t>
      </w:r>
      <w:r w:rsidR="00342C61">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{"citationID":"tX9vn5FX","properties":{"formattedCitation":"(K\\uc0\\u233{}ry et al., 2010)","plainCitation":"(Kéry et al., 2010)","dontUpdate":true,"noteIndex":0},"citationItems":[{"id":1008,"uris":["http://zotero.org/groups/4699449/items/AWUK87PA"],"itemData":{"id":1008,"type":"article-journal","abstract":"Species’ assessments must frequently be derived from opportunistic observations made by volunteers (i.e., citizen scientists). Interpretation of the resulting data to estimate population trends is plagued with problems, including teasing apart genuine population trends from variations in observation effort. We devised a way to correct for annual variation in effort when estimating trends in occupancy (species distribution) from faunal or floral databases of opportunistic observations. First, for all surveyed sites, detection histories (i.e., strings of detection–nondetection records) are generated. Within-season replicate surveys provide information on the detectability of an occupied site. Detectability directly represents observation effort; hence, estimating detectablity means correcting for observation effort. Second, site-occupancy models are applied directly to the detection-history data set (i.e., without aggregation by site and year) to estimate detectability and species distribution (occupancy, i.e., the true proportion of sites where a species occurs). Site-occupancy models also provide unbiased estimators of components of distributional change (i.e., colonization and extinction rates). We illustrate our method with data from a large citizen-science project in Switzerland in which field ornithologists record opportunistic observations. We analyzed data collected on four species: the widespread Kingfisher ( Alcedo atthis) and Sparrowhawk ( Accipiter nisus) and the scarce Rock Thrush ( Monticola saxatilis) and Wallcreeper ( Tichodroma muraria). Our method requires that all observed species are recorded. Detectability was &lt;1 and varied over the years. Simulations suggested some robustness, but we advocate recording complete species lists (checklists), rather than recording individual records of single species. The representation of observation effort with its effect on detectability provides a solution to the problem of differences in effort encountered when extracting trend information from haphazard observations. We expect our method is widely applicable for global biodiversity monitoring and modeling of species distributions.","container-title":"Conservation Biology","DOI":"10.1111/j.1523-1739.2010.01479.x","ISSN":"08888892","issue":"5","language":"en","page":"1388-1397","source":"DOI.org (Crossref)","title":"Site-Occupancy Distribution Modeling to Correct Population-Trend Estimates Derived from Opportunistic Observations: Distribution Trends from Opportunistic Observations","title-short":"Site-Occupancy Distribution Modeling to Correct Population-Trend Estimates Derived from Opportunistic Observations","volume":"24","author":[{"family":"Kéry","given":"Marc"},{"family":"Royle","given":"J. Andrew"},{"family":"Schmid","given":"Hans"},{"family":"Schaub","given":"Michael"},{"family":"Volet","given":"Bernard"},{"family":"Häfliger","given":"Guido"},{"family":"Zbinden","given":"Niklaus"}],"issued":{"date-parts":[["2010",3,10]]}}}],"schema":"https://github.com/citation-style-language/schema/raw/master/csl-citation.json"} </w:instrText>
      </w:r>
      <w:r w:rsidR="00342C61">
        <w:rPr>
          <w:rFonts w:ascii="Times New Roman" w:eastAsia="Times New Roman" w:hAnsi="Times New Roman" w:cs="Times New Roman"/>
        </w:rPr>
        <w:fldChar w:fldCharType="separate"/>
      </w:r>
      <w:r w:rsidR="00342C61" w:rsidRPr="00342C61">
        <w:rPr>
          <w:rFonts w:ascii="Times New Roman" w:hAnsi="Times New Roman" w:cs="Times New Roman"/>
        </w:rPr>
        <w:t>(</w:t>
      </w:r>
      <w:r w:rsidR="00342C61">
        <w:rPr>
          <w:rFonts w:ascii="Times New Roman" w:hAnsi="Times New Roman" w:cs="Times New Roman"/>
        </w:rPr>
        <w:t xml:space="preserve">e.g., </w:t>
      </w:r>
      <w:proofErr w:type="spellStart"/>
      <w:r w:rsidR="00342C61" w:rsidRPr="00342C61">
        <w:rPr>
          <w:rFonts w:ascii="Times New Roman" w:hAnsi="Times New Roman" w:cs="Times New Roman"/>
        </w:rPr>
        <w:t>Kéry</w:t>
      </w:r>
      <w:proofErr w:type="spellEnd"/>
      <w:r w:rsidR="00342C61" w:rsidRPr="00342C61">
        <w:rPr>
          <w:rFonts w:ascii="Times New Roman" w:hAnsi="Times New Roman" w:cs="Times New Roman"/>
        </w:rPr>
        <w:t xml:space="preserve"> et al., 2010)</w:t>
      </w:r>
      <w:r w:rsidR="00342C61">
        <w:rPr>
          <w:rFonts w:ascii="Times New Roman" w:eastAsia="Times New Roman" w:hAnsi="Times New Roman" w:cs="Times New Roman"/>
        </w:rPr>
        <w:fldChar w:fldCharType="end"/>
      </w:r>
      <w:r>
        <w:rPr>
          <w:rFonts w:ascii="Times New Roman" w:eastAsia="Times New Roman" w:hAnsi="Times New Roman" w:cs="Times New Roman"/>
        </w:rPr>
        <w:t xml:space="preserve">, including population declines </w:t>
      </w:r>
      <w:r w:rsidR="00342C61">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{"citationID":"sq2Gy7I0","properties":{"formattedCitation":"(Guzman et al., 2021)","plainCitation":"(Guzman et al., 2021)","dontUpdate":true,"noteIndex":0},"citationItems":[{"id":1011,"uris":["http://zotero.org/groups/4699449/items/JPWVKQQ5"],"itemData":{"id":1011,"type":"article-journal","abstract":"Bumble bees are globally important pollinators, especially in temperate regions, and evidence suggests that many species are declining. One recent high profile study by Soroye et al. (2020) applied occupancy models to dated historical collection data to quantify declines across North America and Europe. The authors modelled 66 species across a set of sites spanning both North America and Europe, rather than confining species to sites where they might be expected to occur. In addition, they inferred non-detections for time intervals where there is no evi­ dence that the site was visited (by forcing every site to have exactly 3 visits in each era). We use simulated data to (i) investigate the validity of methods used in that study and (ii) test whether a multi-species framework that incorporates species’ ranges and site visitation histories produces better estimates. We show that the method used by Soroye et al. (2020) yields biased estimates of declines, whereas our framework does not. We use such a model to provide revised and appreciably lower estimates for bumble bee community declines, with speciesspecific trends more closely matching classifications from IUCN. The species level trends we provide can help inform future species-at-risk assessments. Well-parameterized occupancy models may be a powerful tool for assessing species-wide trends using curated historical collection data.","container-title":"Biological Conservation","DOI":"10.1016/j.biocon.2021.109141","ISSN":"00063207","journalAbbreviation":"Biological Conservation","language":"en","page":"109141","source":"DOI.org (Crossref)","title":"Using historical data to estimate bumble bee occurrence: Variable trends across species provide little support for community-level declines","title-short":"Using historical data to estimate bumble bee occurrence","volume":"257","author":[{"family":"Guzman","given":"Laura Melissa"},{"family":"Johnson","given":"Sarah A."},{"family":"Mooers","given":"Arne O."},{"family":"M'Gonigle","given":"Leithen K."}],"issued":{"date-parts":[["2021",5]]}}}],"schema":"https://github.com/citation-style-language/schema/raw/master/csl-citation.json"} </w:instrText>
      </w:r>
      <w:r w:rsidR="00342C61">
        <w:rPr>
          <w:rFonts w:ascii="Times New Roman" w:eastAsia="Times New Roman" w:hAnsi="Times New Roman" w:cs="Times New Roman"/>
        </w:rPr>
        <w:fldChar w:fldCharType="separate"/>
      </w:r>
      <w:r w:rsidR="00342C61">
        <w:rPr>
          <w:rFonts w:ascii="Times New Roman" w:eastAsia="Times New Roman" w:hAnsi="Times New Roman" w:cs="Times New Roman"/>
          <w:noProof/>
        </w:rPr>
        <w:t>(e.g., Guzman et al., 2021)</w:t>
      </w:r>
      <w:r w:rsidR="00342C61">
        <w:rPr>
          <w:rFonts w:ascii="Times New Roman" w:eastAsia="Times New Roman" w:hAnsi="Times New Roman" w:cs="Times New Roman"/>
        </w:rPr>
        <w:fldChar w:fldCharType="end"/>
      </w:r>
      <w:r>
        <w:rPr>
          <w:rFonts w:ascii="Times New Roman" w:eastAsia="Times New Roman" w:hAnsi="Times New Roman" w:cs="Times New Roman"/>
        </w:rPr>
        <w:t xml:space="preserve"> as well as range shifts and contractions </w:t>
      </w:r>
      <w:r w:rsidR="00342C61">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{"citationID":"ObwArDgt","properties":{"formattedCitation":"(Tingley &amp; Beissinger, 2009)","plainCitation":"(Tingley &amp; Beissinger, 2009)","dontUpdate":true,"noteIndex":0},"citationItems":[{"id":1012,"uris":["http://zotero.org/groups/4699449/items/4FMEJQD8"],"itemData":{"id":1012,"type":"article-journal","container-title":"Trends in Ecology &amp; Evolution","DOI":"10.1016/j.tree.2009.05.009","ISSN":"01695347","issue":"11","journalAbbreviation":"Trends in Ecology &amp; Evolution","language":"en","page":"625-633","source":"DOI.org (Crossref)","title":"Detecting range shifts from historical species occurrences: new perspectives on old data","title-short":"Detecting range shifts from historical species occurrences","volume":"24","author":[{"family":"Tingley","given":"Morgan W."},{"family":"Beissinger","given":"Steven R."}],"issued":{"date-parts":[["2009",11]]}}}],"schema":"https://github.com/citation-style-language/schema/raw/master/csl-citation.json"} </w:instrText>
      </w:r>
      <w:r w:rsidR="00342C61">
        <w:rPr>
          <w:rFonts w:ascii="Times New Roman" w:eastAsia="Times New Roman" w:hAnsi="Times New Roman" w:cs="Times New Roman"/>
        </w:rPr>
        <w:fldChar w:fldCharType="separate"/>
      </w:r>
      <w:r w:rsidR="00342C61">
        <w:rPr>
          <w:rFonts w:ascii="Times New Roman" w:eastAsia="Times New Roman" w:hAnsi="Times New Roman" w:cs="Times New Roman"/>
          <w:noProof/>
        </w:rPr>
        <w:t>(e.g., Tingley &amp; Beissinger, 2009)</w:t>
      </w:r>
      <w:r w:rsidR="00342C61">
        <w:rPr>
          <w:rFonts w:ascii="Times New Roman" w:eastAsia="Times New Roman" w:hAnsi="Times New Roman" w:cs="Times New Roman"/>
        </w:rPr>
        <w:fldChar w:fldCharType="end"/>
      </w:r>
      <w:r>
        <w:rPr>
          <w:rFonts w:ascii="Times New Roman" w:eastAsia="Times New Roman" w:hAnsi="Times New Roman" w:cs="Times New Roman"/>
        </w:rPr>
        <w:t xml:space="preserve">. Although these studies have served to better understand the impacts of climatic changes and species loss worldwide, we still lack vital ecological understanding of species interactions and the utility of these databases to explore those lines of inquiry. </w:t>
      </w:r>
    </w:p>
    <w:p w14:paraId="2A5D96A8" w14:textId="77777777" w:rsidR="00413978" w:rsidRDefault="00413978">
      <w:pPr>
        <w:rPr>
          <w:rFonts w:ascii="Times New Roman" w:eastAsia="Times New Roman" w:hAnsi="Times New Roman" w:cs="Times New Roman"/>
        </w:rPr>
      </w:pPr>
    </w:p>
    <w:p w14:paraId="63696C5E" w14:textId="5564496D" w:rsidR="00413978" w:rsidRDefault="00000000">
      <w:pPr>
        <w:rPr>
          <w:rFonts w:ascii="Times New Roman" w:eastAsia="Times New Roman" w:hAnsi="Times New Roman" w:cs="Times New Roman"/>
        </w:rPr>
      </w:pPr>
      <w:r>
        <w:rPr>
          <w:rFonts w:ascii="Times New Roman" w:eastAsia="Times New Roman" w:hAnsi="Times New Roman" w:cs="Times New Roman"/>
        </w:rPr>
        <w:t>Global Biotic Interactions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is an online integrated information system for indexing and sharing structured species-interaction data </w:t>
      </w:r>
      <w:r w:rsidR="00342C61">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{"citationID":"CUN9OQZs","properties":{"formattedCitation":"(Poelen et al., 2014)","plainCitation":"(Poelen et al., 2014)","noteIndex":0},"citationItems":[{"id":1013,"uris":["http://zotero.org/groups/4699449/items/PGGV4ZME"],"itemData":{"id":1013,"type":"article-journal","container-title":"Ecological Informatics","DOI":"10.1016/j.ecoinf.2014.08.005","ISSN":"15749541","journalAbbreviation":"Ecological Informatics","language":"en","page":"148-159","source":"DOI.org (Crossref)","title":"Global biotic interactions: An open infrastructure to share and analyze species-interaction datasets","title-short":"Global biotic interactions","volume":"24","author":[{"family":"Poelen","given":"Jorrit H."},{"family":"Simons","given":"James D."},{"family":"Mungall","given":"Chris J."}],"issued":{"date-parts":[["2014",11]]}}}],"schema":"https://github.com/citation-style-language/schema/raw/master/csl-citation.json"} </w:instrText>
      </w:r>
      <w:r w:rsidR="00342C61">
        <w:rPr>
          <w:rFonts w:ascii="Times New Roman" w:eastAsia="Times New Roman" w:hAnsi="Times New Roman" w:cs="Times New Roman"/>
        </w:rPr>
        <w:fldChar w:fldCharType="separate"/>
      </w:r>
      <w:r w:rsidR="00A96B1D">
        <w:rPr>
          <w:rFonts w:ascii="Times New Roman" w:eastAsia="Times New Roman" w:hAnsi="Times New Roman" w:cs="Times New Roman"/>
          <w:noProof/>
        </w:rPr>
        <w:t>(Poelen et al., 2014)</w:t>
      </w:r>
      <w:r w:rsidR="00342C61">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is populated with indexed datasets that include species interactions. A large amount of the data from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comes from interaction records obtained from museum collections and community-science projects with singleton observations via online occurrence record databases (e.g.,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is unique in that it also includes data from research studies, such as meta-analyses and ecological studies, worldwide. The sources of the data vary in terms of objectives and study design, and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indexes these records in a uniform manner. Like other online databases,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largely consists of presence-only interaction data, meaning that some type of species interaction must have occurred for it to be documented and inputted into the database.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includes the source citations of where the interaction was published with each interaction record, and geographic information if it is provided by the source. As mentioned before,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only offers presence-only interaction data, leaving it up to the user/practitioner to develop their own methods for inferring the absence or non-detection of </w:t>
      </w:r>
      <w:r>
        <w:rPr>
          <w:rFonts w:ascii="Times New Roman" w:eastAsia="Times New Roman" w:hAnsi="Times New Roman" w:cs="Times New Roman"/>
        </w:rPr>
        <w:lastRenderedPageBreak/>
        <w:t>species interactions. One method to infer species non-detections is by relying on species checklists and phenology data</w:t>
      </w:r>
      <w:r w:rsidR="00A96B1D">
        <w:rPr>
          <w:rFonts w:ascii="Times New Roman" w:eastAsia="Times New Roman" w:hAnsi="Times New Roman" w:cs="Times New Roman"/>
        </w:rPr>
        <w:t>.</w:t>
      </w:r>
    </w:p>
    <w:p w14:paraId="5E6F3AF9" w14:textId="77777777" w:rsidR="00413978" w:rsidRDefault="00413978">
      <w:pPr>
        <w:rPr>
          <w:rFonts w:ascii="Times New Roman" w:eastAsia="Times New Roman" w:hAnsi="Times New Roman" w:cs="Times New Roman"/>
        </w:rPr>
      </w:pPr>
    </w:p>
    <w:p w14:paraId="6C3640B7" w14:textId="605EB6CE"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Species checklists are authoritative lists of species that occur in a given geographical area, and phenology data provides insights into when a species is active at a site. Checklists are often generated by taxonomists and collectors that specialize in a particular taxonomic group, providing a forum for expert opinion on the species present at a particular site. They provide an important standard for decision-making in biodiversity conservation and land management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{"citationID":"qde01Prf","properties":{"formattedCitation":"(Johnson et al., 2020; Reyserhove et al., 2020)","plainCitation":"(Johnson et al., 2020; Reyserhove et al., 2020)","noteIndex":0},"citationItems":[{"id":982,"uris":["http://zotero.org/groups/4699449/items/NTE78LFL"],"itemData":{"id":982,"type":"article-journal","abstract":"Owing to the huge number of species observations that can be collected by non-professional scientists, “citizen science” has great potential to contribute to scientific knowledge on invasive alien species (IAS). Citizen science has existed for centuries, but the recent adoption of information and communications technology (ICT) in this field (e.g. web- or mobile application-based interfaces for citizen training and data generation) has led to a massive surge in popularity, mainly due to reduced geographic barriers to citizen participation. Several challenges exist, however, to effectively utilize citizen-generated data for monitoring IAS (or other species of interest) at the global scale. Here, we conducted a systematic analysis of citizen science initiatives collecting IAS data using ICT, hoping to better understand their scientific contributions and challenges, their similarities/differences, and their interconnections. Through a search of the Scopus database, we identified 26 initiatives whose data had been used in scientific publications related to IAS, and based our analyses on these initiatives. The most common scientific uses of these citizen science data were to visualize the spatial distribution of IAS, better understand their behaviour/phenology, and elucidate citizen science data quality issues. To alleviate data quality concerns, most initiatives (19/26) had mechanisms for verifying citizen observations, such as user-submitted photographs. While many initiatives collected similar data parameters for each species observation, only 54% of the initiatives had a practice of data sharing. This lack of data sharing causes fragmentation of the citizen-generated IAS data, and is likely inhibiting the wider usage of the data for scientific studies on IAS involving large geographic scales (e.g. regional or global) and/or broad taxonomic scopes. To reduce this fragmentation and better consolidate the collected citizen science data, finally we provide some general data sharing guidelines for citizen science initiatives as well as individual volunteers.","container-title":"Global Ecology and Conservation","DOI":"10.1016/j.gecco.2019.e00812","ISSN":"2351-9894","journalAbbreviation":"Global Ecology and Conservation","language":"en","page":"e00812","source":"ScienceDirect","title":"Citizen science and invasive alien species: An analysis of citizen science initiatives using information and communications technology (ICT) to collect invasive alien species observations","title-short":"Citizen science and invasive alien species","volume":"21","author":[{"family":"Johnson","given":"Brian Alan"},{"family":"Mader","given":"André Derek"},{"family":"Dasgupta","given":"Rajarshi"},{"family":"Kumar","given":"Pankaj"}],"issued":{"date-parts":[["2020",3,1]]}}},{"id":1073,"uris":["http://zotero.org/groups/4699449/items/AT2KWXRI"],"itemData":{"id":1073,"type":"article-journal","abstract":"Abstract\n            Species checklists are a crucial source of information for research and policy. Unfortunately, many traditional species checklists vary wildly in their content, format, availability and maintenance. The fact that these are not open, findable, accessible, interoperable and reusable (FAIR) severely hampers fast and efficient information flow to policy and decision-making that are required to tackle the current biodiversity crisis. Here, we propose a reproducible, semi-automated workflow to transform traditional checklist data into a FAIR and open species registry. We showcase our workflow by applying it to the publication of the Manual of Alien Plants, a species checklist specifically developed for the Tracking Invasive Alien Species (TrIAS) project. Our approach combines source data management, reproducible data transformation to Darwin Core using R, version control, data documentation and publication to the Global Biodiversity Information Facility (GBIF). This checklist publication workflow is openly available for data holders and applicable to species registries varying in thematic, taxonomic or geographical scope and could serve as an important tool to open up research and strengthen environmental decision-making.","container-title":"Database","DOI":"10.1093/database/baaa084","ISSN":"1758-0463","language":"en","page":"baaa084","source":"DOI.org (Crossref)","title":"A checklist recipe: making species data open and FAIR","title-short":"A checklist recipe","volume":"2020","author":[{"family":"Reyserhove","given":"Lien"},{"family":"Desmet","given":"Peter"},{"family":"Oldoni","given":"Damiano"},{"family":"Adriaens","given":"Tim"},{"family":"Strubbe","given":"Diederik"},{"family":"Davis","given":"Amy J S"},{"family":"Vanderhoeven","given":"Sonia"},{"family":"Verloove","given":"Filip"},{"family":"Groom","given":"Quentin"}],"issued":{"date-parts":[["2020",1,1]]}}}],"schema":"https://github.com/citation-style-language/schema/raw/master/csl-citation.json"} </w:instrText>
      </w:r>
      <w:r w:rsidR="00A96B1D">
        <w:rPr>
          <w:rFonts w:ascii="Times New Roman" w:eastAsia="Times New Roman" w:hAnsi="Times New Roman" w:cs="Times New Roman"/>
        </w:rPr>
        <w:fldChar w:fldCharType="separate"/>
      </w:r>
      <w:r w:rsidR="00A96B1D">
        <w:rPr>
          <w:rFonts w:ascii="Times New Roman" w:eastAsia="Times New Roman" w:hAnsi="Times New Roman" w:cs="Times New Roman"/>
          <w:noProof/>
        </w:rPr>
        <w:t>(Johnson et al., 2020; Reyserhove et al., 2020)</w:t>
      </w:r>
      <w:r w:rsidR="00A96B1D">
        <w:rPr>
          <w:rFonts w:ascii="Times New Roman" w:eastAsia="Times New Roman" w:hAnsi="Times New Roman" w:cs="Times New Roman"/>
        </w:rPr>
        <w:fldChar w:fldCharType="end"/>
      </w:r>
      <w:r w:rsidR="00A96B1D">
        <w:rPr>
          <w:rFonts w:ascii="Times New Roman" w:eastAsia="Times New Roman" w:hAnsi="Times New Roman" w:cs="Times New Roman"/>
        </w:rPr>
        <w:t>,</w:t>
      </w:r>
      <w:r>
        <w:rPr>
          <w:rFonts w:ascii="Times New Roman" w:eastAsia="Times New Roman" w:hAnsi="Times New Roman" w:cs="Times New Roman"/>
        </w:rPr>
        <w:t xml:space="preserve"> and checklists are usable to retroactively assign species non-detections by comparing what was observed to a list of species that are expected to occur at a site</w:t>
      </w:r>
      <w:r w:rsidR="00A96B1D">
        <w:rPr>
          <w:rFonts w:ascii="Times New Roman" w:eastAsia="Times New Roman" w:hAnsi="Times New Roman" w:cs="Times New Roman"/>
        </w:rPr>
        <w:t xml:space="preserve">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{"citationID":"0PCC5qxf","properties":{"formattedCitation":"(K\\uc0\\u233{}ry et al., 2010)","plainCitation":"(Kéry et al., 2010)","noteIndex":0},"citationItems":[{"id":1008,"uris":["http://zotero.org/groups/4699449/items/AWUK87PA"],"itemData":{"id":1008,"type":"article-journal","abstract":"Species’ assessments must frequently be derived from opportunistic observations made by volunteers (i.e., citizen scientists). Interpretation of the resulting data to estimate population trends is plagued with problems, including teasing apart genuine population trends from variations in observation effort. We devised a way to correct for annual variation in effort when estimating trends in occupancy (species distribution) from faunal or floral databases of opportunistic observations. First, for all surveyed sites, detection histories (i.e., strings of detection–nondetection records) are generated. Within-season replicate surveys provide information on the detectability of an occupied site. Detectability directly represents observation effort; hence, estimating detectablity means correcting for observation effort. Second, site-occupancy models are applied directly to the detection-history data set (i.e., without aggregation by site and year) to estimate detectability and species distribution (occupancy, i.e., the true proportion of sites where a species occurs). Site-occupancy models also provide unbiased estimators of components of distributional change (i.e., colonization and extinction rates). We illustrate our method with data from a large citizen-science project in Switzerland in which field ornithologists record opportunistic observations. We analyzed data collected on four species: the widespread Kingfisher ( Alcedo atthis) and Sparrowhawk ( Accipiter nisus) and the scarce Rock Thrush ( Monticola saxatilis) and Wallcreeper ( Tichodroma muraria). Our method requires that all observed species are recorded. Detectability was &lt;1 and varied over the years. Simulations suggested some robustness, but we advocate recording complete species lists (checklists), rather than recording individual records of single species. The representation of observation effort with its effect on detectability provides a solution to the problem of differences in effort encountered when extracting trend information from haphazard observations. We expect our method is widely applicable for global biodiversity monitoring and modeling of species distributions.","container-title":"Conservation Biology","DOI":"10.1111/j.1523-1739.2010.01479.x","ISSN":"08888892","issue":"5","language":"en","page":"1388-1397","source":"DOI.org (Crossref)","title":"Site-Occupancy Distribution Modeling to Correct Population-Trend Estimates Derived from Opportunistic Observations: Distribution Trends from Opportunistic Observations","title-short":"Site-Occupancy Distribution Modeling to Correct Population-Trend Estimates Derived from Opportunistic Observations","volume":"24","author":[{"family":"Kéry","given":"Marc"},{"family":"Royle","given":"J. Andrew"},{"family":"Schmid","given":"Hans"},{"family":"Schaub","given":"Michael"},{"family":"Volet","given":"Bernard"},{"family":"Häfliger","given":"Guido"},{"family":"Zbinden","given":"Niklaus"}],"issued":{"date-parts":[["2010",3,10]]}}}],"schema":"https://github.com/citation-style-language/schema/raw/master/csl-citation.json"} </w:instrText>
      </w:r>
      <w:r w:rsidR="00A96B1D">
        <w:rPr>
          <w:rFonts w:ascii="Times New Roman" w:eastAsia="Times New Roman" w:hAnsi="Times New Roman" w:cs="Times New Roman"/>
        </w:rPr>
        <w:fldChar w:fldCharType="separate"/>
      </w:r>
      <w:r w:rsidR="00A96B1D" w:rsidRPr="00A96B1D">
        <w:rPr>
          <w:rFonts w:ascii="Times New Roman" w:hAnsi="Times New Roman" w:cs="Times New Roman"/>
        </w:rPr>
        <w:t>(</w:t>
      </w:r>
      <w:proofErr w:type="spellStart"/>
      <w:r w:rsidR="00A96B1D" w:rsidRPr="00A96B1D">
        <w:rPr>
          <w:rFonts w:ascii="Times New Roman" w:hAnsi="Times New Roman" w:cs="Times New Roman"/>
        </w:rPr>
        <w:t>Kéry</w:t>
      </w:r>
      <w:proofErr w:type="spellEnd"/>
      <w:r w:rsidR="00A96B1D" w:rsidRPr="00A96B1D">
        <w:rPr>
          <w:rFonts w:ascii="Times New Roman" w:hAnsi="Times New Roman" w:cs="Times New Roman"/>
        </w:rPr>
        <w:t xml:space="preserve"> et al., 2010)</w:t>
      </w:r>
      <w:r w:rsidR="00A96B1D">
        <w:rPr>
          <w:rFonts w:ascii="Times New Roman" w:eastAsia="Times New Roman" w:hAnsi="Times New Roman" w:cs="Times New Roman"/>
        </w:rPr>
        <w:fldChar w:fldCharType="end"/>
      </w:r>
      <w:r>
        <w:rPr>
          <w:rFonts w:ascii="Times New Roman" w:eastAsia="Times New Roman" w:hAnsi="Times New Roman" w:cs="Times New Roman"/>
        </w:rPr>
        <w:t xml:space="preserve">. Alongside checklists, phenology data provide valuable insights into whether or not two species are active during the same period of time. By combining the use of species checklists and phenology data, we can create lists of all possible pairwise species interactions (such as which bees could possibly interact with which plants) during different periods of time at a site based on their active times; and we can infer species non-detections. </w:t>
      </w:r>
    </w:p>
    <w:p w14:paraId="785D99A6" w14:textId="77777777" w:rsidR="00413978" w:rsidRDefault="00413978">
      <w:pPr>
        <w:rPr>
          <w:rFonts w:ascii="Times New Roman" w:eastAsia="Times New Roman" w:hAnsi="Times New Roman" w:cs="Times New Roman"/>
        </w:rPr>
      </w:pPr>
    </w:p>
    <w:p w14:paraId="39DC682C" w14:textId="1C91A914"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A powerful tool to analyze species detection/non-detection data are occupancy models, which separate the ecological and sampling processes and provide valuable insights to imperfect data such as opportunistic data. Indeed, occupancy models require standardized data collection and must meet specific assumptions that, if violated, may result in biased parameter estimates and ecological inference. However, researchers have come up with ways of using occupancy models for non-standardized data (such as community science initiatives) typically used for opportunistic collections </w:t>
      </w:r>
      <w:r w:rsidR="00F87C03">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{"citationID":"KWZePAra","properties":{"formattedCitation":"(Robinson et al., 2020; Shirey et al., 2022; Sullivan et al., 2017)","plainCitation":"(Robinson et al., 2020; Shirey et al., 2022; Sullivan et al., 2017)","dontUpdate":true,"noteIndex":0},"citationItems":[{"id":985,"uris":["http://zotero.org/groups/4699449/items/29ZR3BD4"],"itemData":{"id":985,"type":"article-journal","abstract":"Aim Information on species’ habitat associations and distributions, across a wide range of spatial and temporal scales, is a fundamental source of ecological knowledge. However, collecting information at relevant scales is often cost prohibitive, although it is essential for framing the broader context of more focused research and conservation efforts. Citizen science has been signalled as an increasingly important source to fill in data gaps where information is needed to make comprehensive and robust inferences on species distributions. However, there are perceived trade-offs of combining highly structured, scientific survey data with largely un-structured, citizen science data. Methods We explore these trade-offs by applying a simplified approach of filtering citizen science data to resemble structured survey data and analyse both sources of data under a common framework. To accomplish this, we integrated high-resolution survey data on shorebirds in the northern Central Valley of California with observations in eBird for the entire region that were filtered to improve their quality. Results The integration of survey data with the filtered citizen science data resulted in improved inference and increased the extent and accuracy of distribution models on shorebirds for the Central Valley. The structured surveys improved the overall accuracy of ecological inference over models using citizen science data only by increasing the representation of data collected from high-quality habitats for shorebirds. Main conclusions The practical approach we have shown for data integration can also be used to improve the efficiency of designing biological surveys in the context of larger, citizen science monitoring efforts, ultimately reducing the financial and time expenditures typically required of monitoring programs and focused research. The simple method we present can be used to integrate other types of data with more localized efforts, ultimately improving our ecological knowledge on the distribution and habitat associations of species of conservation concern worldwide.","container-title":"Diversity and Distributions","DOI":"10.1111/ddi.13068","ISSN":"1472-4642","issue":"8","language":"en","license":"© 2020 The Authors. Diversity and Distribution  Publisherd by John Wiley &amp; Sons Ltd","note":"_eprint: https://onlinelibrary.wiley.com/doi/pdf/10.1111/ddi.13068","page":"976-986","source":"Wiley Online Library","title":"Integrating citizen science data with expert surveys increases accuracy and spatial extent of species distribution models","volume":"26","author":[{"family":"Robinson","given":"Orin J."},{"family":"Ruiz‐Gutierrez","given":"Viviana"},{"family":"Reynolds","given":"Mark D."},{"family":"Golet","given":"Gregory H."},{"family":"Strimas‐Mackey","given":"Matthew"},{"family":"Fink","given":"Daniel"}],"issued":{"date-parts":[["2020"]]}}},{"id":1023,"uris":["http://zotero.org/groups/4699449/items/HKWKBRLP"],"itemData":{"id":1023,"type":"article-journal","container-title":"Methods in Ecology and Evolution","DOI":"10.1111/2041-210X.13896","ISSN":"2041-210X, 2041-210X","journalAbbreviation":"Methods Ecol Evol","language":"en","page":"2041-210X.13896","source":"DOI.org (Crossref)","title":"Occupancy‐detection models with museum specimen data: promise and pitfalls","title-short":"Occupancy‐detection models with museum specimen data","author":[{"family":"Shirey","given":"Vaughn"},{"family":"Khelifa","given":"Rassim"},{"family":"M’Gonigle","given":"Leithen K."},{"family":"Guzman","given":"Laura Melissa"}],"issued":{"date-parts":[["2022",5,22]]}}},{"id":991,"uris":["http://zotero.org/groups/4699449/items/Q4SUH2WP"],"itemData":{"id":991,"type":"article-journal","abstract":"Ensuring that conservation decisions are informed by the best available data is a fundamental challenge in the face of rapid global environmental change. Too often, new science is not easily or quickly translated into conservation action. Traditional approaches to data collection and science delivery may be both inefficient and insufficient, as conservation practitioners need access to salient, credible, and legitimate data to take action. Open access data could serve as a tool to help bridge the gap between science and action, by providing conservation practitioners with access to relevant data in near real time. Broad-scale citizen-science data represent a fast-growing resource for open access databases, providing relevant and appropriately scaled data on organisms, much in the way autonomous sensors do so on the environment. Several such datasets are now broadly available, yet documentation of their application to conservation is rare. Here we use eBird, a project where individuals around the world submit data on bird distribution and abundance, as an example of how citizen-science data can be used to achieve tangible conservation science and action at local, regional, and global scales. Our examination illustrates how these data can be strategically applied to improve our understanding of spatial and temporal distributions of birds, the impacts of anthropogenic change on ecological systems, and creative conservation solutions to complex problems. We raise awareness of the types of conservation action now happening with citizen-science data, and discuss the benefits, limitations, and caveats of this approach.","collection-title":"The role of citizen science in biological conservation","container-title":"Biological Conservation","DOI":"10.1016/j.biocon.2016.04.031","ISSN":"0006-3207","journalAbbreviation":"Biological Conservation","language":"en","page":"5-14","source":"ScienceDirect","title":"Using open access observational data for conservation action: A case study for birds","title-short":"Using open access observational data for conservation action","volume":"208","author":[{"family":"Sullivan","given":"Brian L."},{"family":"Phillips","given":"Tina"},{"family":"Dayer","given":"Ashley A."},{"family":"Wood","given":"Christopher L."},{"family":"Farnsworth","given":"Andrew"},{"family":"Iliff","given":"Marshall J."},{"family":"Davies","given":"Ian J."},{"family":"Wiggins","given":"Andrea"},{"family":"Fink","given":"Daniel"},{"family":"Hochachka","given":"Wesley M."},{"family":"Rodewald","given":"Amanda D."},{"family":"Rosenberg","given":"Kenneth V."},{"family":"Bonney","given":"Rick"},{"family":"Kelling","given":"Steve"}],"issued":{"date-parts":[["2017",4,1]]}}}],"schema":"https://github.com/citation-style-language/schema/raw/master/csl-citation.json"} </w:instrText>
      </w:r>
      <w:r w:rsidR="00F87C03">
        <w:rPr>
          <w:rFonts w:ascii="Times New Roman" w:eastAsia="Times New Roman" w:hAnsi="Times New Roman" w:cs="Times New Roman"/>
        </w:rPr>
        <w:fldChar w:fldCharType="separate"/>
      </w:r>
      <w:r w:rsidR="00063EF2">
        <w:rPr>
          <w:rFonts w:ascii="Times New Roman" w:eastAsia="Times New Roman" w:hAnsi="Times New Roman" w:cs="Times New Roman"/>
          <w:noProof/>
        </w:rPr>
        <w:t>(e.g., Robinson et al., 2020; Shirey et al., 2022; Sullivan et al., 2017)</w:t>
      </w:r>
      <w:r w:rsidR="00F87C03">
        <w:rPr>
          <w:rFonts w:ascii="Times New Roman" w:eastAsia="Times New Roman" w:hAnsi="Times New Roman" w:cs="Times New Roman"/>
        </w:rPr>
        <w:fldChar w:fldCharType="end"/>
      </w:r>
      <w:r>
        <w:rPr>
          <w:rFonts w:ascii="Times New Roman" w:eastAsia="Times New Roman" w:hAnsi="Times New Roman" w:cs="Times New Roman"/>
        </w:rPr>
        <w:t>. For example, to use historical data, authors directly re-survey sites that were surveyed in historical periods or constrained analyses to locations where two or more sampling events occurred within a calendar year</w:t>
      </w:r>
      <w:r w:rsidR="00063EF2">
        <w:rPr>
          <w:rFonts w:ascii="Times New Roman" w:eastAsia="Times New Roman" w:hAnsi="Times New Roman" w:cs="Times New Roman"/>
        </w:rPr>
        <w:t xml:space="preserve"> </w:t>
      </w:r>
      <w:r w:rsidR="00063EF2">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{"citationID":"xcOnFuM1","properties":{"formattedCitation":"(Guzman et al., 2021; Soroye et al., 2020)","plainCitation":"(Guzman et al., 2021; Soroye et al., 2020)","dontUpdate":true,"noteIndex":0},"citationItems":[{"id":1011,"uris":["http://zotero.org/groups/4699449/items/JPWVKQQ5"],"itemData":{"id":1011,"type":"article-journal","abstract":"Bumble bees are globally important pollinators, especially in temperate regions, and evidence suggests that many species are declining. One recent high profile study by Soroye et al. (2020) applied occupancy models to dated historical collection data to quantify declines across North America and Europe. The authors modelled 66 species across a set of sites spanning both North America and Europe, rather than confining species to sites where they might be expected to occur. In addition, they inferred non-detections for time intervals where there is no evi­ dence that the site was visited (by forcing every site to have exactly 3 visits in each era). We use simulated data to (i) investigate the validity of methods used in that study and (ii) test whether a multi-species framework that incorporates species’ ranges and site visitation histories produces better estimates. We show that the method used by Soroye et al. (2020) yields biased estimates of declines, whereas our framework does not. We use such a model to provide revised and appreciably lower estimates for bumble bee community declines, with speciesspecific trends more closely matching classifications from IUCN. The species level trends we provide can help inform future species-at-risk assessments. Well-parameterized occupancy models may be a powerful tool for assessing species-wide trends using curated historical collection data.","container-title":"Biological Conservation","DOI":"10.1016/j.biocon.2021.109141","ISSN":"00063207","journalAbbreviation":"Biological Conservation","language":"en","page":"109141","source":"DOI.org (Crossref)","title":"Using historical data to estimate bumble bee occurrence: Variable trends across species provide little support for community-level declines","title-short":"Using historical data to estimate bumble bee occurrence","volume":"257","author":[{"family":"Guzman","given":"Laura Melissa"},{"family":"Johnson","given":"Sarah A."},{"family":"Mooers","given":"Arne O."},{"family":"M'Gonigle","given":"Leithen K."}],"issued":{"date-parts":[["2021",5]]}}},{"id":1009,"uris":["http://zotero.org/groups/4699449/items/4KLCC7JV"],"itemData":{"id":1009,"type":"article-journal","abstract":"Increasing temperatures and declines\n            \n              One aspect of climate change is an increasing number of days with extreme heat. Soroye\n              et al.\n              analyzed a large dataset of bumble bee occurrences across North America and Europe and found that an increasing frequency of unusually hot days is increasing local extinction rates, reducing colonization and site occupancy, and decreasing species richness within a region, independent of land-use change or condition (see the Perspective by Bridle and van Rensburg). As average temperatures continue to rise, bumble bees may be faced with an untenable increase in frequency of extreme temperatures.\n            \n            \n              Science\n              , this issue p.\n              685\n              ; see also p.\n              626\n            \n          , \n            An increasing frequency of hot days results in bumble bee decline.\n          , \n            Climate change could increase species’ extinction risk as temperatures and precipitation begin to exceed species’ historically observed tolerances. Using long-term data for 66 bumble bee species across North America and Europe, we tested whether this mechanism altered likelihoods of bumble bee species’ extinction or colonization. Increasing frequency of hotter temperatures predicts species’ local extinction risk, chances of colonizing a new area, and changing species richness. Effects are independent of changing land uses. The method developed in this study permits spatially explicit predictions of climate change–related population extinction-colonization dynamics within species that explains observed patterns of geographical range loss and expansion across continents. Increasing frequencies of temperatures that exceed historically observed tolerances help explain widespread bumble bee species decline. This mechanism may also contribute to biodiversity loss more generally.","container-title":"Science","DOI":"10.1126/science.aax8591","ISSN":"0036-8075, 1095-9203","issue":"6478","journalAbbreviation":"Science","language":"en","page":"685-688","source":"DOI.org (Crossref)","title":"Climate change contributes to widespread declines among bumble bees across continents","volume":"367","author":[{"family":"Soroye","given":"Peter"},{"family":"Newbold","given":"Tim"},{"family":"Kerr","given":"Jeremy"}],"issued":{"date-parts":[["2020",2,7]]}}}],"schema":"https://github.com/citation-style-language/schema/raw/master/csl-citation.json"} </w:instrText>
      </w:r>
      <w:r w:rsidR="00063EF2">
        <w:rPr>
          <w:rFonts w:ascii="Times New Roman" w:eastAsia="Times New Roman" w:hAnsi="Times New Roman" w:cs="Times New Roman"/>
        </w:rPr>
        <w:fldChar w:fldCharType="separate"/>
      </w:r>
      <w:r w:rsidR="00063EF2">
        <w:rPr>
          <w:rFonts w:ascii="Times New Roman" w:eastAsia="Times New Roman" w:hAnsi="Times New Roman" w:cs="Times New Roman"/>
          <w:noProof/>
        </w:rPr>
        <w:t>(e.g., Guzman et al., 2021; Soroye et al., 2020)</w:t>
      </w:r>
      <w:r w:rsidR="00063EF2">
        <w:rPr>
          <w:rFonts w:ascii="Times New Roman" w:eastAsia="Times New Roman" w:hAnsi="Times New Roman" w:cs="Times New Roman"/>
        </w:rPr>
        <w:fldChar w:fldCharType="end"/>
      </w:r>
      <w:r>
        <w:rPr>
          <w:rFonts w:ascii="Times New Roman" w:eastAsia="Times New Roman" w:hAnsi="Times New Roman" w:cs="Times New Roman"/>
        </w:rPr>
        <w:t>. This replication ensures that occupancy and detection can be estimated.</w:t>
      </w:r>
    </w:p>
    <w:p w14:paraId="579524FE" w14:textId="77777777" w:rsidR="00413978" w:rsidRDefault="00413978">
      <w:pPr>
        <w:rPr>
          <w:rFonts w:ascii="Times New Roman" w:eastAsia="Times New Roman" w:hAnsi="Times New Roman" w:cs="Times New Roman"/>
        </w:rPr>
      </w:pPr>
    </w:p>
    <w:p w14:paraId="0FB90948" w14:textId="24D2D7A4" w:rsidR="00413978" w:rsidRDefault="00000000">
      <w:pPr>
        <w:rPr>
          <w:rFonts w:ascii="Times New Roman" w:eastAsia="Times New Roman" w:hAnsi="Times New Roman" w:cs="Times New Roman"/>
        </w:rPr>
      </w:pPr>
      <w:r>
        <w:rPr>
          <w:rFonts w:ascii="Times New Roman" w:eastAsia="Times New Roman" w:hAnsi="Times New Roman" w:cs="Times New Roman"/>
        </w:rPr>
        <w:t>Here, we explored hypotheses related to bee and flower characteristics that may drive ecological processes (i.e., what characteristics relate to a species degree of generalization?) and the detection processes (i.e., what characteristics relate to species detectability?)</w:t>
      </w:r>
      <w:r w:rsidR="001656B5">
        <w:rPr>
          <w:rFonts w:ascii="Times New Roman" w:eastAsia="Times New Roman" w:hAnsi="Times New Roman" w:cs="Times New Roman"/>
        </w:rPr>
        <w:t xml:space="preserve"> </w:t>
      </w:r>
      <w:r>
        <w:rPr>
          <w:rFonts w:ascii="Times New Roman" w:eastAsia="Times New Roman" w:hAnsi="Times New Roman" w:cs="Times New Roman"/>
        </w:rPr>
        <w:t xml:space="preserve">using </w:t>
      </w:r>
      <w:r w:rsidR="00BF3DB4">
        <w:rPr>
          <w:rFonts w:ascii="Times New Roman" w:eastAsia="Times New Roman" w:hAnsi="Times New Roman" w:cs="Times New Roman"/>
        </w:rPr>
        <w:t>a hierarchical</w:t>
      </w:r>
      <w:r>
        <w:rPr>
          <w:rFonts w:ascii="Times New Roman" w:eastAsia="Times New Roman" w:hAnsi="Times New Roman" w:cs="Times New Roman"/>
        </w:rPr>
        <w:t xml:space="preserve"> multi-species occupancy model, stochastic search variable selection, and a combination of species checklists, </w:t>
      </w:r>
      <w:r w:rsidR="00BF3DB4">
        <w:rPr>
          <w:rFonts w:ascii="Times New Roman" w:eastAsia="Times New Roman" w:hAnsi="Times New Roman" w:cs="Times New Roman"/>
        </w:rPr>
        <w:t xml:space="preserve">trait list, interpolated(?) </w:t>
      </w:r>
      <w:commentRangeStart w:id="6"/>
      <w:r>
        <w:rPr>
          <w:rFonts w:ascii="Times New Roman" w:eastAsia="Times New Roman" w:hAnsi="Times New Roman" w:cs="Times New Roman"/>
        </w:rPr>
        <w:t>phenology data</w:t>
      </w:r>
      <w:commentRangeEnd w:id="6"/>
      <w:r>
        <w:commentReference w:id="6"/>
      </w:r>
      <w:r>
        <w:rPr>
          <w:rFonts w:ascii="Times New Roman" w:eastAsia="Times New Roman" w:hAnsi="Times New Roman" w:cs="Times New Roman"/>
        </w:rPr>
        <w:t xml:space="preserve">, and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Specifically, we hypothesized that the probability of a bee-plant interaction depends on </w:t>
      </w:r>
      <w:commentRangeStart w:id="7"/>
      <w:r>
        <w:rPr>
          <w:rFonts w:ascii="Times New Roman" w:eastAsia="Times New Roman" w:hAnsi="Times New Roman" w:cs="Times New Roman"/>
        </w:rPr>
        <w:t>bee size</w:t>
      </w:r>
      <w:commentRangeEnd w:id="7"/>
      <w:r>
        <w:commentReference w:id="7"/>
      </w:r>
      <w:r>
        <w:rPr>
          <w:rFonts w:ascii="Times New Roman" w:eastAsia="Times New Roman" w:hAnsi="Times New Roman" w:cs="Times New Roman"/>
        </w:rPr>
        <w:t xml:space="preserve"> with larger bees having a greater probability due to greater flight strength and generalization. We also hypothesized that bee sociality would impact the probability of a bee-plant interaction because social bees tend to be more floral generalists. Sociality has been documented to coincide with greater resource use</w:t>
      </w:r>
      <w:r w:rsidR="00A96B1D">
        <w:rPr>
          <w:rFonts w:ascii="Times New Roman" w:eastAsia="Times New Roman" w:hAnsi="Times New Roman" w:cs="Times New Roman"/>
        </w:rPr>
        <w:t xml:space="preserve">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{"citationID":"9aF2NVgO","properties":{"formattedCitation":"(Kaluza et al., 2017)","plainCitation":"(Kaluza et al., 2017)","noteIndex":0},"citationItems":[{"id":1048,"uris":["http://zotero.org/groups/4699449/items/5Z88I3FF"],"itemData":{"id":1048,"type":"article-journal","abstract":"Numerous studies revealed a positive relationship between biodiversity and ecosystem functioning, suggesting that biodiverse environments may not only enhance ecosystem processes, but also benefit individual ecosystem members by, for example, providing a higher diversity of resources. Whether and how the number of available resources affects resource collection and subsequently consumers (e.g., through impacting functions associated with resources) have, however, been little investigated, although a better understanding of this relationship may help explain why the abundance and richness of many animal species typically decline with decreasing plant (resource) diversity. Using a social bee species as model (Tetragonula carbonaria), we investigated how plant species richness—recorded for study sites located in different habitats—and associated resource abundance affected the diversity and functionality (here defined as nutritional content and antimicrobial activity) of resources (i.e., pollen, nectar, and resin) collected by a generalist herbivorous consumer. The diversity of both pollen and resin collected strongly increased with increasing plant/tree species richness, while resource abundance was only positively correlated with resin diversity. These findings suggest that bees maximize resource diversity intake in (resource) diverse habitats. Collecting more diverse resources did, however, not increase their functionality, which appeared to be primarily driven by the surrounding (plant) source community in our study. In generalist herbivores, maximizing resource diversity intake may therefore primarily secure collection of sufficient amounts of resources across the entire foraging season, but it also ensures that the allocated resources meet all functional needs. Decreasing available resource diversity may thus impact consumers primarily by reduced resource abundance, but also by reduced resource functionality, particularly when resources of high functionality (e.g., from specific plant species) become scarce.","container-title":"Ecosphere","DOI":"10.1002/ecs2.1758","ISSN":"2150-8925","issue":"3","language":"en","note":"_eprint: https://onlinelibrary.wiley.com/doi/pdf/10.1002/ecs2.1758","page":"e01758","source":"Wiley Online Library","title":"Generalist social bees maximize diversity intake in plant species-rich and resource-abundant environments","volume":"8","author":[{"family":"Kaluza","given":"Benjamin F."},{"family":"Wallace","given":"Helen"},{"family":"Keller","given":"Alexander"},{"family":"Heard","given":"Tim A."},{"family":"Jeffers","given":"Bradley"},{"family":"Drescher","given":"Nora"},{"family":"Blüthgen","given":"Nico"},{"family":"Leonhardt","given":"Sara D."}],"issued":{"date-parts":[["2017"]]}}}],"schema":"https://github.com/citation-style-language/schema/raw/master/csl-citation.json"} </w:instrText>
      </w:r>
      <w:r w:rsidR="00A96B1D">
        <w:rPr>
          <w:rFonts w:ascii="Times New Roman" w:eastAsia="Times New Roman" w:hAnsi="Times New Roman" w:cs="Times New Roman"/>
        </w:rPr>
        <w:fldChar w:fldCharType="separate"/>
      </w:r>
      <w:r w:rsidR="00A96B1D">
        <w:rPr>
          <w:rFonts w:ascii="Times New Roman" w:eastAsia="Times New Roman" w:hAnsi="Times New Roman" w:cs="Times New Roman"/>
          <w:noProof/>
        </w:rPr>
        <w:t>(Kaluza et al., 2017)</w:t>
      </w:r>
      <w:r w:rsidR="00A96B1D">
        <w:rPr>
          <w:rFonts w:ascii="Times New Roman" w:eastAsia="Times New Roman" w:hAnsi="Times New Roman" w:cs="Times New Roman"/>
        </w:rPr>
        <w:fldChar w:fldCharType="end"/>
      </w:r>
      <w:r>
        <w:rPr>
          <w:rFonts w:ascii="Times New Roman" w:eastAsia="Times New Roman" w:hAnsi="Times New Roman" w:cs="Times New Roman"/>
        </w:rPr>
        <w:t xml:space="preserve"> and greater diet flexibility</w:t>
      </w:r>
      <w:r w:rsidR="00A96B1D">
        <w:rPr>
          <w:rFonts w:ascii="Times New Roman" w:eastAsia="Times New Roman" w:hAnsi="Times New Roman" w:cs="Times New Roman"/>
        </w:rPr>
        <w:t xml:space="preserve">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{"citationID":"a7GiDtvK","properties":{"formattedCitation":"(Wood et al., 2018)","plainCitation":"(Wood et al., 2018)","noteIndex":0},"citationItems":[{"id":1053,"uris":["http://zotero.org/groups/4699449/items/PD5SNUNE"],"itemData":{"id":1053,"type":"article-journal","abstract":"Western honey bees (Apis mellifera) are dominant crop pollinators, and access to summer forage is a critical factor influencing colony health in agricultural landscapes. In many temperate agricultural regions, honey bees forage extensively from non-native plants during the summer, but it is unclear whether the use of these species is due to honey bee preference for these plants or is a result of their relative abundance. The foraging choices made by native bees that have evolved with native plants can reveal the seasonal availability of native plant pollens, and so we quantified the pollen collected by 181 wild bee species native to Michigan. Pollen was also trapped from honey bee colonies during the summer to confirm the peak period of non-native pollen collection in this region. Across the state, the generic richness of native pollens collected by wild bees peaked in May before linearly declining into September. Wild social and solitary bees collected a similar proportion of their pollen from non-native plants from April to July, but during August and September social bees collected a significantly greater proportion from non-natives. At a local scale, honey bees collected the majority of their pollen from non-native plants between 4 July and 21 August, with the same trend seen in both social and solitary bees. Across the region, a significantly greater proportion of the solitary bee species that peak during this time are specialists, most of which collect from native plant species that are little utilized by social bees for pollen, such as Dasiphora, Helianthus, Physalis, and Vernonia. Our results suggest that Michigan has relatively few native flowering resources during the height of the summer, and that many of those which flower during this time are used primarily by specialized solitary bee species rather than the social bee community, including honey bees. As a result, non-native plant species with a late summer flowering phenology fill a forage gap and thus can contribute to the diet of both honey bees and generalist wild bees during this time, despite the well-documented negative impacts of these species on native plant communities.","container-title":"Frontiers in Ecology and Evolution","ISSN":"2296-701X","source":"Frontiers","title":"Wild Bee Pollen Diets Reveal Patterns of Seasonal Foraging Resources for Honey Bees","URL":"https://www.frontiersin.org/article/10.3389/fevo.2018.00210","volume":"6","author":[{"family":"Wood","given":"Thomas James"},{"family":"Kaplan","given":"Ian"},{"family":"Szendrei","given":"Zsofia"}],"accessed":{"date-parts":[["2022",5,25]]},"issued":{"date-parts":[["2018"]]}}}],"schema":"https://github.com/citation-style-language/schema/raw/master/csl-citation.json"} </w:instrText>
      </w:r>
      <w:r w:rsidR="00A96B1D">
        <w:rPr>
          <w:rFonts w:ascii="Times New Roman" w:eastAsia="Times New Roman" w:hAnsi="Times New Roman" w:cs="Times New Roman"/>
        </w:rPr>
        <w:fldChar w:fldCharType="separate"/>
      </w:r>
      <w:r w:rsidR="00A96B1D">
        <w:rPr>
          <w:rFonts w:ascii="Times New Roman" w:eastAsia="Times New Roman" w:hAnsi="Times New Roman" w:cs="Times New Roman"/>
          <w:noProof/>
        </w:rPr>
        <w:t>(Wood et al., 2018)</w:t>
      </w:r>
      <w:r w:rsidR="00A96B1D">
        <w:rPr>
          <w:rFonts w:ascii="Times New Roman" w:eastAsia="Times New Roman" w:hAnsi="Times New Roman" w:cs="Times New Roman"/>
        </w:rPr>
        <w:fldChar w:fldCharType="end"/>
      </w:r>
      <w:r>
        <w:rPr>
          <w:rFonts w:ascii="Times New Roman" w:eastAsia="Times New Roman" w:hAnsi="Times New Roman" w:cs="Times New Roman"/>
        </w:rPr>
        <w:t xml:space="preserve">. Body size has been shown to predict pollen load diversity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{"citationID":"4AjGlGTM","properties":{"formattedCitation":"(Cullen et al., 2021)","plainCitation":"(Cullen et al., 2021)","noteIndex":0},"citationItems":[{"id":1079,"uris":["http://zotero.org/groups/4699449/items/8MTXURDT"],"itemData":{"id":1079,"type":"article-journal","abstract":"Flowering plants require conspecific pollen to reproduce but they often also receive heterospecific pollen, suggesting that pollinators carry mixed pollen loads. However, little is known about drivers of abundance, diversity or composition of pollen carried by pollinators. Are insect-carried pollen loads shaped by pollinator traits, or do they reflect available floral resources? We quantified pollen on 251 individual bees and 95 flies in a florally diverse community. We scored taxonomic order, sex, body size, hairiness and ecological specialization of pollinators, and recorded composition of available flowers. We used phylogenetically controlled model selection to compare relative influences of pollinator traits and floral resources on abundance, diversity and composition of insect-carried pollen. We tested congruence between composition of pollen loads and available flowers. Pollinator size, specialization and type (female bee, male bee, or fly) described pollen abundance, diversity and composition better than floral diversity. Pollen loads varied widely among insects (10–80,000,000 grains, 1–16 species). Pollen loads of male bees were smaller, but vastly more diverse than those of female bees, and equivalent in size but modestly more diverse than those of flies. Pollen load size and diversity were positively correlated with body size but negatively correlated with insect ecological specialization. These traits also drove variation in taxonomic and phylogenetic composition of insect-carried pollen loads, but composition was only weakly congruent with available floral resources. Qualities of pollinators best predict abundance and diversity of carried pollen indicating that functional composition of pollinator communities may be important to structuring heterospecific pollen transfer among plants.","container-title":"Oecologia","DOI":"10.1007/s00442-021-04911-0","ISSN":"1432-1939","issue":"1","journalAbbreviation":"Oecologia","language":"en","page":"131-143","source":"Springer Link","title":"Diversity and composition of pollen loads carried by pollinators are primarily driven by insect traits, not floral community characteristics","volume":"196","author":[{"family":"Cullen","given":"Nevin"},{"family":"Xia","given":"Jing"},{"family":"Wei","given":"Na"},{"family":"Kaczorowski","given":"Rainee"},{"family":"Arceo-Gómez","given":"Gerardo"},{"family":"O’Neill","given":"Elizabeth"},{"family":"Hayes","given":"Rebecca"},{"family":"Ashman","given":"Tia-Lynn"}],"issued":{"date-parts":[["2021",5,1]]}}}],"schema":"https://github.com/citation-style-language/schema/raw/master/csl-citation.json"} </w:instrText>
      </w:r>
      <w:r w:rsidR="00A96B1D">
        <w:rPr>
          <w:rFonts w:ascii="Times New Roman" w:eastAsia="Times New Roman" w:hAnsi="Times New Roman" w:cs="Times New Roman"/>
        </w:rPr>
        <w:fldChar w:fldCharType="separate"/>
      </w:r>
      <w:r w:rsidR="00A96B1D">
        <w:rPr>
          <w:rFonts w:ascii="Times New Roman" w:eastAsia="Times New Roman" w:hAnsi="Times New Roman" w:cs="Times New Roman"/>
          <w:noProof/>
        </w:rPr>
        <w:t>(Cullen et al., 2021)</w:t>
      </w:r>
      <w:r w:rsidR="00A96B1D">
        <w:rPr>
          <w:rFonts w:ascii="Times New Roman" w:eastAsia="Times New Roman" w:hAnsi="Times New Roman" w:cs="Times New Roman"/>
        </w:rPr>
        <w:fldChar w:fldCharType="end"/>
      </w:r>
      <w:r>
        <w:rPr>
          <w:rFonts w:ascii="Times New Roman" w:eastAsia="Times New Roman" w:hAnsi="Times New Roman" w:cs="Times New Roman"/>
        </w:rPr>
        <w:t xml:space="preserve"> and larger foraging distances than smaller bees</w:t>
      </w:r>
      <w:r w:rsidR="00A96B1D">
        <w:rPr>
          <w:rFonts w:ascii="Times New Roman" w:eastAsia="Times New Roman" w:hAnsi="Times New Roman" w:cs="Times New Roman"/>
        </w:rPr>
        <w:t xml:space="preserve">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{"citationID":"ZeDq1Rc9","properties":{"formattedCitation":"(Greenleaf et al., 2007)","plainCitation":"(Greenleaf et al., 2007)","noteIndex":0},"citationItems":[{"id":1067,"uris":["http://zotero.org/groups/4699449/items/I8XE9AM8"],"itemData":{"id":1067,"type":"article-journal","abstract":"Bees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M."},{"family":"Winfree","given":"Rachael"},{"family":"Kremen","given":"Claire"}],"issued":{"date-parts":[["2007",9,1]]}}}],"schema":"https://github.com/citation-style-language/schema/raw/master/csl-citation.json"} </w:instrText>
      </w:r>
      <w:r w:rsidR="00A96B1D">
        <w:rPr>
          <w:rFonts w:ascii="Times New Roman" w:eastAsia="Times New Roman" w:hAnsi="Times New Roman" w:cs="Times New Roman"/>
        </w:rPr>
        <w:fldChar w:fldCharType="separate"/>
      </w:r>
      <w:r w:rsidR="00A96B1D">
        <w:rPr>
          <w:rFonts w:ascii="Times New Roman" w:eastAsia="Times New Roman" w:hAnsi="Times New Roman" w:cs="Times New Roman"/>
          <w:noProof/>
        </w:rPr>
        <w:t>(Greenleaf et al., 2007)</w:t>
      </w:r>
      <w:r w:rsidR="00A96B1D">
        <w:rPr>
          <w:rFonts w:ascii="Times New Roman" w:eastAsia="Times New Roman" w:hAnsi="Times New Roman" w:cs="Times New Roman"/>
        </w:rPr>
        <w:fldChar w:fldCharType="end"/>
      </w:r>
      <w:r>
        <w:rPr>
          <w:rFonts w:ascii="Times New Roman" w:eastAsia="Times New Roman" w:hAnsi="Times New Roman" w:cs="Times New Roman"/>
        </w:rPr>
        <w:t>. Lastly, we hypothesized that flower color and flower shape would also play a role in bee-plant interaction probability because yellow flowers and bowl shapes or open flowers are also more generalized than non-yellow or no</w:t>
      </w:r>
      <w:r w:rsidR="00BF3DB4">
        <w:rPr>
          <w:rFonts w:ascii="Times New Roman" w:eastAsia="Times New Roman" w:hAnsi="Times New Roman" w:cs="Times New Roman"/>
        </w:rPr>
        <w:t>t bowl-shaped</w:t>
      </w:r>
      <w:r>
        <w:rPr>
          <w:rFonts w:ascii="Times New Roman" w:eastAsia="Times New Roman" w:hAnsi="Times New Roman" w:cs="Times New Roman"/>
        </w:rPr>
        <w:t xml:space="preserve"> flowers. Biologically, these patterns will have resulted from coevolutionary adaptations between bees and plants. Pollinator traits could confer some sort of preference or pattern in floral choice. </w:t>
      </w:r>
    </w:p>
    <w:p w14:paraId="48A5BCF0" w14:textId="77777777" w:rsidR="00413978" w:rsidRDefault="00413978">
      <w:pPr>
        <w:rPr>
          <w:rFonts w:ascii="Times New Roman" w:eastAsia="Times New Roman" w:hAnsi="Times New Roman" w:cs="Times New Roman"/>
        </w:rPr>
      </w:pPr>
    </w:p>
    <w:p w14:paraId="194E1C5B" w14:textId="56BD9C70"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In addition to the evolutionary forces driving patterns in bee-plant interactions, detection by both professional and volunteer researchers can be biased based on the traits of the species of interest – impacting data within other studies. First, we expect that time of year – based on </w:t>
      </w:r>
      <w:r>
        <w:rPr>
          <w:rFonts w:ascii="Times New Roman" w:eastAsia="Times New Roman" w:hAnsi="Times New Roman" w:cs="Times New Roman"/>
        </w:rPr>
        <w:lastRenderedPageBreak/>
        <w:t xml:space="preserve">seasonality and timing of collections – will affect the probability of detecting a bee-plant interaction. Next, we hypothesized that the probability of detecting a bee-plant interaction is influenced by </w:t>
      </w:r>
      <w:r w:rsidR="00BF3DB4">
        <w:rPr>
          <w:rFonts w:ascii="Times New Roman" w:eastAsia="Times New Roman" w:hAnsi="Times New Roman" w:cs="Times New Roman"/>
        </w:rPr>
        <w:t>several</w:t>
      </w:r>
      <w:r>
        <w:rPr>
          <w:rFonts w:ascii="Times New Roman" w:eastAsia="Times New Roman" w:hAnsi="Times New Roman" w:cs="Times New Roman"/>
        </w:rPr>
        <w:t xml:space="preserve"> factors including source citation type (i.e., collection vs. observation). Several recent studies have sought to understand the quality of volunteer and community science-based data </w:t>
      </w:r>
      <w:r w:rsidR="00BF3DB4">
        <w:rPr>
          <w:rFonts w:ascii="Times New Roman" w:eastAsia="Times New Roman" w:hAnsi="Times New Roman" w:cs="Times New Roman"/>
        </w:rPr>
        <w:t>collection,</w:t>
      </w:r>
      <w:r>
        <w:rPr>
          <w:rFonts w:ascii="Times New Roman" w:eastAsia="Times New Roman" w:hAnsi="Times New Roman" w:cs="Times New Roman"/>
        </w:rPr>
        <w:t xml:space="preserve"> and most have found that community science data can be high quality, but with proper training and standardized methodology</w:t>
      </w:r>
      <w:r w:rsidR="00A96B1D">
        <w:rPr>
          <w:rFonts w:ascii="Times New Roman" w:eastAsia="Times New Roman" w:hAnsi="Times New Roman" w:cs="Times New Roman"/>
        </w:rPr>
        <w:t xml:space="preserve"> </w:t>
      </w:r>
      <w:r w:rsidR="00A96B1D">
        <w:rPr>
          <w:rFonts w:ascii="Times New Roman" w:eastAsia="Times New Roman" w:hAnsi="Times New Roman" w:cs="Times New Roman"/>
        </w:rPr>
        <w:fldChar w:fldCharType="begin"/>
      </w:r>
      <w:r w:rsidR="00A96B1D">
        <w:rPr>
          <w:rFonts w:ascii="Times New Roman" w:eastAsia="Times New Roman" w:hAnsi="Times New Roman" w:cs="Times New Roman"/>
        </w:rPr>
        <w:instrText xml:space="preserve"> ADDIN ZOTERO_ITEM CSL_CITATION {"citationID":"aWvTvXyX","properties":{"formattedCitation":"(Kosmala et al., 2016; Kremen et al., 2011)","plainCitation":"(Kosmala et al., 2016; Kremen et al., 2011)","noteIndex":0},"citationItems":[{"id":1294,"uris":["http://zotero.org/groups/4699449/items/HBHBQJ72"],"itemData":{"id":1294,"type":"article-journal","abstract":"Ecological and environmental citizen-science projects have enormous potential to advance scientific knowledge, influence policy, and guide resource management by producing datasets that would otherwise be infeasible to generate. However, this potential can only be realized if the datasets are of high quality. While scientists are often skeptical of the ability of unpaid volunteers to produce accurate datasets, a growing body of publications clearly shows that diverse types of citizen-science projects can produce data with accuracy equal to or surpassing that of professionals. Successful projects rely on a suite of methods to boost data accuracy and account for bias, including iterative project development, volunteer training and testing, expert validation, replication across volunteers, and statistical modeling of systematic error. Each citizen-science dataset should therefore be judged individually, according to project design and application, and not assumed to be substandard simply because volunteers generated it.","container-title":"Frontiers in Ecology and the Environment","DOI":"10.1002/fee.1436","ISSN":"1540-9309","issue":"10","language":"en","note":"_eprint: https://onlinelibrary.wiley.com/doi/pdf/10.1002/fee.1436","page":"551-560","source":"Wiley Online Library","title":"Assessing data quality in citizen science","volume":"14","author":[{"family":"Kosmala","given":"Margaret"},{"family":"Wiggins","given":"Andrea"},{"family":"Swanson","given":"Alexandra"},{"family":"Simmons","given":"Brooke"}],"issued":{"date-parts":[["2016"]]}}},{"id":1300,"uris":["http://zotero.org/groups/4699449/items/LZYGRW7I"],"itemData":{"id":1300,"type":"article-journal","abstract":"Abstract: Concerns about pollinator declines have grown in recent years, yet the ability to detect changes in abundance, taxonomic richness, and composition of pollinator communities is hampered severely by the lack of data over space and time. Citizen scientists may be able to extend the spatial and temporal extent of pollinator monitoring programs. We developed a citizen-science monitoring protocol in which we trained 13 citizen scientists to observe and classify floral visitors at the resolution of orders or super families (e.g., bee, wasp, fly) and at finer resolution within bees (superfamily Apoidea) only. We evaluated the protocol by comparing data collected simultaneously at 17 sites by citizen scientists (observational data set) and by professionals (specimen-based data set). The sites differed with respect to the presence and age of hedgerows planted to improve habitat quality for pollinators. We found significant, positive correlations among the two data sets for higher level taxonomic composition, honey bee (Apis mellifera) abundance, non-Apis bee abundance, bee richness, and bee community similarity. Results for both data sets also showed similar trends (or lack thereof) in these metrics among sites differing in the presence and age of hedgerows. Nevertheless, citizen scientists did not observe approximately half of the bee groups collected by professional scientists at the same sites. Thus, the utility of citizen-science observational data may be restricted to detection of community-level changes in abundance, richness, or similarity over space and time, and citizen-science observations may not reliably reflect the abundance or frequency of occurrence of specific pollinator species or groups.","container-title":"Conservation Biology","DOI":"10.1111/j.1523-1739.2011.01657.x","ISSN":"1523-1739","issue":"3","language":"en","note":"_eprint: https://onlinelibrary.wiley.com/doi/pdf/10.1111/j.1523-1739.2011.01657.x","page":"607-617","source":"Wiley Online Library","title":"Evaluating the Quality of Citizen-Scientist Data on Pollinator Communities","volume":"25","author":[{"family":"Kremen","given":"C."},{"family":"Ullman","given":"K. S."},{"family":"Thorp","given":"R. W."}],"issued":{"date-parts":[["2011"]]}}}],"schema":"https://github.com/citation-style-language/schema/raw/master/csl-citation.json"} </w:instrText>
      </w:r>
      <w:r w:rsidR="00A96B1D">
        <w:rPr>
          <w:rFonts w:ascii="Times New Roman" w:eastAsia="Times New Roman" w:hAnsi="Times New Roman" w:cs="Times New Roman"/>
        </w:rPr>
        <w:fldChar w:fldCharType="separate"/>
      </w:r>
      <w:r w:rsidR="00A96B1D">
        <w:rPr>
          <w:rFonts w:ascii="Times New Roman" w:eastAsia="Times New Roman" w:hAnsi="Times New Roman" w:cs="Times New Roman"/>
          <w:noProof/>
        </w:rPr>
        <w:t>(Kosmala et al., 2016; Kremen et al., 2011)</w:t>
      </w:r>
      <w:r w:rsidR="00A96B1D">
        <w:rPr>
          <w:rFonts w:ascii="Times New Roman" w:eastAsia="Times New Roman" w:hAnsi="Times New Roman" w:cs="Times New Roman"/>
        </w:rPr>
        <w:fldChar w:fldCharType="end"/>
      </w:r>
      <w:r>
        <w:rPr>
          <w:rFonts w:ascii="Times New Roman" w:eastAsia="Times New Roman" w:hAnsi="Times New Roman" w:cs="Times New Roman"/>
        </w:rPr>
        <w:t xml:space="preserve">. While professional collectors have more training and experience, these efforts may still be influenced by biases that are based in vision or interest. For instance, size and coloration of both bees and plants may play an important role in observation bias. </w:t>
      </w:r>
      <w:r w:rsidR="0008454C">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{"citationID":"5NOSDMyg","properties":{"formattedCitation":"(Adamo et al., 2022)","plainCitation":"(Adamo et al., 2022)","dontUpdate":true,"noteIndex":0},"citationItems":[{"id":1591,"uris":["http://zotero.org/groups/4699449/items/CA9M2BC3"],"itemData":{"id":1591,"type":"article-journal","abstract":"Taxonomic and aesthetic biases permeate biodiversity conservation. We used the LIFE program—the European Union's funding scheme for the environment—to explore the economic dimension of biases in species- and habitat-level conservation. Between 1992 and 2020, animal species received three times more funding than plants. Within plants, species at northern latitudes, with broader ranges, and with blue/purple flowers received more funds regardless of their extinction risk. Conversely, species online popularity was only weakly positively associated with conservation expenditure. At the habitat-level, we found no relationship between expenditure and conservation status of the habitat. Our results can inform ways forward to achieve conservation goals that are comprehensive, sustainable, and cost-effective.","container-title":"Biological Conservation","DOI":"10.1016/j.biocon.2022.109636","ISSN":"0006-3207","journalAbbreviation":"Biological Conservation","language":"en","page":"109636","source":"ScienceDirect","title":"Dimension and impact of biases in funding for species and habitat conservation","volume":"272","author":[{"family":"Adamo","given":"Martino"},{"family":"Sousa","given":"Ronaldo"},{"family":"Wipf","given":"Sonja"},{"family":"Correia","given":"Ricardo A."},{"family":"Lumia","given":"Alessio"},{"family":"Mucciarelli","given":"Marco"},{"family":"Mammola","given":"Stefano"}],"issued":{"date-parts":[["2022",8,1]]}}}],"schema":"https://github.com/citation-style-language/schema/raw/master/csl-citation.json"} </w:instrText>
      </w:r>
      <w:r w:rsidR="0008454C">
        <w:rPr>
          <w:rFonts w:ascii="Times New Roman" w:eastAsia="Times New Roman" w:hAnsi="Times New Roman" w:cs="Times New Roman"/>
        </w:rPr>
        <w:fldChar w:fldCharType="separate"/>
      </w:r>
      <w:r w:rsidR="0008454C">
        <w:rPr>
          <w:rFonts w:ascii="Times New Roman" w:eastAsia="Times New Roman" w:hAnsi="Times New Roman" w:cs="Times New Roman"/>
          <w:noProof/>
        </w:rPr>
        <w:t>Adamo et al. (2022)</w:t>
      </w:r>
      <w:r w:rsidR="0008454C">
        <w:rPr>
          <w:rFonts w:ascii="Times New Roman" w:eastAsia="Times New Roman" w:hAnsi="Times New Roman" w:cs="Times New Roman"/>
        </w:rPr>
        <w:fldChar w:fldCharType="end"/>
      </w:r>
      <w:r>
        <w:rPr>
          <w:rFonts w:ascii="Times New Roman" w:eastAsia="Times New Roman" w:hAnsi="Times New Roman" w:cs="Times New Roman"/>
        </w:rPr>
        <w:t xml:space="preserve"> found that conservation funds and efforts were targeted toward specific plant colors like blue or yellow. Flower shape may also play an important role in observer bias, as open, umbel-like flowers are easier to observe pollinator interactions than other kinds of restricted or tubular flowers. Indeed, natural history collections are often biased with an overrepresentation of charismatic fauna and flora</w:t>
      </w:r>
      <w:r w:rsidR="00DD45C6">
        <w:rPr>
          <w:rFonts w:ascii="Times New Roman" w:eastAsia="Times New Roman" w:hAnsi="Times New Roman" w:cs="Times New Roman"/>
        </w:rPr>
        <w:t xml:space="preserve"> </w:t>
      </w:r>
      <w:r w:rsidR="00DD45C6">
        <w:rPr>
          <w:rFonts w:ascii="Times New Roman" w:eastAsia="Times New Roman" w:hAnsi="Times New Roman" w:cs="Times New Roman"/>
        </w:rPr>
        <w:fldChar w:fldCharType="begin"/>
      </w:r>
      <w:r w:rsidR="00DD45C6">
        <w:rPr>
          <w:rFonts w:ascii="Times New Roman" w:eastAsia="Times New Roman" w:hAnsi="Times New Roman" w:cs="Times New Roman"/>
        </w:rPr>
        <w:instrText xml:space="preserve"> ADDIN ZOTERO_ITEM CSL_CITATION {"citationID":"RkA1dbpv","properties":{"formattedCitation":"(Adamo et al., 2021)","plainCitation":"(Adamo et al., 2021)","noteIndex":0},"citationItems":[{"id":1594,"uris":["http://zotero.org/groups/4699449/items/HJCJJCF4"],"itemData":{"id":1594,"type":"article-journal","abstract":"Scientists’ research interests are often skewed toward charismatic organisms, but quantifying research biases is challenging. By combining bibliometric data with trait-based approaches and using a well-studied alpine flora as a case study, we demonstrate that morphological and colour traits, as well as range size, have significantly more impact on species choice for wild flowering plants than traits related to ecology and rarity. These biases should be taken into account to inform more objective plant conservation efforts.","container-title":"Nature Plants","DOI":"10.1038/s41477-021-00912-2","ISSN":"2055-0278","issue":"5","journalAbbreviation":"Nat. Plants","language":"en","license":"2021 The Author(s), under exclusive licence to Springer Nature Limited","note":"number: 5\npublisher: Nature Publishing Group","page":"574-578","source":"www.nature.com","title":"Plant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5]]}}}],"schema":"https://github.com/citation-style-language/schema/raw/master/csl-citation.json"} </w:instrText>
      </w:r>
      <w:r w:rsidR="00DD45C6">
        <w:rPr>
          <w:rFonts w:ascii="Times New Roman" w:eastAsia="Times New Roman" w:hAnsi="Times New Roman" w:cs="Times New Roman"/>
        </w:rPr>
        <w:fldChar w:fldCharType="separate"/>
      </w:r>
      <w:r w:rsidR="00DD45C6">
        <w:rPr>
          <w:rFonts w:ascii="Times New Roman" w:eastAsia="Times New Roman" w:hAnsi="Times New Roman" w:cs="Times New Roman"/>
          <w:noProof/>
        </w:rPr>
        <w:t>(Adamo et al., 2021)</w:t>
      </w:r>
      <w:r w:rsidR="00DD45C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4A28860" w14:textId="77777777" w:rsidR="00413978" w:rsidRDefault="00413978">
      <w:pPr>
        <w:rPr>
          <w:rFonts w:ascii="Times New Roman" w:eastAsia="Times New Roman" w:hAnsi="Times New Roman" w:cs="Times New Roman"/>
        </w:rPr>
      </w:pPr>
    </w:p>
    <w:p w14:paraId="7E7772E9" w14:textId="686DFBF7" w:rsidR="00413978" w:rsidRPr="009F7BA5" w:rsidRDefault="00000000" w:rsidP="009F7BA5">
      <w:pPr>
        <w:rPr>
          <w:rFonts w:ascii="Times New Roman" w:eastAsia="Times New Roman" w:hAnsi="Times New Roman" w:cs="Times New Roman"/>
        </w:rPr>
      </w:pPr>
      <w:r>
        <w:rPr>
          <w:rFonts w:ascii="Times New Roman" w:eastAsia="Times New Roman" w:hAnsi="Times New Roman" w:cs="Times New Roman"/>
        </w:rPr>
        <w:t xml:space="preserve">By leveraging </w:t>
      </w:r>
      <w:r w:rsidR="00637C3F">
        <w:rPr>
          <w:rFonts w:ascii="Times New Roman" w:eastAsia="Times New Roman" w:hAnsi="Times New Roman" w:cs="Times New Roman"/>
        </w:rPr>
        <w:t>additional datasets</w:t>
      </w:r>
      <w:r>
        <w:rPr>
          <w:rFonts w:ascii="Times New Roman" w:eastAsia="Times New Roman" w:hAnsi="Times New Roman" w:cs="Times New Roman"/>
        </w:rPr>
        <w:t xml:space="preserve"> for plant and pollinator species on Santa Cruz Island, we may be able to better predict </w:t>
      </w:r>
      <w:r w:rsidR="007C7AC9">
        <w:rPr>
          <w:rFonts w:ascii="Times New Roman" w:eastAsia="Times New Roman" w:hAnsi="Times New Roman" w:cs="Times New Roman"/>
        </w:rPr>
        <w:t>the frequency of</w:t>
      </w:r>
      <w:r>
        <w:rPr>
          <w:rFonts w:ascii="Times New Roman" w:eastAsia="Times New Roman" w:hAnsi="Times New Roman" w:cs="Times New Roman"/>
        </w:rPr>
        <w:t xml:space="preserve"> interactions in the network based on phenology, species traits, and potential observer biases</w:t>
      </w:r>
      <w:r w:rsidR="007C7AC9">
        <w:rPr>
          <w:rFonts w:ascii="Times New Roman" w:eastAsia="Times New Roman" w:hAnsi="Times New Roman" w:cs="Times New Roman"/>
        </w:rPr>
        <w:t xml:space="preserve"> </w:t>
      </w:r>
      <w:r w:rsidR="0008454C">
        <w:rPr>
          <w:rFonts w:ascii="Times New Roman" w:eastAsia="Times New Roman" w:hAnsi="Times New Roman" w:cs="Times New Roman"/>
        </w:rPr>
        <w:fldChar w:fldCharType="begin"/>
      </w:r>
      <w:r w:rsidR="0008454C">
        <w:rPr>
          <w:rFonts w:ascii="Times New Roman" w:eastAsia="Times New Roman" w:hAnsi="Times New Roman" w:cs="Times New Roman"/>
        </w:rPr>
        <w:instrText xml:space="preserve"> ADDIN ZOTERO_ITEM CSL_CITATION {"citationID":"AcpznJC5","properties":{"formattedCitation":"(Bartomeus, 2013)","plainCitation":"(Bartomeus, 2013)","noteIndex":0},"citationItems":[{"id":1001,"uris":["http://zotero.org/groups/4699449/items/V95K4LUK"],"itemData":{"id":1001,"type":"article-journal","abstract":"The analysis of mutualistic networks has become a central tool in answering theoretical and applied questions regarding our understanding of ecological processes. Significant gaps in knowledge do however need to be bridged in order to effectively and accurately be able to describe networks. Main concern are the incorporation of species level information, accounting for sampling limitations and understanding linkage rules. Here I propose a simple method to combine plant pollinator effort-limited sampling with information about plant community to gain understanding of what drives linkage rules, while accounting for possible undetected linkages. I use hierarchical models to estimate the probability of detection of each plant-pollinator interaction in 12 Mediterranean plant-pollinator networks. As it is possible to incorporate plant traits as co-variables in the models, this method has the potential to be used for predictive purposes, such as identifying undetected links among existing species, as well as potential interactions with new plant species. Results show that pollinator detectability is very skewed and usually low. Nevertheless, 84% of the models are enhanced by the inclusion of co-variables, with flower abundance and inflorescence type being the most commonly retained co-variables. The predicted networks increase network Connectance by 13%, but not Nestedness, which is known to be robust to sampling effects. However, 46% of the pollinator interactions in the studied networks comprised a single observation and hence could not be modeled. The hierarchical modeling approach suggested here is highly flexible and can be used on binary or frequency networks, accommodate different observers or include collection day weather variables as confounding factors. An R script is provided for a rapid adoption of this method.","container-title":"PLoS ONE","DOI":"10.1371/journal.pone.0069200","ISSN":"1932-6203","issue":"7","journalAbbreviation":"PLoS ONE","language":"en","page":"e69200","source":"DOI.org (Crossref)","title":"Understanding Linkage Rules in Plant-Pollinator Networks by Using Hierarchical Models That Incorporate Pollinator Detectability and Plant Traits","volume":"8","author":[{"family":"Bartomeus","given":"Ignasi"}],"editor":[{"family":"Farwig","given":"Nina"}],"issued":{"date-parts":[["2013",7,1]]}}}],"schema":"https://github.com/citation-style-language/schema/raw/master/csl-citation.json"} </w:instrText>
      </w:r>
      <w:r w:rsidR="0008454C">
        <w:rPr>
          <w:rFonts w:ascii="Times New Roman" w:eastAsia="Times New Roman" w:hAnsi="Times New Roman" w:cs="Times New Roman"/>
        </w:rPr>
        <w:fldChar w:fldCharType="separate"/>
      </w:r>
      <w:r w:rsidR="0008454C">
        <w:rPr>
          <w:rFonts w:ascii="Times New Roman" w:eastAsia="Times New Roman" w:hAnsi="Times New Roman" w:cs="Times New Roman"/>
          <w:noProof/>
        </w:rPr>
        <w:t>(Bartomeus, 2013)</w:t>
      </w:r>
      <w:r w:rsidR="0008454C">
        <w:rPr>
          <w:rFonts w:ascii="Times New Roman" w:eastAsia="Times New Roman" w:hAnsi="Times New Roman" w:cs="Times New Roman"/>
        </w:rPr>
        <w:fldChar w:fldCharType="end"/>
      </w:r>
      <w:r>
        <w:rPr>
          <w:rFonts w:ascii="Times New Roman" w:eastAsia="Times New Roman" w:hAnsi="Times New Roman" w:cs="Times New Roman"/>
        </w:rPr>
        <w:t xml:space="preserve">. As a result, </w:t>
      </w:r>
      <w:r w:rsidR="007C7AC9">
        <w:rPr>
          <w:rFonts w:ascii="Times New Roman" w:eastAsia="Times New Roman" w:hAnsi="Times New Roman" w:cs="Times New Roman"/>
        </w:rPr>
        <w:t xml:space="preserve">a </w:t>
      </w:r>
      <w:r>
        <w:rPr>
          <w:rFonts w:ascii="Times New Roman" w:eastAsia="Times New Roman" w:hAnsi="Times New Roman" w:cs="Times New Roman"/>
        </w:rPr>
        <w:t xml:space="preserve">network </w:t>
      </w:r>
      <w:r w:rsidR="007C7AC9">
        <w:rPr>
          <w:rFonts w:ascii="Times New Roman" w:eastAsia="Times New Roman" w:hAnsi="Times New Roman" w:cs="Times New Roman"/>
        </w:rPr>
        <w:t xml:space="preserve">of model-predicted interactions </w:t>
      </w:r>
      <w:r>
        <w:rPr>
          <w:rFonts w:ascii="Times New Roman" w:eastAsia="Times New Roman" w:hAnsi="Times New Roman" w:cs="Times New Roman"/>
        </w:rPr>
        <w:t>may reveal interactions that are</w:t>
      </w:r>
      <w:r w:rsidR="007C7AC9">
        <w:rPr>
          <w:rFonts w:ascii="Times New Roman" w:eastAsia="Times New Roman" w:hAnsi="Times New Roman" w:cs="Times New Roman"/>
        </w:rPr>
        <w:t xml:space="preserve"> rare or</w:t>
      </w:r>
      <w:r>
        <w:rPr>
          <w:rFonts w:ascii="Times New Roman" w:eastAsia="Times New Roman" w:hAnsi="Times New Roman" w:cs="Times New Roman"/>
        </w:rPr>
        <w:t xml:space="preserve"> less likely observed by collectors</w:t>
      </w:r>
      <w:r w:rsidR="00637C3F">
        <w:rPr>
          <w:rFonts w:ascii="Times New Roman" w:eastAsia="Times New Roman" w:hAnsi="Times New Roman" w:cs="Times New Roman"/>
        </w:rPr>
        <w:t>, while also accounting for some forbidden-links</w:t>
      </w:r>
      <w:r>
        <w:rPr>
          <w:rFonts w:ascii="Times New Roman" w:eastAsia="Times New Roman" w:hAnsi="Times New Roman" w:cs="Times New Roman"/>
        </w:rPr>
        <w:t>.</w:t>
      </w:r>
      <w:r w:rsidR="007C7AC9">
        <w:rPr>
          <w:rFonts w:ascii="Times New Roman" w:eastAsia="Times New Roman" w:hAnsi="Times New Roman" w:cs="Times New Roman"/>
        </w:rPr>
        <w:t xml:space="preserve"> These additional interactions may add to our understanding of network structure and patterns of specialization or generalization. W</w:t>
      </w:r>
      <w:r>
        <w:rPr>
          <w:rFonts w:ascii="Times New Roman" w:eastAsia="Times New Roman" w:hAnsi="Times New Roman" w:cs="Times New Roman"/>
        </w:rPr>
        <w:t xml:space="preserve">e expect that interactions predicted by our model will reveal an interaction web </w:t>
      </w:r>
      <w:r w:rsidR="00F70A34">
        <w:rPr>
          <w:rFonts w:ascii="Times New Roman" w:eastAsia="Times New Roman" w:hAnsi="Times New Roman" w:cs="Times New Roman"/>
        </w:rPr>
        <w:t xml:space="preserve">more even, but </w:t>
      </w:r>
      <w:r>
        <w:rPr>
          <w:rFonts w:ascii="Times New Roman" w:eastAsia="Times New Roman" w:hAnsi="Times New Roman" w:cs="Times New Roman"/>
        </w:rPr>
        <w:t xml:space="preserve">less nested and specialized than our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w:t>
      </w:r>
      <w:r w:rsidR="007C7AC9">
        <w:rPr>
          <w:rFonts w:ascii="Times New Roman" w:eastAsia="Times New Roman" w:hAnsi="Times New Roman" w:cs="Times New Roman"/>
        </w:rPr>
        <w:t xml:space="preserve">. Both </w:t>
      </w:r>
      <w:proofErr w:type="spellStart"/>
      <w:r w:rsidR="007C7AC9">
        <w:rPr>
          <w:rFonts w:ascii="Times New Roman" w:eastAsia="Times New Roman" w:hAnsi="Times New Roman" w:cs="Times New Roman"/>
        </w:rPr>
        <w:t>nestedness</w:t>
      </w:r>
      <w:proofErr w:type="spellEnd"/>
      <w:r w:rsidR="007C7AC9">
        <w:rPr>
          <w:rFonts w:ascii="Times New Roman" w:eastAsia="Times New Roman" w:hAnsi="Times New Roman" w:cs="Times New Roman"/>
        </w:rPr>
        <w:t xml:space="preserve"> and specialization reflect system stability and resilience. </w:t>
      </w:r>
      <w:r w:rsidR="00F70A34">
        <w:rPr>
          <w:rFonts w:ascii="Times New Roman" w:eastAsia="Times New Roman" w:hAnsi="Times New Roman" w:cs="Times New Roman"/>
        </w:rPr>
        <w:t>T</w:t>
      </w:r>
      <w:r>
        <w:rPr>
          <w:rFonts w:ascii="Times New Roman" w:eastAsia="Times New Roman" w:hAnsi="Times New Roman" w:cs="Times New Roman"/>
        </w:rPr>
        <w:t>hese two patterns observed in networks can be overestimated – a result of species rarity or incomplete observations</w:t>
      </w:r>
      <w:r w:rsidR="00F70A34">
        <w:rPr>
          <w:rFonts w:ascii="Times New Roman" w:eastAsia="Times New Roman" w:hAnsi="Times New Roman" w:cs="Times New Roman"/>
        </w:rPr>
        <w:t xml:space="preserve"> </w:t>
      </w:r>
      <w:r w:rsidR="00F70A34">
        <w:rPr>
          <w:rFonts w:ascii="Times New Roman" w:eastAsia="Times New Roman" w:hAnsi="Times New Roman" w:cs="Times New Roman"/>
        </w:rPr>
        <w:fldChar w:fldCharType="begin"/>
      </w:r>
      <w:r w:rsidR="00F70A34">
        <w:rPr>
          <w:rFonts w:ascii="Times New Roman" w:eastAsia="Times New Roman" w:hAnsi="Times New Roman" w:cs="Times New Roman"/>
        </w:rPr>
        <w:instrText xml:space="preserve"> ADDIN ZOTERO_ITEM CSL_CITATION {"citationID":"OFDKgNbp","properties":{"formattedCitation":"(Rivera-Hutinel et al., 2012)","plainCitation":"(Rivera-Hutinel et al., 2012)","noteIndex":0},"citationItems":[{"id":1624,"uris":["http://zotero.org/groups/4699449/items/DRTV4MIT"],"itemData":{"id":1624,"type":"article-journal","abstract":"Plant–animal interaction networks provide important information on community organization. One of the most critical assumptions of network analysis is that the observed interaction patterns constitute an adequate sample of the set of interactions present in plant–animal communities. In spite of its importance, few studies have evaluated this assumption, and in consequence, there is no consensus on the sensitivity of network metrics to sampling methodological shortcomings. In this study we examined how variation in sampling completeness inﬂuences the estimation of six network metrics frequently used in the literature (connectance, nestedness, modularity, robustness to species loss, path length, and centralization). We analyzed data of 186 ﬂowering plants and 336 pollinator species in 10 networks from a forest-fragmented system in central Chile. Using species-based accumulation curves, we estimated the deviation of network metrics in undersampled communities with respect to exhaustively sampled communities and the effect of network size and sampling evenness on network metrics. Our results indicate that: (1) most metrics were affected by sampling completeness but differed in their sensitivity to sampling effort; (2) nestedness, modularity, and robustness to species loss were less inﬂuenced by insufﬁcient sampling than connectance, path length, and centralization; (3) robustness was mildly inﬂuenced by sampling evenness. These results caution studies that summarize information from databases with high, or unknown, heterogeneity in sampling effort per species and should stimulate researchers to report sampling intensity to standardize its effects in the search for broad patterns in plant–pollinator networks.","container-title":"Ecology","DOI":"10.1890/11-1803.1","ISSN":"0012-9658, 1939-9170","issue":"7","journalAbbreviation":"Ecology","language":"en","page":"1593-1603","source":"DOI.org (Crossref)","title":"Effects of sampling completeness on the structure of plant–pollinator networks","volume":"93","author":[{"family":"Rivera-Hutinel","given":"A."},{"family":"Bustamante","given":"R. O."},{"family":"Marín","given":"V. H."},{"family":"Medel","given":"R."}],"issued":{"date-parts":[["2012",7]]}}}],"schema":"https://github.com/citation-style-language/schema/raw/master/csl-citation.json"} </w:instrText>
      </w:r>
      <w:r w:rsidR="00F70A34">
        <w:rPr>
          <w:rFonts w:ascii="Times New Roman" w:eastAsia="Times New Roman" w:hAnsi="Times New Roman" w:cs="Times New Roman"/>
        </w:rPr>
        <w:fldChar w:fldCharType="separate"/>
      </w:r>
      <w:r w:rsidR="00F70A34">
        <w:rPr>
          <w:rFonts w:ascii="Times New Roman" w:eastAsia="Times New Roman" w:hAnsi="Times New Roman" w:cs="Times New Roman"/>
          <w:noProof/>
        </w:rPr>
        <w:t>(Rivera-Hutinel et al., 2012)</w:t>
      </w:r>
      <w:r w:rsidR="00F70A34">
        <w:rPr>
          <w:rFonts w:ascii="Times New Roman" w:eastAsia="Times New Roman" w:hAnsi="Times New Roman" w:cs="Times New Roman"/>
        </w:rPr>
        <w:fldChar w:fldCharType="end"/>
      </w:r>
      <w:r w:rsidR="00F70A34">
        <w:rPr>
          <w:rFonts w:ascii="Times New Roman" w:eastAsia="Times New Roman" w:hAnsi="Times New Roman" w:cs="Times New Roman"/>
        </w:rPr>
        <w:t>.</w:t>
      </w:r>
      <w:r w:rsidR="007C7AC9">
        <w:rPr>
          <w:rFonts w:ascii="Times New Roman" w:eastAsia="Times New Roman" w:hAnsi="Times New Roman" w:cs="Times New Roman"/>
        </w:rPr>
        <w:t xml:space="preserve"> Thus, by leveraging these other datasets</w:t>
      </w:r>
      <w:r w:rsidR="00637C3F">
        <w:rPr>
          <w:rFonts w:ascii="Times New Roman" w:eastAsia="Times New Roman" w:hAnsi="Times New Roman" w:cs="Times New Roman"/>
        </w:rPr>
        <w:t xml:space="preserve"> in our model</w:t>
      </w:r>
      <w:r w:rsidR="007C7AC9">
        <w:rPr>
          <w:rFonts w:ascii="Times New Roman" w:eastAsia="Times New Roman" w:hAnsi="Times New Roman" w:cs="Times New Roman"/>
        </w:rPr>
        <w:t xml:space="preserve">, we </w:t>
      </w:r>
      <w:r w:rsidR="00637C3F">
        <w:rPr>
          <w:rFonts w:ascii="Times New Roman" w:eastAsia="Times New Roman" w:hAnsi="Times New Roman" w:cs="Times New Roman"/>
        </w:rPr>
        <w:t xml:space="preserve">may be able to predict a more accurate understanding of network structure. </w:t>
      </w:r>
    </w:p>
    <w:p w14:paraId="47804017" w14:textId="77777777" w:rsidR="00413978" w:rsidRDefault="00413978">
      <w:pPr>
        <w:rPr>
          <w:rFonts w:ascii="Times New Roman" w:eastAsia="Times New Roman" w:hAnsi="Times New Roman" w:cs="Times New Roman"/>
        </w:rPr>
      </w:pPr>
    </w:p>
    <w:p w14:paraId="1E279E7B" w14:textId="77777777" w:rsidR="00413978" w:rsidRDefault="00000000">
      <w:pPr>
        <w:rPr>
          <w:rFonts w:ascii="Times New Roman" w:eastAsia="Times New Roman" w:hAnsi="Times New Roman" w:cs="Times New Roman"/>
        </w:rPr>
      </w:pPr>
      <w:r>
        <w:rPr>
          <w:rFonts w:ascii="Times New Roman" w:eastAsia="Times New Roman" w:hAnsi="Times New Roman" w:cs="Times New Roman"/>
          <w:b/>
          <w:smallCaps/>
        </w:rPr>
        <w:t>Methods</w:t>
      </w:r>
    </w:p>
    <w:p w14:paraId="70F78C47" w14:textId="77777777" w:rsidR="00413978" w:rsidRDefault="00413978">
      <w:pPr>
        <w:rPr>
          <w:rFonts w:ascii="Times New Roman" w:eastAsia="Times New Roman" w:hAnsi="Times New Roman" w:cs="Times New Roman"/>
        </w:rPr>
      </w:pPr>
    </w:p>
    <w:p w14:paraId="63CD7774"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Data cleaning &amp; formatting</w:t>
      </w:r>
    </w:p>
    <w:p w14:paraId="5C6C7A20" w14:textId="77777777" w:rsidR="00413978" w:rsidRDefault="00413978">
      <w:pPr>
        <w:rPr>
          <w:rFonts w:ascii="Times New Roman" w:eastAsia="Times New Roman" w:hAnsi="Times New Roman" w:cs="Times New Roman"/>
        </w:rPr>
      </w:pPr>
    </w:p>
    <w:p w14:paraId="4896076C" w14:textId="729A93B1"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To explore the hypotheses related to bee and plant characteristics that relate to ecological (i.e., what characteristics relate to a species degree of </w:t>
      </w:r>
      <w:r w:rsidR="001656B5">
        <w:rPr>
          <w:rFonts w:ascii="Times New Roman" w:eastAsia="Times New Roman" w:hAnsi="Times New Roman" w:cs="Times New Roman"/>
        </w:rPr>
        <w:t>generalization</w:t>
      </w:r>
      <w:r>
        <w:rPr>
          <w:rFonts w:ascii="Times New Roman" w:eastAsia="Times New Roman" w:hAnsi="Times New Roman" w:cs="Times New Roman"/>
        </w:rPr>
        <w:t xml:space="preserve">?) and detection (i.e., what characteristics relate to species detectability?) processes, we compiled plant and bee species checklists, bee phenology and trait data (i.e., body size, coloration, flight timing), plant phenology and trait data (i.e., flower color, bloom time), and species interaction data from Global Biotic Interactions </w:t>
      </w:r>
      <w:r w:rsidR="00DD45C6">
        <w:rPr>
          <w:rFonts w:ascii="Times New Roman" w:eastAsia="Times New Roman" w:hAnsi="Times New Roman" w:cs="Times New Roman"/>
        </w:rPr>
        <w:fldChar w:fldCharType="begin"/>
      </w:r>
      <w:r w:rsidR="00DD45C6">
        <w:rPr>
          <w:rFonts w:ascii="Times New Roman" w:eastAsia="Times New Roman" w:hAnsi="Times New Roman" w:cs="Times New Roman"/>
        </w:rPr>
        <w:instrText xml:space="preserve"> ADDIN ZOTERO_ITEM CSL_CITATION {"citationID":"KszNbaJt","properties":{"formattedCitation":"(Poelen et al., 2014)","plainCitation":"(Poelen et al., 2014)","noteIndex":0},"citationItems":[{"id":1013,"uris":["http://zotero.org/groups/4699449/items/PGGV4ZME"],"itemData":{"id":1013,"type":"article-journal","container-title":"Ecological Informatics","DOI":"10.1016/j.ecoinf.2014.08.005","ISSN":"15749541","journalAbbreviation":"Ecological Informatics","language":"en","page":"148-159","source":"DOI.org (Crossref)","title":"Global biotic interactions: An open infrastructure to share and analyze species-interaction datasets","title-short":"Global biotic interactions","volume":"24","author":[{"family":"Poelen","given":"Jorrit H."},{"family":"Simons","given":"James D."},{"family":"Mungall","given":"Chris J."}],"issued":{"date-parts":[["2014",11]]}}}],"schema":"https://github.com/citation-style-language/schema/raw/master/csl-citation.json"} </w:instrText>
      </w:r>
      <w:r w:rsidR="00DD45C6">
        <w:rPr>
          <w:rFonts w:ascii="Times New Roman" w:eastAsia="Times New Roman" w:hAnsi="Times New Roman" w:cs="Times New Roman"/>
        </w:rPr>
        <w:fldChar w:fldCharType="separate"/>
      </w:r>
      <w:r w:rsidR="00DD45C6">
        <w:rPr>
          <w:rFonts w:ascii="Times New Roman" w:eastAsia="Times New Roman" w:hAnsi="Times New Roman" w:cs="Times New Roman"/>
          <w:noProof/>
        </w:rPr>
        <w:t>(Poelen et al., 2014)</w:t>
      </w:r>
      <w:r w:rsidR="00DD45C6">
        <w:rPr>
          <w:rFonts w:ascii="Times New Roman" w:eastAsia="Times New Roman" w:hAnsi="Times New Roman" w:cs="Times New Roman"/>
        </w:rPr>
        <w:fldChar w:fldCharType="end"/>
      </w:r>
      <w:r>
        <w:rPr>
          <w:rFonts w:ascii="Times New Roman" w:eastAsia="Times New Roman" w:hAnsi="Times New Roman" w:cs="Times New Roman"/>
        </w:rPr>
        <w:t xml:space="preserve"> before embarking on the statistical analysis. </w:t>
      </w:r>
    </w:p>
    <w:p w14:paraId="3EA7A65B" w14:textId="77777777" w:rsidR="00413978" w:rsidRDefault="00413978">
      <w:pPr>
        <w:rPr>
          <w:rFonts w:ascii="Times New Roman" w:eastAsia="Times New Roman" w:hAnsi="Times New Roman" w:cs="Times New Roman"/>
        </w:rPr>
      </w:pPr>
    </w:p>
    <w:p w14:paraId="40A5CF05"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To do this, we took the following steps to clean and prepare the data:</w:t>
      </w:r>
    </w:p>
    <w:p w14:paraId="3403C41D" w14:textId="77777777" w:rsidR="0041397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Defined the geographic scope of the analysis</w:t>
      </w:r>
    </w:p>
    <w:p w14:paraId="0F876973" w14:textId="77777777" w:rsidR="0041397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Normalized species checklist names</w:t>
      </w:r>
    </w:p>
    <w:p w14:paraId="58E51D3E" w14:textId="77777777" w:rsidR="0041397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Compiled bee and plant phenology and trait data</w:t>
      </w:r>
    </w:p>
    <w:p w14:paraId="689FC3C4" w14:textId="77777777" w:rsidR="0041397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Normalized and cleaned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w:t>
      </w:r>
    </w:p>
    <w:p w14:paraId="542613CA"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Below we describe what we did under each of the steps before moving onto the statistical analysis.</w:t>
      </w:r>
    </w:p>
    <w:p w14:paraId="53D20133" w14:textId="77777777" w:rsidR="00413978" w:rsidRDefault="00413978">
      <w:pPr>
        <w:rPr>
          <w:rFonts w:ascii="Times New Roman" w:eastAsia="Times New Roman" w:hAnsi="Times New Roman" w:cs="Times New Roman"/>
        </w:rPr>
      </w:pPr>
    </w:p>
    <w:p w14:paraId="3A84F30B" w14:textId="0059C716" w:rsidR="00413978" w:rsidRDefault="00000000">
      <w:pPr>
        <w:rPr>
          <w:rFonts w:ascii="Times New Roman" w:eastAsia="Times New Roman" w:hAnsi="Times New Roman" w:cs="Times New Roman"/>
        </w:rPr>
      </w:pPr>
      <w:r>
        <w:rPr>
          <w:rFonts w:ascii="Times New Roman" w:eastAsia="Times New Roman" w:hAnsi="Times New Roman" w:cs="Times New Roman"/>
          <w:i/>
        </w:rPr>
        <w:t xml:space="preserve">(1) Geographic scope: </w:t>
      </w:r>
      <w:r>
        <w:rPr>
          <w:rFonts w:ascii="Times New Roman" w:eastAsia="Times New Roman" w:hAnsi="Times New Roman" w:cs="Times New Roman"/>
        </w:rPr>
        <w:t xml:space="preserve">We defined a spatial range to explore the hypotheses based on the accessibility of authoritative species checklists for both bees and plants. We decided to define </w:t>
      </w:r>
      <w:r>
        <w:rPr>
          <w:rFonts w:ascii="Times New Roman" w:eastAsia="Times New Roman" w:hAnsi="Times New Roman" w:cs="Times New Roman"/>
        </w:rPr>
        <w:lastRenderedPageBreak/>
        <w:t>the area to a rectangular region around Santa Cruz Island, California because of the availability of both bee and plant checklists. Bees and plants have been extensively monitored and studied on the island for many years. Bee specialists Robbin Thorpe and John Asher provided the first checklist of the island in 2005</w:t>
      </w:r>
      <w:r w:rsidR="000B7A71">
        <w:rPr>
          <w:rFonts w:ascii="Times New Roman" w:eastAsia="Times New Roman" w:hAnsi="Times New Roman" w:cs="Times New Roman"/>
        </w:rPr>
        <w:t xml:space="preserve"> </w:t>
      </w:r>
      <w:r w:rsidR="000B7A71">
        <w:rPr>
          <w:rFonts w:ascii="Times New Roman" w:eastAsia="Times New Roman" w:hAnsi="Times New Roman" w:cs="Times New Roman"/>
        </w:rPr>
        <w:fldChar w:fldCharType="begin"/>
      </w:r>
      <w:r w:rsidR="000B7A71">
        <w:rPr>
          <w:rFonts w:ascii="Times New Roman" w:eastAsia="Times New Roman" w:hAnsi="Times New Roman" w:cs="Times New Roman"/>
        </w:rPr>
        <w:instrText xml:space="preserve"> ADDIN ZOTERO_ITEM CSL_CITATION {"citationID":"4CSpqzhi","properties":{"formattedCitation":"(Thorp, 2007)","plainCitation":"(Thorp, 2007)","noteIndex":0},"citationItems":[{"id":1597,"uris":["http://zotero.org/groups/4699449/items/5T84PSII"],"itemData":{"id":1597,"type":"article-journal","abstract":"An unpublished checklist of bees created by Dr. Robbin Thorp of Santa Cruz island in 2007.&amp;nbsp;","language":"en","source":"escholarship.org","title":"A List of Bees of Santa Cruz Island, CA","URL":"https://escholarship.org/uc/item/32s13481","author":[{"family":"Thorp","given":"Robbin"}],"accessed":{"date-parts":[["2022",11,15]]},"issued":{"date-parts":[["2007",4,18]]}}}],"schema":"https://github.com/citation-style-language/schema/raw/master/csl-citation.json"} </w:instrText>
      </w:r>
      <w:r w:rsidR="000B7A71">
        <w:rPr>
          <w:rFonts w:ascii="Times New Roman" w:eastAsia="Times New Roman" w:hAnsi="Times New Roman" w:cs="Times New Roman"/>
        </w:rPr>
        <w:fldChar w:fldCharType="separate"/>
      </w:r>
      <w:r w:rsidR="000B7A71">
        <w:rPr>
          <w:rFonts w:ascii="Times New Roman" w:eastAsia="Times New Roman" w:hAnsi="Times New Roman" w:cs="Times New Roman"/>
          <w:noProof/>
        </w:rPr>
        <w:t>(Thorp, 2007)</w:t>
      </w:r>
      <w:r w:rsidR="000B7A71">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Seltmann</w:t>
      </w:r>
      <w:proofErr w:type="spellEnd"/>
      <w:r>
        <w:rPr>
          <w:rFonts w:ascii="Times New Roman" w:eastAsia="Times New Roman" w:hAnsi="Times New Roman" w:cs="Times New Roman"/>
        </w:rPr>
        <w:t xml:space="preserve"> has collected extensively on the island since 2016 providing additions to the list. The plant checklist </w:t>
      </w:r>
      <w:r w:rsidR="00D665D4">
        <w:rPr>
          <w:rFonts w:ascii="Times New Roman" w:eastAsia="Times New Roman" w:hAnsi="Times New Roman" w:cs="Times New Roman"/>
        </w:rPr>
        <w:fldChar w:fldCharType="begin"/>
      </w:r>
      <w:r w:rsidR="00D665D4">
        <w:rPr>
          <w:rFonts w:ascii="Times New Roman" w:eastAsia="Times New Roman" w:hAnsi="Times New Roman" w:cs="Times New Roman"/>
        </w:rPr>
        <w:instrText xml:space="preserve"> ADDIN ZOTERO_ITEM CSL_CITATION {"citationID":"4dtBx1ea","properties":{"formattedCitation":"(Hasenstab-Lehman et al., 2022)","plainCitation":"(Hasenstab-Lehman et al., 2022)","noteIndex":0},"citationItems":[{"id":1599,"uris":["http://zotero.org/groups/4699449/items/28576562"],"itemData":{"id":1599,"type":"document","title":"Checklist of the Vascular Flora of Santa Cruz Island, California, Version 2","author":[{"family":"Hasenstab-Lehman","given":"K.E."},{"family":"Guilliams","given":"C.M."},{"family":"Junak","given":"S.A."}],"issued":{"date-parts":[["2022",6,10]]}}}],"schema":"https://github.com/citation-style-language/schema/raw/master/csl-citation.json"} </w:instrText>
      </w:r>
      <w:r w:rsidR="00D665D4">
        <w:rPr>
          <w:rFonts w:ascii="Times New Roman" w:eastAsia="Times New Roman" w:hAnsi="Times New Roman" w:cs="Times New Roman"/>
        </w:rPr>
        <w:fldChar w:fldCharType="separate"/>
      </w:r>
      <w:r w:rsidR="00D665D4">
        <w:rPr>
          <w:rFonts w:ascii="Times New Roman" w:eastAsia="Times New Roman" w:hAnsi="Times New Roman" w:cs="Times New Roman"/>
          <w:noProof/>
        </w:rPr>
        <w:t>(Hasenstab-Lehman et al., 2022)</w:t>
      </w:r>
      <w:r w:rsidR="00D665D4">
        <w:rPr>
          <w:rFonts w:ascii="Times New Roman" w:eastAsia="Times New Roman" w:hAnsi="Times New Roman" w:cs="Times New Roman"/>
        </w:rPr>
        <w:fldChar w:fldCharType="end"/>
      </w:r>
      <w:r w:rsidR="00D665D4">
        <w:rPr>
          <w:rFonts w:ascii="Times New Roman" w:eastAsia="Times New Roman" w:hAnsi="Times New Roman" w:cs="Times New Roman"/>
        </w:rPr>
        <w:t xml:space="preserve"> </w:t>
      </w:r>
      <w:r>
        <w:rPr>
          <w:rFonts w:ascii="Times New Roman" w:eastAsia="Times New Roman" w:hAnsi="Times New Roman" w:cs="Times New Roman"/>
        </w:rPr>
        <w:t xml:space="preserve">is a currently unpublished list compiled by Matthew </w:t>
      </w:r>
      <w:proofErr w:type="spellStart"/>
      <w:r>
        <w:rPr>
          <w:rFonts w:ascii="Times New Roman" w:eastAsia="Times New Roman" w:hAnsi="Times New Roman" w:cs="Times New Roman"/>
        </w:rPr>
        <w:t>Guilliams</w:t>
      </w:r>
      <w:proofErr w:type="spellEnd"/>
      <w:r>
        <w:rPr>
          <w:rFonts w:ascii="Times New Roman" w:eastAsia="Times New Roman" w:hAnsi="Times New Roman" w:cs="Times New Roman"/>
        </w:rPr>
        <w:t xml:space="preserve"> and Kristen Lehman from Santa Barbara Botanic Garden. Both lists are based on museum specimens that include vouchered material found in natural history collections. As Santa Cruz Island is located about 20 miles off of mainland California, it is expected that the lists for this location are less prone to migration events </w:t>
      </w:r>
      <w:r w:rsidR="00253598">
        <w:rPr>
          <w:rFonts w:ascii="Times New Roman" w:eastAsia="Times New Roman" w:hAnsi="Times New Roman" w:cs="Times New Roman"/>
        </w:rPr>
        <w:fldChar w:fldCharType="begin"/>
      </w:r>
      <w:r w:rsidR="00253598">
        <w:rPr>
          <w:rFonts w:ascii="Times New Roman" w:eastAsia="Times New Roman" w:hAnsi="Times New Roman" w:cs="Times New Roman"/>
        </w:rPr>
        <w:instrText xml:space="preserve"> ADDIN ZOTERO_ITEM CSL_CITATION {"citationID":"AhkbXJPZ","properties":{"formattedCitation":"(Schoenherr et al., 1999)","plainCitation":"(Schoenherr et al., 1999)","noteIndex":0},"citationItems":[{"id":1625,"uris":["http://zotero.org/groups/4699449/items/R3FVNN28"],"itemData":{"id":1625,"type":"book","abstract":"Islands have always been fascinating places, their separateness evoking a sense of mystery and inspiring a yearning for exploration. California's islands are unique evolutionary laboratories, places where plants and animals have grown and interacted in isolation for millions of years. This comprehensive book discusses both the human and the natural history of the islands of California, including all eight Channel Islands, A�o Nuevo, the Farallons, and the islands of San Francisco Bay. It is also useful as a field guide for visitors, and details on reaching the islands are contained in the first chapter.  The authors explore the formation of the islands; discuss the history of human habitation, beginning with the Native Americans who first visited the islands 12,000 years ago; and provide a thorough introduction to the marine and terrestrial biotas of the islands. The authors also discuss past damage and ongoing threats to island ecosystems, including devastation caused by the introduction of non-native animals and plants. Large herbivorous animals in particular have caused considerable damage, since island plants evolved in the absence of herbivores and therefore have no defenses against them.  At present all of California's islands are managed by conservancies and public agencies such as the National Park Service and State Park system, and various environmental organizations are working with them to return the islands to their original condition.","ISBN":"978-0-520-21197-1","language":"en","note":"Google-Books-ID: j9ATAQAAIAAJ","number-of-pages":"528","publisher":"University of California Press","source":"Google Books","title":"Natural History of the Islands of California","author":[{"family":"Schoenherr","given":"Allan A."},{"family":"Feldmeth","given":"C. Robert"},{"family":"Emerson","given":"Michael J."}],"issued":{"date-parts":[["1999"]]}}}],"schema":"https://github.com/citation-style-language/schema/raw/master/csl-citation.json"} </w:instrText>
      </w:r>
      <w:r w:rsidR="00253598">
        <w:rPr>
          <w:rFonts w:ascii="Times New Roman" w:eastAsia="Times New Roman" w:hAnsi="Times New Roman" w:cs="Times New Roman"/>
        </w:rPr>
        <w:fldChar w:fldCharType="separate"/>
      </w:r>
      <w:r w:rsidR="00253598">
        <w:rPr>
          <w:rFonts w:ascii="Times New Roman" w:eastAsia="Times New Roman" w:hAnsi="Times New Roman" w:cs="Times New Roman"/>
          <w:noProof/>
        </w:rPr>
        <w:t>(Schoenherr et al., 1999)</w:t>
      </w:r>
      <w:r w:rsidR="00253598">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96CCDF5" w14:textId="77777777" w:rsidR="00413978" w:rsidRDefault="00413978">
      <w:pPr>
        <w:rPr>
          <w:rFonts w:ascii="Times New Roman" w:eastAsia="Times New Roman" w:hAnsi="Times New Roman" w:cs="Times New Roman"/>
        </w:rPr>
      </w:pPr>
    </w:p>
    <w:p w14:paraId="7E25E520"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leveraged the bee and plant species checklists to limit the possible available interactions, but utilized a greater geographic bound for our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records in order to get a more accurate understanding of species interactions according to these records. Indeed, selecting a larger geographic area proved necessary once we restricted observations to those that were identified at the species level and found only 20 viable entries of bee-plant interactions for Santa Cruz Island. Thus, we defined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interaction boundaries from San Luis Obispo to San Diego, CA (latitude from 30 – 36; longitude from -150 to -116; Figure S1). We constrained these boundaries in order to include regions with similar bee and plant </w:t>
      </w:r>
      <w:proofErr w:type="spellStart"/>
      <w:r>
        <w:rPr>
          <w:rFonts w:ascii="Times New Roman" w:eastAsia="Times New Roman" w:hAnsi="Times New Roman" w:cs="Times New Roman"/>
        </w:rPr>
        <w:t>phenologies</w:t>
      </w:r>
      <w:proofErr w:type="spellEnd"/>
      <w:r>
        <w:rPr>
          <w:rFonts w:ascii="Times New Roman" w:eastAsia="Times New Roman" w:hAnsi="Times New Roman" w:cs="Times New Roman"/>
        </w:rPr>
        <w:t>, given that some of these species distributions are widespread, even outside of California. In the northern part of our defined range, San Luis Obispo, CA experiences annual high and low temperatures of 47F to 71F, respectively, with an average annual precipitation of 19 inches (</w:t>
      </w:r>
      <w:hyperlink r:id="rId9">
        <w:r>
          <w:rPr>
            <w:rFonts w:ascii="Times New Roman" w:eastAsia="Times New Roman" w:hAnsi="Times New Roman" w:cs="Times New Roman"/>
            <w:color w:val="1155CC"/>
            <w:u w:val="single"/>
          </w:rPr>
          <w:t>https://www.usclimatedata.com/climate/san-luis-obispo/california/united-states/usca1502</w:t>
        </w:r>
      </w:hyperlink>
      <w:r>
        <w:rPr>
          <w:rFonts w:ascii="Times New Roman" w:eastAsia="Times New Roman" w:hAnsi="Times New Roman" w:cs="Times New Roman"/>
        </w:rPr>
        <w:t>); and in the southernmost part of our defined range, San Diego, CA experiences high and low temperatures of 58F to 70F, respectively, with an average annual precipitation of 10 inches (</w:t>
      </w:r>
      <w:hyperlink r:id="rId10">
        <w:r>
          <w:rPr>
            <w:rFonts w:ascii="Times New Roman" w:eastAsia="Times New Roman" w:hAnsi="Times New Roman" w:cs="Times New Roman"/>
            <w:color w:val="1155CC"/>
            <w:u w:val="single"/>
          </w:rPr>
          <w:t>https://www.usclimatedata.com/climate/san-diego/california/united-states/usca0982</w:t>
        </w:r>
      </w:hyperlink>
      <w:r>
        <w:rPr>
          <w:rFonts w:ascii="Times New Roman" w:eastAsia="Times New Roman" w:hAnsi="Times New Roman" w:cs="Times New Roman"/>
        </w:rPr>
        <w:t xml:space="preserve">). </w:t>
      </w:r>
    </w:p>
    <w:p w14:paraId="0ED3F483" w14:textId="77777777" w:rsidR="00413978" w:rsidRDefault="00413978">
      <w:pPr>
        <w:rPr>
          <w:rFonts w:ascii="Times New Roman" w:eastAsia="Times New Roman" w:hAnsi="Times New Roman" w:cs="Times New Roman"/>
        </w:rPr>
      </w:pPr>
    </w:p>
    <w:p w14:paraId="7458110A" w14:textId="0E0E50F4" w:rsidR="00413978" w:rsidRDefault="00000000">
      <w:pPr>
        <w:rPr>
          <w:rFonts w:ascii="Times New Roman" w:eastAsia="Times New Roman" w:hAnsi="Times New Roman" w:cs="Times New Roman"/>
        </w:rPr>
      </w:pPr>
      <w:r>
        <w:rPr>
          <w:rFonts w:ascii="Times New Roman" w:eastAsia="Times New Roman" w:hAnsi="Times New Roman" w:cs="Times New Roman"/>
          <w:i/>
        </w:rPr>
        <w:t>(2) Normalized species checklists:</w:t>
      </w:r>
      <w:r>
        <w:rPr>
          <w:rFonts w:ascii="Times New Roman" w:eastAsia="Times New Roman" w:hAnsi="Times New Roman" w:cs="Times New Roman"/>
        </w:rPr>
        <w:t xml:space="preserve"> The bee checklist for Santa Cruz Island in June 2022 had a total of 141 species. We excluded any species in our checklists not identified to species level – i.e., genus is identified but listed as “sp.”. This removed a total of three bee species (</w:t>
      </w:r>
      <w:r>
        <w:rPr>
          <w:rFonts w:ascii="Times New Roman" w:eastAsia="Times New Roman" w:hAnsi="Times New Roman" w:cs="Times New Roman"/>
          <w:i/>
        </w:rPr>
        <w:t>Calliopsis sp.</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Sphecodes</w:t>
      </w:r>
      <w:proofErr w:type="spellEnd"/>
      <w:r>
        <w:rPr>
          <w:rFonts w:ascii="Times New Roman" w:eastAsia="Times New Roman" w:hAnsi="Times New Roman" w:cs="Times New Roman"/>
          <w:i/>
        </w:rPr>
        <w:t xml:space="preserve"> sp.</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Stelis</w:t>
      </w:r>
      <w:proofErr w:type="spellEnd"/>
      <w:r>
        <w:rPr>
          <w:rFonts w:ascii="Times New Roman" w:eastAsia="Times New Roman" w:hAnsi="Times New Roman" w:cs="Times New Roman"/>
          <w:i/>
        </w:rPr>
        <w:t xml:space="preserve"> sp.</w:t>
      </w:r>
      <w:r>
        <w:rPr>
          <w:rFonts w:ascii="Times New Roman" w:eastAsia="Times New Roman" w:hAnsi="Times New Roman" w:cs="Times New Roman"/>
        </w:rPr>
        <w:t xml:space="preserve">). We also excluded </w:t>
      </w:r>
      <w:proofErr w:type="spellStart"/>
      <w:r>
        <w:rPr>
          <w:rFonts w:ascii="Times New Roman" w:eastAsia="Times New Roman" w:hAnsi="Times New Roman" w:cs="Times New Roman"/>
          <w:i/>
        </w:rPr>
        <w:t>Apis</w:t>
      </w:r>
      <w:proofErr w:type="spellEnd"/>
      <w:r>
        <w:rPr>
          <w:rFonts w:ascii="Times New Roman" w:eastAsia="Times New Roman" w:hAnsi="Times New Roman" w:cs="Times New Roman"/>
          <w:i/>
        </w:rPr>
        <w:t xml:space="preserve"> mellifera</w:t>
      </w:r>
      <w:r>
        <w:rPr>
          <w:rFonts w:ascii="Times New Roman" w:eastAsia="Times New Roman" w:hAnsi="Times New Roman" w:cs="Times New Roman"/>
        </w:rPr>
        <w:t xml:space="preserve"> from the bee checklist because </w:t>
      </w:r>
      <w:r>
        <w:rPr>
          <w:rFonts w:ascii="Times New Roman" w:eastAsia="Times New Roman" w:hAnsi="Times New Roman" w:cs="Times New Roman"/>
          <w:i/>
        </w:rPr>
        <w:t xml:space="preserve">A. mellifera </w:t>
      </w:r>
      <w:r>
        <w:rPr>
          <w:rFonts w:ascii="Times New Roman" w:eastAsia="Times New Roman" w:hAnsi="Times New Roman" w:cs="Times New Roman"/>
        </w:rPr>
        <w:t>was extirpated from Santa Cruz Island in ca. 2004</w:t>
      </w:r>
      <w:r w:rsidR="00D665D4">
        <w:rPr>
          <w:rFonts w:ascii="Times New Roman" w:eastAsia="Times New Roman" w:hAnsi="Times New Roman" w:cs="Times New Roman"/>
        </w:rPr>
        <w:t xml:space="preserve"> </w:t>
      </w:r>
      <w:r w:rsidR="00D665D4">
        <w:rPr>
          <w:rFonts w:ascii="Times New Roman" w:eastAsia="Times New Roman" w:hAnsi="Times New Roman" w:cs="Times New Roman"/>
        </w:rPr>
        <w:fldChar w:fldCharType="begin"/>
      </w:r>
      <w:r w:rsidR="00D665D4">
        <w:rPr>
          <w:rFonts w:ascii="Times New Roman" w:eastAsia="Times New Roman" w:hAnsi="Times New Roman" w:cs="Times New Roman"/>
        </w:rPr>
        <w:instrText xml:space="preserve"> ADDIN ZOTERO_ITEM CSL_CITATION {"citationID":"DuhGjevK","properties":{"formattedCitation":"(Thorp, 2007)","plainCitation":"(Thorp, 2007)","noteIndex":0},"citationItems":[{"id":1597,"uris":["http://zotero.org/groups/4699449/items/5T84PSII"],"itemData":{"id":1597,"type":"article-journal","abstract":"An unpublished checklist of bees created by Dr. Robbin Thorp of Santa Cruz island in 2007.&amp;nbsp;","language":"en","source":"escholarship.org","title":"A List of Bees of Santa Cruz Island, CA","URL":"https://escholarship.org/uc/item/32s13481","author":[{"family":"Thorp","given":"Robbin"}],"accessed":{"date-parts":[["2022",11,15]]},"issued":{"date-parts":[["2007",4,18]]}}}],"schema":"https://github.com/citation-style-language/schema/raw/master/csl-citation.json"} </w:instrText>
      </w:r>
      <w:r w:rsidR="00D665D4">
        <w:rPr>
          <w:rFonts w:ascii="Times New Roman" w:eastAsia="Times New Roman" w:hAnsi="Times New Roman" w:cs="Times New Roman"/>
        </w:rPr>
        <w:fldChar w:fldCharType="separate"/>
      </w:r>
      <w:r w:rsidR="00D665D4">
        <w:rPr>
          <w:rFonts w:ascii="Times New Roman" w:eastAsia="Times New Roman" w:hAnsi="Times New Roman" w:cs="Times New Roman"/>
          <w:noProof/>
        </w:rPr>
        <w:t>(Thorp, 2007)</w:t>
      </w:r>
      <w:r w:rsidR="00D665D4">
        <w:rPr>
          <w:rFonts w:ascii="Times New Roman" w:eastAsia="Times New Roman" w:hAnsi="Times New Roman" w:cs="Times New Roman"/>
        </w:rPr>
        <w:fldChar w:fldCharType="end"/>
      </w:r>
      <w:r>
        <w:rPr>
          <w:rFonts w:ascii="Times New Roman" w:eastAsia="Times New Roman" w:hAnsi="Times New Roman" w:cs="Times New Roman"/>
        </w:rPr>
        <w:t xml:space="preserve">. Our final list of bee species included 139 species. </w:t>
      </w:r>
    </w:p>
    <w:p w14:paraId="7192A976" w14:textId="77777777" w:rsidR="00413978" w:rsidRDefault="00413978">
      <w:pPr>
        <w:rPr>
          <w:rFonts w:ascii="Times New Roman" w:eastAsia="Times New Roman" w:hAnsi="Times New Roman" w:cs="Times New Roman"/>
        </w:rPr>
      </w:pPr>
    </w:p>
    <w:p w14:paraId="227C0563"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The original plant checklist consisted of 562 species. We excluded all non-flowering plant species, and excluded flowering plant genera that had no recorded bee-plant interaction in our </w:t>
      </w:r>
      <w:proofErr w:type="spellStart"/>
      <w:r>
        <w:rPr>
          <w:rFonts w:ascii="Times New Roman" w:eastAsia="Times New Roman" w:hAnsi="Times New Roman" w:cs="Times New Roman"/>
        </w:rPr>
        <w:t>subsetted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interaction list (including plants that had an interaction with </w:t>
      </w:r>
      <w:r>
        <w:rPr>
          <w:rFonts w:ascii="Times New Roman" w:eastAsia="Times New Roman" w:hAnsi="Times New Roman" w:cs="Times New Roman"/>
          <w:i/>
        </w:rPr>
        <w:t>A. mellifera</w:t>
      </w:r>
      <w:r>
        <w:rPr>
          <w:rFonts w:ascii="Times New Roman" w:eastAsia="Times New Roman" w:hAnsi="Times New Roman" w:cs="Times New Roman"/>
        </w:rPr>
        <w:t xml:space="preserve">). This brought our total plant list to 150 species. </w:t>
      </w:r>
    </w:p>
    <w:p w14:paraId="0AE761A3"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ab/>
      </w:r>
    </w:p>
    <w:p w14:paraId="6999664E"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t>(3) Compiling bee and plant phenology and trait data:</w:t>
      </w:r>
      <w:r>
        <w:rPr>
          <w:rFonts w:ascii="Times New Roman" w:eastAsia="Times New Roman" w:hAnsi="Times New Roman" w:cs="Times New Roman"/>
        </w:rPr>
        <w:t xml:space="preserve"> </w:t>
      </w:r>
    </w:p>
    <w:p w14:paraId="3CF6B21A" w14:textId="77777777" w:rsidR="00413978" w:rsidRDefault="00413978">
      <w:pPr>
        <w:rPr>
          <w:rFonts w:ascii="Times New Roman" w:eastAsia="Times New Roman" w:hAnsi="Times New Roman" w:cs="Times New Roman"/>
          <w:i/>
        </w:rPr>
      </w:pPr>
    </w:p>
    <w:p w14:paraId="5F1B5B45" w14:textId="223AF8B3" w:rsidR="00413978" w:rsidRDefault="00000000">
      <w:pPr>
        <w:rPr>
          <w:rFonts w:ascii="Times New Roman" w:eastAsia="Times New Roman" w:hAnsi="Times New Roman" w:cs="Times New Roman"/>
        </w:rPr>
      </w:pPr>
      <w:commentRangeStart w:id="8"/>
      <w:r>
        <w:rPr>
          <w:rFonts w:ascii="Times New Roman" w:eastAsia="Times New Roman" w:hAnsi="Times New Roman" w:cs="Times New Roman"/>
          <w:i/>
        </w:rPr>
        <w:t>Bees</w:t>
      </w:r>
      <w:r>
        <w:rPr>
          <w:rFonts w:ascii="Times New Roman" w:eastAsia="Times New Roman" w:hAnsi="Times New Roman" w:cs="Times New Roman"/>
        </w:rPr>
        <w:t xml:space="preserve">- For all bee species on the checklist, bee size was obtained from the descriptions recorded on Discover Life or from publications found on the Biodiversity Heritage Library </w:t>
      </w:r>
      <w:r w:rsidR="00D665D4">
        <w:rPr>
          <w:rFonts w:ascii="Times New Roman" w:eastAsia="Times New Roman" w:hAnsi="Times New Roman" w:cs="Times New Roman"/>
        </w:rPr>
        <w:fldChar w:fldCharType="begin"/>
      </w:r>
      <w:r w:rsidR="00D665D4">
        <w:rPr>
          <w:rFonts w:ascii="Times New Roman" w:eastAsia="Times New Roman" w:hAnsi="Times New Roman" w:cs="Times New Roman"/>
        </w:rPr>
        <w:instrText xml:space="preserve"> ADDIN ZOTERO_ITEM CSL_CITATION {"citationID":"Erm7MA1q","properties":{"formattedCitation":"(Gwinn &amp; Rinaldo, 2009)","plainCitation":"(Gwinn &amp; Rinaldo, 2009)","noteIndex":0},"citationItems":[{"id":1600,"uris":["http://zotero.org/groups/4699449/items/QLNL3Y6M"],"itemData":{"id":1600,"type":"article-journal","abstract":"Ten major natural history museum libraries, botanical libraries, and research institutions in the United Kingdom and the United States joined in 2005 to develop a strategy and operational plan to digitize the published literature of biodiversity held in their respective collections and to make that literature available for open access and responsible use as a part of a global `biodiversity commons.' Headquartered at the Smithsonian Institution Libraries, the Biodiversity Heritage Library (BHL) is one of the cornerstones of the Encyclopedia of Life, a global effort to document all 1.8 million named species of animals, plants, and other forms of life on earth. This paper provides an overview of the BHL and its potential impact on biodiversity research, describes the BHL portal and its innovative search services, and provides a case study of the process from one of the members: the Museum of Comparative Zoology at Harvard University.","container-title":"IFLA Journal","DOI":"10.1177/0340035208102032","ISSN":"0340-0352","issue":"1","note":"publisher: SAGE Publications Ltd","page":"25-34","source":"SAGE Journals","title":"The Biodiversity Heritage Library: sharing biodiversity literature with the world","title-short":"The Biodiversity Heritage Library","volume":"35","author":[{"family":"Gwinn","given":"Nancy E."},{"family":"Rinaldo","given":"Constance"}],"issued":{"date-parts":[["2009",3,1]]}}}],"schema":"https://github.com/citation-style-language/schema/raw/master/csl-citation.json"} </w:instrText>
      </w:r>
      <w:r w:rsidR="00D665D4">
        <w:rPr>
          <w:rFonts w:ascii="Times New Roman" w:eastAsia="Times New Roman" w:hAnsi="Times New Roman" w:cs="Times New Roman"/>
        </w:rPr>
        <w:fldChar w:fldCharType="separate"/>
      </w:r>
      <w:r w:rsidR="00D665D4">
        <w:rPr>
          <w:rFonts w:ascii="Times New Roman" w:eastAsia="Times New Roman" w:hAnsi="Times New Roman" w:cs="Times New Roman"/>
          <w:noProof/>
        </w:rPr>
        <w:t>(Gwinn &amp; Rinaldo, 2009)</w:t>
      </w:r>
      <w:r w:rsidR="00D665D4">
        <w:rPr>
          <w:rFonts w:ascii="Times New Roman" w:eastAsia="Times New Roman" w:hAnsi="Times New Roman" w:cs="Times New Roman"/>
        </w:rPr>
        <w:fldChar w:fldCharType="end"/>
      </w:r>
      <w:r>
        <w:rPr>
          <w:rFonts w:ascii="Times New Roman" w:eastAsia="Times New Roman" w:hAnsi="Times New Roman" w:cs="Times New Roman"/>
        </w:rPr>
        <w:t xml:space="preserve"> (DATE ACCESSED). Bee size was recorded as a range for both males and females. Since most of the bee size metrics were correlated, for the analyses, we used minimum female size. </w:t>
      </w:r>
    </w:p>
    <w:p w14:paraId="37895F60" w14:textId="34DA44AA" w:rsidR="004139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Bee sociality was documented using “The Bees In Your Backyard” </w:t>
      </w:r>
      <w:r w:rsidR="00D665D4">
        <w:rPr>
          <w:rFonts w:ascii="Times New Roman" w:eastAsia="Times New Roman" w:hAnsi="Times New Roman" w:cs="Times New Roman"/>
        </w:rPr>
        <w:fldChar w:fldCharType="begin"/>
      </w:r>
      <w:r w:rsidR="00D665D4">
        <w:rPr>
          <w:rFonts w:ascii="Times New Roman" w:eastAsia="Times New Roman" w:hAnsi="Times New Roman" w:cs="Times New Roman"/>
        </w:rPr>
        <w:instrText xml:space="preserve"> ADDIN ZOTERO_ITEM CSL_CITATION {"citationID":"1leZaWN9","properties":{"formattedCitation":"(Wilson &amp; Carril, 2015)","plainCitation":"(Wilson &amp; Carril, 2015)","noteIndex":0},"citationItems":[{"id":1602,"uris":["http://zotero.org/groups/4699449/items/RL322D5X"],"itemData":{"id":1602,"type":"book","abstract":"The Bees in Your Backyard provides an engaging introduction to the roughly 4,000 different bee species found in the United States and Canada, dispelling common myths about bees while offering essential tips for telling them apart in the field. The book features more than 900 stunning color photos of the bees living all around us—in our gardens and parks, along nature trails, and in the wild spaces between. It describes their natural history, including where they live, how they gather food, their role as pollinators, and even how to attract them to your own backyard. Ideal for amateur naturalists and experts alike, it gives detailed accounts of every bee family and genus in North America, describing key identification features, distributions, diets, nesting habits, and more. Provides the most comprehensive and accessible guide to all bees in the United States and Canada Features more than 900 full-color photos Offers helpful identification tips and pointers for studying bees Includes a full chapter on how to attract bees to your backyard","ISBN":"978-1-4008-7415-6","language":"en","note":"DOI: 10.1515/9781400874156\ncontainer-title: The Bees in Your Backyard","publisher":"Princeton University Press","source":"www.degruyter.com","title":"The Bees in Your Backyard: A Guide to North America's Bees","title-short":"The Bees in Your Backyard","URL":"https://www.degruyter.com/document/doi/10.1515/9781400874156/html","author":[{"family":"Wilson","given":"Joseph S."},{"family":"Carril","given":"Olivia Messinger"}],"accessed":{"date-parts":[["2022",11,15]]},"issued":{"date-parts":[["2015",11,24]]}}}],"schema":"https://github.com/citation-style-language/schema/raw/master/csl-citation.json"} </w:instrText>
      </w:r>
      <w:r w:rsidR="00D665D4">
        <w:rPr>
          <w:rFonts w:ascii="Times New Roman" w:eastAsia="Times New Roman" w:hAnsi="Times New Roman" w:cs="Times New Roman"/>
        </w:rPr>
        <w:fldChar w:fldCharType="separate"/>
      </w:r>
      <w:r w:rsidR="00D665D4">
        <w:rPr>
          <w:rFonts w:ascii="Times New Roman" w:eastAsia="Times New Roman" w:hAnsi="Times New Roman" w:cs="Times New Roman"/>
          <w:noProof/>
        </w:rPr>
        <w:t>(Wilson &amp; Carril, 2015)</w:t>
      </w:r>
      <w:r w:rsidR="00D665D4">
        <w:rPr>
          <w:rFonts w:ascii="Times New Roman" w:eastAsia="Times New Roman" w:hAnsi="Times New Roman" w:cs="Times New Roman"/>
        </w:rPr>
        <w:fldChar w:fldCharType="end"/>
      </w:r>
      <w:r w:rsidR="00D665D4">
        <w:rPr>
          <w:rFonts w:ascii="Times New Roman" w:eastAsia="Times New Roman" w:hAnsi="Times New Roman" w:cs="Times New Roman"/>
        </w:rPr>
        <w:t xml:space="preserve"> </w:t>
      </w:r>
      <w:r>
        <w:rPr>
          <w:rFonts w:ascii="Times New Roman" w:eastAsia="Times New Roman" w:hAnsi="Times New Roman" w:cs="Times New Roman"/>
        </w:rPr>
        <w:t xml:space="preserve">including five broad categories: eusocial, </w:t>
      </w:r>
      <w:proofErr w:type="spellStart"/>
      <w:r>
        <w:rPr>
          <w:rFonts w:ascii="Times New Roman" w:eastAsia="Times New Roman" w:hAnsi="Times New Roman" w:cs="Times New Roman"/>
        </w:rPr>
        <w:t>semisocial</w:t>
      </w:r>
      <w:proofErr w:type="spellEnd"/>
      <w:r>
        <w:rPr>
          <w:rFonts w:ascii="Times New Roman" w:eastAsia="Times New Roman" w:hAnsi="Times New Roman" w:cs="Times New Roman"/>
        </w:rPr>
        <w:t>, communal, nest aggregation, solitary, and parasitic. Sociality was recorded at the genus level</w:t>
      </w:r>
      <w:r w:rsidR="00D665D4">
        <w:rPr>
          <w:rFonts w:ascii="Times New Roman" w:eastAsia="Times New Roman" w:hAnsi="Times New Roman" w:cs="Times New Roman"/>
        </w:rPr>
        <w:t xml:space="preserve"> </w:t>
      </w:r>
      <w:r>
        <w:rPr>
          <w:rFonts w:ascii="Times New Roman" w:eastAsia="Times New Roman" w:hAnsi="Times New Roman" w:cs="Times New Roman"/>
        </w:rPr>
        <w:t>with a 1 representing true or 0 representing false. Genera that include several nesting behaviors were recorded as true for all behaviors found within the genus.</w:t>
      </w:r>
    </w:p>
    <w:p w14:paraId="2C1CC2A3" w14:textId="7B2E196F" w:rsidR="004139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compile bee trait data, we used texts from Discover Life</w:t>
      </w:r>
      <w:r w:rsidR="00D36CAF">
        <w:rPr>
          <w:rFonts w:ascii="Times New Roman" w:eastAsia="Times New Roman" w:hAnsi="Times New Roman" w:cs="Times New Roman"/>
        </w:rPr>
        <w:t xml:space="preserve"> </w:t>
      </w:r>
      <w:r w:rsidR="00D36CAF">
        <w:rPr>
          <w:rFonts w:ascii="Times New Roman" w:eastAsia="Times New Roman" w:hAnsi="Times New Roman" w:cs="Times New Roman"/>
        </w:rPr>
        <w:fldChar w:fldCharType="begin"/>
      </w:r>
      <w:r w:rsidR="00D36CAF">
        <w:rPr>
          <w:rFonts w:ascii="Times New Roman" w:eastAsia="Times New Roman" w:hAnsi="Times New Roman" w:cs="Times New Roman"/>
        </w:rPr>
        <w:instrText xml:space="preserve"> ADDIN ZOTERO_ITEM CSL_CITATION {"citationID":"dG5JT83A","properties":{"formattedCitation":"(Ascher &amp; Pickering, 2020)","plainCitation":"(Ascher &amp; Pickering, 2020)","noteIndex":0},"citationItems":[{"id":1609,"uris":["http://zotero.org/groups/4699449/items/KDAXAIBW"],"itemData":{"id":1609,"type":"webpage","title":"Discover Life bee species guide and world checklist (Hymenoptera: Apoidea: Anthophila)","URL":"https://www.discoverlife.org/mp/20q?guide=Apoidea_species","author":[{"family":"Ascher","given":"J.S."},{"family":"Pickering","given":"J"}],"accessed":{"date-parts":[["2022",11,15]]},"issued":{"date-parts":[["2020"]]}}}],"schema":"https://github.com/citation-style-language/schema/raw/master/csl-citation.json"} </w:instrText>
      </w:r>
      <w:r w:rsidR="00D36CAF">
        <w:rPr>
          <w:rFonts w:ascii="Times New Roman" w:eastAsia="Times New Roman" w:hAnsi="Times New Roman" w:cs="Times New Roman"/>
        </w:rPr>
        <w:fldChar w:fldCharType="separate"/>
      </w:r>
      <w:r w:rsidR="00D36CAF">
        <w:rPr>
          <w:rFonts w:ascii="Times New Roman" w:eastAsia="Times New Roman" w:hAnsi="Times New Roman" w:cs="Times New Roman"/>
          <w:noProof/>
        </w:rPr>
        <w:t>(Ascher &amp; Pickering, 2020)</w:t>
      </w:r>
      <w:r w:rsidR="00D36CAF">
        <w:rPr>
          <w:rFonts w:ascii="Times New Roman" w:eastAsia="Times New Roman" w:hAnsi="Times New Roman" w:cs="Times New Roman"/>
        </w:rPr>
        <w:fldChar w:fldCharType="end"/>
      </w:r>
      <w:r>
        <w:rPr>
          <w:rFonts w:ascii="Times New Roman" w:eastAsia="Times New Roman" w:hAnsi="Times New Roman" w:cs="Times New Roman"/>
        </w:rPr>
        <w:t xml:space="preserve"> and BHL and images from XX sites. To quantify bee coloration, we created binary descriptions from head to </w:t>
      </w:r>
      <w:proofErr w:type="spellStart"/>
      <w:r>
        <w:rPr>
          <w:rFonts w:ascii="Times New Roman" w:eastAsia="Times New Roman" w:hAnsi="Times New Roman" w:cs="Times New Roman"/>
        </w:rPr>
        <w:t>abdomen,describing</w:t>
      </w:r>
      <w:proofErr w:type="spellEnd"/>
      <w:r>
        <w:rPr>
          <w:rFonts w:ascii="Times New Roman" w:eastAsia="Times New Roman" w:hAnsi="Times New Roman" w:cs="Times New Roman"/>
        </w:rPr>
        <w:t xml:space="preserve"> the entire body of a bee (i.e., dark metallic head, stripped or dull abdomen). We used images from </w:t>
      </w:r>
      <w:r>
        <w:rPr>
          <w:rFonts w:ascii="Times New Roman" w:eastAsia="Times New Roman" w:hAnsi="Times New Roman" w:cs="Times New Roman"/>
          <w:highlight w:val="yellow"/>
        </w:rPr>
        <w:t>XX</w:t>
      </w:r>
      <w:r>
        <w:rPr>
          <w:rFonts w:ascii="Times New Roman" w:eastAsia="Times New Roman" w:hAnsi="Times New Roman" w:cs="Times New Roman"/>
        </w:rPr>
        <w:t xml:space="preserve"> sites in order to compile these trait characterizations. </w:t>
      </w:r>
    </w:p>
    <w:p w14:paraId="6663BC1B" w14:textId="77777777" w:rsidR="004139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Data for bee phenology was collected using…</w:t>
      </w:r>
      <w:commentRangeEnd w:id="8"/>
      <w:r w:rsidR="00AF424F">
        <w:rPr>
          <w:rStyle w:val="CommentReference"/>
        </w:rPr>
        <w:commentReference w:id="8"/>
      </w:r>
    </w:p>
    <w:p w14:paraId="1B34504C" w14:textId="7AD762B5" w:rsidR="00413978" w:rsidRDefault="00000000">
      <w:pPr>
        <w:rPr>
          <w:rFonts w:ascii="Times New Roman" w:eastAsia="Times New Roman" w:hAnsi="Times New Roman" w:cs="Times New Roman"/>
        </w:rPr>
      </w:pPr>
      <w:r>
        <w:rPr>
          <w:rFonts w:ascii="Times New Roman" w:eastAsia="Times New Roman" w:hAnsi="Times New Roman" w:cs="Times New Roman"/>
          <w:i/>
        </w:rPr>
        <w:t>Plants</w:t>
      </w:r>
      <w:r>
        <w:rPr>
          <w:rFonts w:ascii="Times New Roman" w:eastAsia="Times New Roman" w:hAnsi="Times New Roman" w:cs="Times New Roman"/>
        </w:rPr>
        <w:t xml:space="preserve">- Data for plant phenology was collected using </w:t>
      </w:r>
      <w:proofErr w:type="spellStart"/>
      <w:r>
        <w:rPr>
          <w:rFonts w:ascii="Times New Roman" w:eastAsia="Times New Roman" w:hAnsi="Times New Roman" w:cs="Times New Roman"/>
        </w:rPr>
        <w:t>Calflora</w:t>
      </w:r>
      <w:proofErr w:type="spellEnd"/>
      <w:r w:rsidR="009F7BA5">
        <w:rPr>
          <w:rFonts w:ascii="Times New Roman" w:eastAsia="Times New Roman" w:hAnsi="Times New Roman" w:cs="Times New Roman"/>
        </w:rPr>
        <w:t xml:space="preserve"> </w:t>
      </w:r>
      <w:r w:rsidR="00D6545B">
        <w:rPr>
          <w:rFonts w:ascii="Times New Roman" w:eastAsia="Times New Roman" w:hAnsi="Times New Roman" w:cs="Times New Roman"/>
        </w:rPr>
        <w:fldChar w:fldCharType="begin"/>
      </w:r>
      <w:r w:rsidR="00D6545B">
        <w:rPr>
          <w:rFonts w:ascii="Times New Roman" w:eastAsia="Times New Roman" w:hAnsi="Times New Roman" w:cs="Times New Roman"/>
        </w:rPr>
        <w:instrText xml:space="preserve"> ADDIN ZOTERO_ITEM CSL_CITATION {"citationID":"0nFORTVH","properties":{"formattedCitation":"({\\i{}Calflora}, 2022)","plainCitation":"(Calflora, 2022)","noteIndex":0},"citationItems":[{"id":1637,"uris":["http://zotero.org/groups/4699449/items/LNFE8EVC"],"itemData":{"id":1637,"type":"webpage","container-title":"Berkeley, California: The Calflora Database [a non-profit organization]","title":"Calflora: Information on California plants for education, research and conservation","title-short":"Calflora","URL":"https://www.calflora.org/","accessed":{"date-parts":[["2022",6,8]]},"issued":{"date-parts":[["2022"]]}}}],"schema":"https://github.com/citation-style-language/schema/raw/master/csl-citation.json"} </w:instrText>
      </w:r>
      <w:r w:rsidR="00D6545B">
        <w:rPr>
          <w:rFonts w:ascii="Times New Roman" w:eastAsia="Times New Roman" w:hAnsi="Times New Roman" w:cs="Times New Roman"/>
        </w:rPr>
        <w:fldChar w:fldCharType="separate"/>
      </w:r>
      <w:r w:rsidR="00D6545B" w:rsidRPr="00D6545B">
        <w:rPr>
          <w:rFonts w:ascii="Times New Roman" w:hAnsi="Times New Roman" w:cs="Times New Roman"/>
        </w:rPr>
        <w:t>(</w:t>
      </w:r>
      <w:proofErr w:type="spellStart"/>
      <w:r w:rsidR="00D6545B" w:rsidRPr="00D6545B">
        <w:rPr>
          <w:rFonts w:ascii="Times New Roman" w:hAnsi="Times New Roman" w:cs="Times New Roman"/>
          <w:i/>
          <w:iCs/>
        </w:rPr>
        <w:t>Calflora</w:t>
      </w:r>
      <w:proofErr w:type="spellEnd"/>
      <w:r w:rsidR="00D6545B" w:rsidRPr="00D6545B">
        <w:rPr>
          <w:rFonts w:ascii="Times New Roman" w:hAnsi="Times New Roman" w:cs="Times New Roman"/>
        </w:rPr>
        <w:t>, 2022)</w:t>
      </w:r>
      <w:r w:rsidR="00D6545B">
        <w:rPr>
          <w:rFonts w:ascii="Times New Roman" w:eastAsia="Times New Roman" w:hAnsi="Times New Roman" w:cs="Times New Roman"/>
        </w:rPr>
        <w:fldChar w:fldCharType="end"/>
      </w:r>
      <w:r>
        <w:rPr>
          <w:rFonts w:ascii="Times New Roman" w:eastAsia="Times New Roman" w:hAnsi="Times New Roman" w:cs="Times New Roman"/>
        </w:rPr>
        <w:t xml:space="preserve">. For species that did not have phenological information on </w:t>
      </w:r>
      <w:proofErr w:type="spellStart"/>
      <w:r>
        <w:rPr>
          <w:rFonts w:ascii="Times New Roman" w:eastAsia="Times New Roman" w:hAnsi="Times New Roman" w:cs="Times New Roman"/>
        </w:rPr>
        <w:t>Calflora</w:t>
      </w:r>
      <w:proofErr w:type="spellEnd"/>
      <w:r>
        <w:rPr>
          <w:rFonts w:ascii="Times New Roman" w:eastAsia="Times New Roman" w:hAnsi="Times New Roman" w:cs="Times New Roman"/>
        </w:rPr>
        <w:t xml:space="preserve">, we assigned the average bloom timeframe of other listed species in the same genus. Similarly for each species, we collected data related to floral color (i.e. yellow or not) and floral shape (i.e. disc-bowl shaped corolla or not) using </w:t>
      </w:r>
      <w:proofErr w:type="spellStart"/>
      <w:r>
        <w:rPr>
          <w:rFonts w:ascii="Times New Roman" w:eastAsia="Times New Roman" w:hAnsi="Times New Roman" w:cs="Times New Roman"/>
        </w:rPr>
        <w:t>Calflora</w:t>
      </w:r>
      <w:proofErr w:type="spellEnd"/>
      <w:r>
        <w:rPr>
          <w:rFonts w:ascii="Times New Roman" w:eastAsia="Times New Roman" w:hAnsi="Times New Roman" w:cs="Times New Roman"/>
        </w:rPr>
        <w:t xml:space="preserve"> and Jepson </w:t>
      </w:r>
      <w:proofErr w:type="spellStart"/>
      <w:r>
        <w:rPr>
          <w:rFonts w:ascii="Times New Roman" w:eastAsia="Times New Roman" w:hAnsi="Times New Roman" w:cs="Times New Roman"/>
        </w:rPr>
        <w:t>eFlora</w:t>
      </w:r>
      <w:proofErr w:type="spellEnd"/>
      <w:r w:rsidR="009F7BA5">
        <w:rPr>
          <w:rFonts w:ascii="Times New Roman" w:eastAsia="Times New Roman" w:hAnsi="Times New Roman" w:cs="Times New Roman"/>
        </w:rPr>
        <w:t xml:space="preserve"> </w:t>
      </w:r>
      <w:r w:rsidR="00D6545B">
        <w:rPr>
          <w:rFonts w:ascii="Times New Roman" w:eastAsia="Times New Roman" w:hAnsi="Times New Roman" w:cs="Times New Roman"/>
        </w:rPr>
        <w:fldChar w:fldCharType="begin"/>
      </w:r>
      <w:r w:rsidR="00D6545B">
        <w:rPr>
          <w:rFonts w:ascii="Times New Roman" w:eastAsia="Times New Roman" w:hAnsi="Times New Roman" w:cs="Times New Roman"/>
        </w:rPr>
        <w:instrText xml:space="preserve"> ADDIN ZOTERO_ITEM CSL_CITATION {"citationID":"6hG6Vf0L","properties":{"formattedCitation":"({\\i{}Jepson Flora Project (Eds.)}, 2022)","plainCitation":"(Jepson Flora Project (Eds.), 2022)","noteIndex":0},"citationItems":[{"id":1636,"uris":["http://zotero.org/groups/4699449/items/SYEW6K9R"],"itemData":{"id":1636,"type":"webpage","container-title":"Jepson eFlora","title":"Jepson Flora Project (eds.)","URL":"https://ucjeps.berkeley.edu/eflora/","accessed":{"date-parts":[["2022",7,6]]},"issued":{"date-parts":[["2022"]]}}}],"schema":"https://github.com/citation-style-language/schema/raw/master/csl-citation.json"} </w:instrText>
      </w:r>
      <w:r w:rsidR="00D6545B">
        <w:rPr>
          <w:rFonts w:ascii="Times New Roman" w:eastAsia="Times New Roman" w:hAnsi="Times New Roman" w:cs="Times New Roman"/>
        </w:rPr>
        <w:fldChar w:fldCharType="separate"/>
      </w:r>
      <w:r w:rsidR="00D6545B" w:rsidRPr="00D6545B">
        <w:rPr>
          <w:rFonts w:ascii="Times New Roman" w:hAnsi="Times New Roman" w:cs="Times New Roman"/>
        </w:rPr>
        <w:t>(</w:t>
      </w:r>
      <w:r w:rsidR="00D6545B" w:rsidRPr="00D6545B">
        <w:rPr>
          <w:rFonts w:ascii="Times New Roman" w:hAnsi="Times New Roman" w:cs="Times New Roman"/>
          <w:i/>
          <w:iCs/>
        </w:rPr>
        <w:t>Jepson Flora Project (Eds.)</w:t>
      </w:r>
      <w:r w:rsidR="00D6545B" w:rsidRPr="00D6545B">
        <w:rPr>
          <w:rFonts w:ascii="Times New Roman" w:hAnsi="Times New Roman" w:cs="Times New Roman"/>
        </w:rPr>
        <w:t>, 2022)</w:t>
      </w:r>
      <w:r w:rsidR="00D6545B">
        <w:rPr>
          <w:rFonts w:ascii="Times New Roman" w:eastAsia="Times New Roman" w:hAnsi="Times New Roman" w:cs="Times New Roman"/>
        </w:rPr>
        <w:fldChar w:fldCharType="end"/>
      </w:r>
      <w:r>
        <w:rPr>
          <w:rFonts w:ascii="Times New Roman" w:eastAsia="Times New Roman" w:hAnsi="Times New Roman" w:cs="Times New Roman"/>
        </w:rPr>
        <w:t>. Floral shape refers to the accessibility of floral resources to pollinator species and follows designation by</w:t>
      </w:r>
      <w:r w:rsidR="00D665D4">
        <w:rPr>
          <w:rFonts w:ascii="Times New Roman" w:eastAsia="Times New Roman" w:hAnsi="Times New Roman" w:cs="Times New Roman"/>
        </w:rPr>
        <w:t xml:space="preserve"> </w:t>
      </w:r>
      <w:r w:rsidR="00D665D4">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{"citationID":"YMfgXSCs","properties":{"formattedCitation":"(Bosch et al., 1997)","plainCitation":"(Bosch et al., 1997)","dontUpdate":true,"noteIndex":0},"citationItems":[{"id":1292,"uris":["http://zotero.org/groups/4699449/items/E2GCEKFC"],"itemData":{"id":1292,"type":"article-journal","abstract":"The relationships between flowering plants and their insect visitors were studied in a Mediterranean grassland in north-east Spain. Floral traits (size, shape, symmetry, and colour), floral rewards (pollen and nectar), flowering period, and floral visitors were recorded for the 17 most abundant plants in the community. Flowering was year-round, but most species flowered in spring. The three species that flowered after spring had small flowers, but the distribution of floral features (including rewards offered) did not show a strong seasonality. Ants contributed 58.5% to the flower visits recorded. Other frequent visitors were beetles (12%), flies (9.5%), honey bees (6.4%), wild bees (6.4%), and wasps (5.2%). Honey bees were most abundant in April, wild bees from April to July, beetles from May to July, and ants from May to September. The lack of tight plant-insect associations was the rule, with most plant species visited by a rather diverse array of insects representing two or more orders. The plant species having narrower spectra of visitors either had flower rewards exposed or attracted mostly illegitimate visitors. By means of correspondence analysis four categories of plants were defined according to their main groups of visitors: (1) honey bees and large wild bees; (2) large wild bees; (3) ants and beetles; and (4) beetles and small-sized bees. The Mantel test was used to calculate correlations among four matrices representing similarities in visitors attracted, floral morphological traits, pollen-nectar rewards, and blooming time, respectively. In spite of seasonality shown by the different insect groups, results indicate that the observed patterns of visitor distribution among plants were most affected by pollen-nectar rewards.","container-title":"Oecologia","DOI":"10.1007/s004420050120","ISSN":"1432-1939","issue":"4","journalAbbreviation":"Oecologia","language":"en","page":"583-591","source":"Springer Link","title":"Flowering phenology, floral traits and pollinator composition in a herbaceous Mediterranean plant community","volume":"109","author":[{"family":"Bosch","given":"Jordi"},{"family":"Retana","given":"Javier"},{"family":"Cerdá","given":"Xim"}],"issued":{"date-parts":[["1997",2,1]]}}}],"schema":"https://github.com/citation-style-language/schema/raw/master/csl-citation.json"} </w:instrText>
      </w:r>
      <w:r w:rsidR="00D665D4">
        <w:rPr>
          <w:rFonts w:ascii="Times New Roman" w:eastAsia="Times New Roman" w:hAnsi="Times New Roman" w:cs="Times New Roman"/>
        </w:rPr>
        <w:fldChar w:fldCharType="separate"/>
      </w:r>
      <w:r w:rsidR="00D665D4">
        <w:rPr>
          <w:rFonts w:ascii="Times New Roman" w:eastAsia="Times New Roman" w:hAnsi="Times New Roman" w:cs="Times New Roman"/>
          <w:noProof/>
        </w:rPr>
        <w:t>Bosch et al., (1997)</w:t>
      </w:r>
      <w:r w:rsidR="00D665D4">
        <w:rPr>
          <w:rFonts w:ascii="Times New Roman" w:eastAsia="Times New Roman" w:hAnsi="Times New Roman" w:cs="Times New Roman"/>
        </w:rPr>
        <w:fldChar w:fldCharType="end"/>
      </w:r>
      <w:r>
        <w:rPr>
          <w:rFonts w:ascii="Times New Roman" w:eastAsia="Times New Roman" w:hAnsi="Times New Roman" w:cs="Times New Roman"/>
        </w:rPr>
        <w:t>.</w:t>
      </w:r>
    </w:p>
    <w:p w14:paraId="1DBA06C7" w14:textId="77777777" w:rsidR="00413978" w:rsidRDefault="00413978">
      <w:pPr>
        <w:rPr>
          <w:rFonts w:ascii="Times New Roman" w:eastAsia="Times New Roman" w:hAnsi="Times New Roman" w:cs="Times New Roman"/>
        </w:rPr>
      </w:pPr>
    </w:p>
    <w:p w14:paraId="04A2B725" w14:textId="056B0BBB" w:rsidR="00413978" w:rsidRDefault="00000000">
      <w:pPr>
        <w:rPr>
          <w:rFonts w:ascii="Times New Roman" w:eastAsia="Times New Roman" w:hAnsi="Times New Roman" w:cs="Times New Roman"/>
        </w:rPr>
      </w:pPr>
      <w:r>
        <w:rPr>
          <w:rFonts w:ascii="Times New Roman" w:eastAsia="Times New Roman" w:hAnsi="Times New Roman" w:cs="Times New Roman"/>
          <w:i/>
        </w:rPr>
        <w:t xml:space="preserve">(4) Global Biotic Interaction data normalization: </w:t>
      </w:r>
      <w:r>
        <w:rPr>
          <w:rFonts w:ascii="Times New Roman" w:eastAsia="Times New Roman" w:hAnsi="Times New Roman" w:cs="Times New Roman"/>
        </w:rPr>
        <w:t xml:space="preserve">We downloaded all unique interactions with bee species from Global Biotic Interactions </w:t>
      </w:r>
      <w:r w:rsidR="00D665D4">
        <w:rPr>
          <w:rFonts w:ascii="Times New Roman" w:eastAsia="Times New Roman" w:hAnsi="Times New Roman" w:cs="Times New Roman"/>
        </w:rPr>
        <w:fldChar w:fldCharType="begin"/>
      </w:r>
      <w:r w:rsidR="00D665D4">
        <w:rPr>
          <w:rFonts w:ascii="Times New Roman" w:eastAsia="Times New Roman" w:hAnsi="Times New Roman" w:cs="Times New Roman"/>
        </w:rPr>
        <w:instrText xml:space="preserve"> ADDIN ZOTERO_ITEM CSL_CITATION {"citationID":"xw1Ypust","properties":{"formattedCitation":"(Poelen et al., 2014)","plainCitation":"(Poelen et al., 2014)","noteIndex":0},"citationItems":[{"id":1013,"uris":["http://zotero.org/groups/4699449/items/PGGV4ZME"],"itemData":{"id":1013,"type":"article-journal","container-title":"Ecological Informatics","DOI":"10.1016/j.ecoinf.2014.08.005","ISSN":"15749541","journalAbbreviation":"Ecological Informatics","language":"en","page":"148-159","source":"DOI.org (Crossref)","title":"Global biotic interactions: An open infrastructure to share and analyze species-interaction datasets","title-short":"Global biotic interactions","volume":"24","author":[{"family":"Poelen","given":"Jorrit H."},{"family":"Simons","given":"James D."},{"family":"Mungall","given":"Chris J."}],"issued":{"date-parts":[["2014",11]]}}}],"schema":"https://github.com/citation-style-language/schema/raw/master/csl-citation.json"} </w:instrText>
      </w:r>
      <w:r w:rsidR="00D665D4">
        <w:rPr>
          <w:rFonts w:ascii="Times New Roman" w:eastAsia="Times New Roman" w:hAnsi="Times New Roman" w:cs="Times New Roman"/>
        </w:rPr>
        <w:fldChar w:fldCharType="separate"/>
      </w:r>
      <w:r w:rsidR="00D665D4">
        <w:rPr>
          <w:rFonts w:ascii="Times New Roman" w:eastAsia="Times New Roman" w:hAnsi="Times New Roman" w:cs="Times New Roman"/>
          <w:noProof/>
        </w:rPr>
        <w:t>(Poelen et al., 2014)</w:t>
      </w:r>
      <w:r w:rsidR="00D665D4">
        <w:rPr>
          <w:rFonts w:ascii="Times New Roman" w:eastAsia="Times New Roman" w:hAnsi="Times New Roman" w:cs="Times New Roman"/>
        </w:rPr>
        <w:fldChar w:fldCharType="end"/>
      </w:r>
      <w:r>
        <w:rPr>
          <w:rFonts w:ascii="Times New Roman" w:eastAsia="Times New Roman" w:hAnsi="Times New Roman" w:cs="Times New Roman"/>
        </w:rPr>
        <w:t xml:space="preserve"> on 19 Nov 2020, which consisted of </w:t>
      </w:r>
      <w:r>
        <w:rPr>
          <w:rFonts w:ascii="Arial" w:eastAsia="Arial" w:hAnsi="Arial" w:cs="Arial"/>
          <w:sz w:val="22"/>
          <w:szCs w:val="22"/>
          <w:highlight w:val="white"/>
        </w:rPr>
        <w:t>304,796</w:t>
      </w:r>
      <w:r>
        <w:rPr>
          <w:rFonts w:ascii="Times New Roman" w:eastAsia="Times New Roman" w:hAnsi="Times New Roman" w:cs="Times New Roman"/>
        </w:rPr>
        <w:t xml:space="preserve"> observations. </w:t>
      </w:r>
    </w:p>
    <w:p w14:paraId="7158B86A" w14:textId="77777777" w:rsidR="00413978" w:rsidRDefault="00413978">
      <w:pPr>
        <w:rPr>
          <w:rFonts w:ascii="Times New Roman" w:eastAsia="Times New Roman" w:hAnsi="Times New Roman" w:cs="Times New Roman"/>
          <w:i/>
        </w:rPr>
      </w:pPr>
    </w:p>
    <w:p w14:paraId="73A7C0A0" w14:textId="6CA5C969" w:rsidR="00413978" w:rsidRDefault="00000000">
      <w:pPr>
        <w:rPr>
          <w:rFonts w:ascii="Times New Roman" w:eastAsia="Times New Roman" w:hAnsi="Times New Roman" w:cs="Times New Roman"/>
        </w:rPr>
      </w:pPr>
      <w:r>
        <w:rPr>
          <w:rFonts w:ascii="Times New Roman" w:eastAsia="Times New Roman" w:hAnsi="Times New Roman" w:cs="Times New Roman"/>
          <w:i/>
        </w:rPr>
        <w:t xml:space="preserve">(4.1) Filtering to bee-plant interactions: </w:t>
      </w:r>
      <w:r>
        <w:rPr>
          <w:rFonts w:ascii="Times New Roman" w:eastAsia="Times New Roman" w:hAnsi="Times New Roman" w:cs="Times New Roman"/>
        </w:rPr>
        <w:t xml:space="preserve">As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includes interactions for all species, we first limited the dataset to bee interactions with plant species, which could be coded as a number of different interactions depending on which species is listed as the “source” and which is the “target” of the interaction. To start the data cleaning process, we standardized the columns where bee and plant species names appeared, given that they could be in either the target or source columns. After the species names were standardized, we ran the </w:t>
      </w:r>
      <w:proofErr w:type="spellStart"/>
      <w:r>
        <w:rPr>
          <w:rFonts w:ascii="Times New Roman" w:eastAsia="Times New Roman" w:hAnsi="Times New Roman" w:cs="Times New Roman"/>
        </w:rPr>
        <w:t>Taxonstand</w:t>
      </w:r>
      <w:proofErr w:type="spellEnd"/>
      <w:r>
        <w:rPr>
          <w:rFonts w:ascii="Times New Roman" w:eastAsia="Times New Roman" w:hAnsi="Times New Roman" w:cs="Times New Roman"/>
        </w:rPr>
        <w:t xml:space="preserve"> package</w:t>
      </w:r>
      <w:r w:rsidR="00AF424F">
        <w:rPr>
          <w:rFonts w:ascii="Times New Roman" w:eastAsia="Times New Roman" w:hAnsi="Times New Roman" w:cs="Times New Roman"/>
        </w:rPr>
        <w:t xml:space="preserve"> in R </w:t>
      </w:r>
      <w:r w:rsidR="00AF424F">
        <w:rPr>
          <w:rFonts w:ascii="Times New Roman" w:eastAsia="Times New Roman" w:hAnsi="Times New Roman" w:cs="Times New Roman"/>
        </w:rPr>
        <w:fldChar w:fldCharType="begin"/>
      </w:r>
      <w:r w:rsidR="00AF424F">
        <w:rPr>
          <w:rFonts w:ascii="Times New Roman" w:eastAsia="Times New Roman" w:hAnsi="Times New Roman" w:cs="Times New Roman"/>
        </w:rPr>
        <w:instrText xml:space="preserve"> ADDIN ZOTERO_ITEM CSL_CITATION {"citationID":"SFzDAi6k","properties":{"formattedCitation":"(Cayuela et al., 2021)","plainCitation":"(Cayuela et al., 2021)","noteIndex":0},"citationItems":[{"id":1606,"uris":["http://zotero.org/groups/4699449/items/E7GAXNJ3"],"itemData":{"id":1606,"type":"book","title":"Taxonstand: Taxonomic Standardization of Plant Species Names","URL":"https://CRAN.R-project.org/package=Taxonstand","author":[{"family":"Cayuela","given":"Luis"},{"family":"Macarro","given":"Ildefonso"},{"family":"Stein","given":"Anke"},{"family":"Oksanen","given":"Jari"}],"issued":{"date-parts":[["2021"]]}}}],"schema":"https://github.com/citation-style-language/schema/raw/master/csl-citation.json"} </w:instrText>
      </w:r>
      <w:r w:rsidR="00AF424F">
        <w:rPr>
          <w:rFonts w:ascii="Times New Roman" w:eastAsia="Times New Roman" w:hAnsi="Times New Roman" w:cs="Times New Roman"/>
        </w:rPr>
        <w:fldChar w:fldCharType="separate"/>
      </w:r>
      <w:r w:rsidR="00AF424F">
        <w:rPr>
          <w:rFonts w:ascii="Times New Roman" w:eastAsia="Times New Roman" w:hAnsi="Times New Roman" w:cs="Times New Roman"/>
          <w:noProof/>
        </w:rPr>
        <w:t>(Cayuela et al., 2021)</w:t>
      </w:r>
      <w:r w:rsidR="00AF424F">
        <w:rPr>
          <w:rFonts w:ascii="Times New Roman" w:eastAsia="Times New Roman" w:hAnsi="Times New Roman" w:cs="Times New Roman"/>
        </w:rPr>
        <w:fldChar w:fldCharType="end"/>
      </w:r>
      <w:r>
        <w:rPr>
          <w:rFonts w:ascii="Times New Roman" w:eastAsia="Times New Roman" w:hAnsi="Times New Roman" w:cs="Times New Roman"/>
        </w:rPr>
        <w:t xml:space="preserve"> on the plant column to obtain the most current accepted name per plant species. We removed any rows that did not include both a bee and plant identified to species. This brought the total number of observations down to 157,893 entries.</w:t>
      </w:r>
    </w:p>
    <w:p w14:paraId="0595BFBA" w14:textId="77777777" w:rsidR="00413978" w:rsidRDefault="00413978">
      <w:pPr>
        <w:rPr>
          <w:rFonts w:ascii="Times New Roman" w:eastAsia="Times New Roman" w:hAnsi="Times New Roman" w:cs="Times New Roman"/>
        </w:rPr>
      </w:pPr>
    </w:p>
    <w:p w14:paraId="5CE8F0F3" w14:textId="6B49DF46" w:rsidR="00413978" w:rsidRDefault="00000000">
      <w:pPr>
        <w:rPr>
          <w:rFonts w:ascii="Times New Roman" w:eastAsia="Times New Roman" w:hAnsi="Times New Roman" w:cs="Times New Roman"/>
        </w:rPr>
      </w:pPr>
      <w:r>
        <w:rPr>
          <w:rFonts w:ascii="Times New Roman" w:eastAsia="Times New Roman" w:hAnsi="Times New Roman" w:cs="Times New Roman"/>
          <w:i/>
        </w:rPr>
        <w:t xml:space="preserve">(4.2) Updating species nomenclature: </w:t>
      </w:r>
      <w:r>
        <w:rPr>
          <w:rFonts w:ascii="Times New Roman" w:eastAsia="Times New Roman" w:hAnsi="Times New Roman" w:cs="Times New Roman"/>
        </w:rPr>
        <w:t xml:space="preserve">Next, to make sure we obtained all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entries for the bees and plants on our checklists, we used a bee synonym list from </w:t>
      </w:r>
      <w:proofErr w:type="spellStart"/>
      <w:r>
        <w:rPr>
          <w:rFonts w:ascii="Times New Roman" w:eastAsia="Times New Roman" w:hAnsi="Times New Roman" w:cs="Times New Roman"/>
        </w:rPr>
        <w:t>Zenodo</w:t>
      </w:r>
      <w:proofErr w:type="spellEnd"/>
      <w:r>
        <w:rPr>
          <w:rFonts w:ascii="Times New Roman" w:eastAsia="Times New Roman" w:hAnsi="Times New Roman" w:cs="Times New Roman"/>
        </w:rPr>
        <w:t xml:space="preserve"> </w:t>
      </w:r>
      <w:r w:rsidR="00D665D4">
        <w:rPr>
          <w:rFonts w:ascii="Times New Roman" w:eastAsia="Times New Roman" w:hAnsi="Times New Roman" w:cs="Times New Roman"/>
        </w:rPr>
        <w:fldChar w:fldCharType="begin"/>
      </w:r>
      <w:r w:rsidR="00124687">
        <w:rPr>
          <w:rFonts w:ascii="Times New Roman" w:eastAsia="Times New Roman" w:hAnsi="Times New Roman" w:cs="Times New Roman"/>
        </w:rPr>
        <w:instrText xml:space="preserve"> ADDIN ZOTERO_ITEM CSL_CITATION {"citationID":"mCuoGcxR","properties":{"formattedCitation":"(Seltmann &amp; Poelen, 2021)","plainCitation":"(Seltmann &amp; Poelen, 2021)","noteIndex":0},"citationItems":[{"id":1604,"uris":["http://zotero.org/groups/4699449/items/2HAHT4T4"],"itemData":{"id":1604,"type":"speech","abstract":"This is a record of the 28 April 2021 workshop on exploring biotic interaction data as described below. This publication includes: 1. list of self-reported participants (tpt-globi-workshop-participants-2021-04-28.txt), 2. an anonymous post-workshop survey (tpt-globi-workshop-survey-2021-04-29.pdf), and 3. a recording of the webinar (tpt-globi-workshop-recording-2021-04-28.mp4), and 4. zipped archive of the workshop website (tpt-globi-workshop-website-2021-04-28.zip) Workshop description from https://www.idigbio.org/content/practical-exploration-biotic-interaction-data-management-and-information-retrieval-through : Join Jorrit Poelen and Katja Seltmann for \"A Practical Exploration of Biotic Interaction Data Management and Information Retrieval through Terrestrial Parasite Tracker (TPT) and Global Biotic Interactions (GloBI).\" During this two-hour long, participatory workshop collection managers, researchers, or data providers will use GloBI for data management and information retrieval. Our group exploration into the data will cover the data origins and data integration process and data products. This workshop is open to anyone interested in biotic or species interaction data even if you are presently not using GloBI. We will highlight data from the Terrestrial Parasite Tracker project, but the methods are available for anyone interested in biotic interactions (see more at https://www.globalbioticinteractions.org/sources). The proposed outcome of this workshop is a reusable Carpentries lesson (https://www.globalbioticinteractions.org/interaction-data-workshop) and improved documentation on methods to integrate and access biotic interaction data. We will work together through a series of exploratory data exercises. No programming experience is required, and you will use your own device to download data and create Google Sheets. Everyone will contribute during this workshop. Bring snacks! :) This workshop is free to attend but advance registration is required. A recording of the workshop is available at https://vimeo.com/546669878. Start Date: Wednesday, April 28, 2021 - 2:00pm to 4:00pm EDT Location: Online Recording policy: By attending iDigBio’s online events, you accept that the event will be recorded and posted for later asynchronous viewing. Acknowledgements / Funding A special thanks to the thousands of (citizen) scientists and their institutions for openly sharing their datasets. Also, thanks for thousands of software engineers for providing high quality open source software on which GloBI is built. This workshop is supported by the Terrestrial Parasite Tracker project through the National Science Foundation award “Collaborative Research: Digitization TCN: Digitizing collections to trace parasite-host associations and predict the spread of vector-borne disease,” Award numbers DBI:1901932 and DBI:1901926 . Finally, a big thanks to Erica Krimmel of iDigBio for helping to organize and host this workshop, the Carpentries for providing excellent workshop/lesson templates, and to all the GloBI partners for their support.","note":"DOI: 10.5281/zenodo.4759060","title":"A Practical Exploration of Biotic Interaction Data Management and Information Retrieval through Terrestrial Parasite Tracker (TPT) and Global Biotic Interactions (GloBI)","URL":"https://zenodo.org/record/4759060","author":[{"family":"Seltmann","given":"Katja C."},{"family":"Poelen","given":"Jorrit H"}],"accessed":{"date-parts":[["2022",11,15]]},"issued":{"date-parts":[["2021",5,13]]}}}],"schema":"https://github.com/citation-style-language/schema/raw/master/csl-citation.json"} </w:instrText>
      </w:r>
      <w:r w:rsidR="00D665D4">
        <w:rPr>
          <w:rFonts w:ascii="Times New Roman" w:eastAsia="Times New Roman" w:hAnsi="Times New Roman" w:cs="Times New Roman"/>
        </w:rPr>
        <w:fldChar w:fldCharType="separate"/>
      </w:r>
      <w:r w:rsidR="00124687">
        <w:rPr>
          <w:rFonts w:ascii="Times New Roman" w:eastAsia="Times New Roman" w:hAnsi="Times New Roman" w:cs="Times New Roman"/>
          <w:noProof/>
        </w:rPr>
        <w:t>(Seltmann &amp; Poelen, 2021)</w:t>
      </w:r>
      <w:r w:rsidR="00D665D4">
        <w:rPr>
          <w:rFonts w:ascii="Times New Roman" w:eastAsia="Times New Roman" w:hAnsi="Times New Roman" w:cs="Times New Roman"/>
        </w:rPr>
        <w:fldChar w:fldCharType="end"/>
      </w:r>
      <w:r>
        <w:rPr>
          <w:rFonts w:ascii="Times New Roman" w:eastAsia="Times New Roman" w:hAnsi="Times New Roman" w:cs="Times New Roman"/>
        </w:rPr>
        <w:t xml:space="preserve"> and a list that co-author K. </w:t>
      </w:r>
      <w:proofErr w:type="spellStart"/>
      <w:r>
        <w:rPr>
          <w:rFonts w:ascii="Times New Roman" w:eastAsia="Times New Roman" w:hAnsi="Times New Roman" w:cs="Times New Roman"/>
        </w:rPr>
        <w:t>Seltmann</w:t>
      </w:r>
      <w:proofErr w:type="spellEnd"/>
      <w:r>
        <w:rPr>
          <w:rFonts w:ascii="Times New Roman" w:eastAsia="Times New Roman" w:hAnsi="Times New Roman" w:cs="Times New Roman"/>
        </w:rPr>
        <w:t xml:space="preserve"> put together for species that did not appear in the </w:t>
      </w:r>
      <w:proofErr w:type="spellStart"/>
      <w:r>
        <w:rPr>
          <w:rFonts w:ascii="Times New Roman" w:eastAsia="Times New Roman" w:hAnsi="Times New Roman" w:cs="Times New Roman"/>
        </w:rPr>
        <w:t>Zenodo</w:t>
      </w:r>
      <w:proofErr w:type="spellEnd"/>
      <w:r>
        <w:rPr>
          <w:rFonts w:ascii="Times New Roman" w:eastAsia="Times New Roman" w:hAnsi="Times New Roman" w:cs="Times New Roman"/>
        </w:rPr>
        <w:t xml:space="preserve"> list to update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with the most current accepted nomenclature for each bee species. </w:t>
      </w:r>
    </w:p>
    <w:p w14:paraId="22921C20" w14:textId="77777777" w:rsidR="00413978" w:rsidRDefault="00413978">
      <w:pPr>
        <w:rPr>
          <w:rFonts w:ascii="Times New Roman" w:eastAsia="Times New Roman" w:hAnsi="Times New Roman" w:cs="Times New Roman"/>
        </w:rPr>
      </w:pPr>
    </w:p>
    <w:p w14:paraId="5A4DAD46"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converted all bee and plant species names in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dataset to the most recent and agreed upon nomenclature; and then, we filtered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 to only include bee AND plant species in our checklist, which filtered down the number of observations to 7,884 entries. </w:t>
      </w:r>
    </w:p>
    <w:p w14:paraId="70FD325D" w14:textId="77777777" w:rsidR="00413978" w:rsidRDefault="00413978">
      <w:pPr>
        <w:rPr>
          <w:rFonts w:ascii="Times New Roman" w:eastAsia="Times New Roman" w:hAnsi="Times New Roman" w:cs="Times New Roman"/>
        </w:rPr>
      </w:pPr>
    </w:p>
    <w:p w14:paraId="3C82151E"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lastRenderedPageBreak/>
        <w:t>(4.3) Filtering to geographic extent:</w:t>
      </w:r>
      <w:r>
        <w:rPr>
          <w:rFonts w:ascii="Times New Roman" w:eastAsia="Times New Roman" w:hAnsi="Times New Roman" w:cs="Times New Roman"/>
        </w:rPr>
        <w:t xml:space="preserve"> Next</w:t>
      </w:r>
      <w:commentRangeStart w:id="9"/>
      <w:commentRangeStart w:id="10"/>
      <w:r>
        <w:rPr>
          <w:rFonts w:ascii="Times New Roman" w:eastAsia="Times New Roman" w:hAnsi="Times New Roman" w:cs="Times New Roman"/>
        </w:rPr>
        <w:t xml:space="preserve">, we </w:t>
      </w:r>
      <w:commentRangeEnd w:id="9"/>
      <w:r>
        <w:commentReference w:id="9"/>
      </w:r>
      <w:commentRangeEnd w:id="10"/>
      <w:r>
        <w:commentReference w:id="10"/>
      </w:r>
      <w:r>
        <w:rPr>
          <w:rFonts w:ascii="Times New Roman" w:eastAsia="Times New Roman" w:hAnsi="Times New Roman" w:cs="Times New Roman"/>
        </w:rPr>
        <w:t xml:space="preserve">filtered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dataset to our pre-defined </w:t>
      </w:r>
      <w:commentRangeStart w:id="11"/>
      <w:commentRangeStart w:id="12"/>
      <w:r>
        <w:rPr>
          <w:rFonts w:ascii="Times New Roman" w:eastAsia="Times New Roman" w:hAnsi="Times New Roman" w:cs="Times New Roman"/>
        </w:rPr>
        <w:t>spatial extent</w:t>
      </w:r>
      <w:commentRangeEnd w:id="11"/>
      <w:r>
        <w:commentReference w:id="11"/>
      </w:r>
      <w:commentRangeEnd w:id="12"/>
      <w:r>
        <w:commentReference w:id="12"/>
      </w:r>
      <w:r>
        <w:rPr>
          <w:rFonts w:ascii="Times New Roman" w:eastAsia="Times New Roman" w:hAnsi="Times New Roman" w:cs="Times New Roman"/>
        </w:rPr>
        <w:t xml:space="preserve"> (latitude from 30 – 36; longitude from -150 to -116), which filtered our list down to 566 entries (Figure S1). </w:t>
      </w:r>
    </w:p>
    <w:p w14:paraId="6570F923" w14:textId="77777777" w:rsidR="00413978" w:rsidRDefault="00413978">
      <w:pPr>
        <w:rPr>
          <w:rFonts w:ascii="Times New Roman" w:eastAsia="Times New Roman" w:hAnsi="Times New Roman" w:cs="Times New Roman"/>
        </w:rPr>
      </w:pPr>
    </w:p>
    <w:p w14:paraId="3A129A5E"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t>(4.4) Cleaning source citation information:</w:t>
      </w:r>
      <w:r>
        <w:rPr>
          <w:rFonts w:ascii="Times New Roman" w:eastAsia="Times New Roman" w:hAnsi="Times New Roman" w:cs="Times New Roman"/>
        </w:rPr>
        <w:t xml:space="preserve"> The original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dataset downloaded in Nov 2020 had a total of 40 unique source Citations. Of the 40 unique source citations, four sources were aggregated data, 22 were of collection specimens, 13 were literature, and one was from observations (Table S1). </w:t>
      </w:r>
    </w:p>
    <w:p w14:paraId="76B8DC24" w14:textId="77777777" w:rsidR="00413978" w:rsidRDefault="00413978">
      <w:pPr>
        <w:rPr>
          <w:rFonts w:ascii="Times New Roman" w:eastAsia="Times New Roman" w:hAnsi="Times New Roman" w:cs="Times New Roman"/>
        </w:rPr>
      </w:pPr>
    </w:p>
    <w:p w14:paraId="2CE242AC"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To better understand the detection process for different source citations listed in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we grouped citations by contributing institutions in the </w:t>
      </w:r>
      <w:proofErr w:type="spellStart"/>
      <w:r>
        <w:rPr>
          <w:rFonts w:ascii="Times New Roman" w:eastAsia="Times New Roman" w:hAnsi="Times New Roman" w:cs="Times New Roman"/>
        </w:rPr>
        <w:t>Symbiota</w:t>
      </w:r>
      <w:proofErr w:type="spellEnd"/>
      <w:r>
        <w:rPr>
          <w:rFonts w:ascii="Times New Roman" w:eastAsia="Times New Roman" w:hAnsi="Times New Roman" w:cs="Times New Roman"/>
        </w:rPr>
        <w:t xml:space="preserve"> Collection of Arthropods Network (SCAN). All SCAN entries came from seven unique source citations (with the SCAN citation resolved to its constituent institutions):</w:t>
      </w:r>
    </w:p>
    <w:p w14:paraId="7F24820B" w14:textId="77777777" w:rsidR="00413978"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[1] "American Museum of Natural History Invertebrate Zoology Collection"</w:t>
      </w:r>
    </w:p>
    <w:p w14:paraId="369DDDBA" w14:textId="77777777" w:rsidR="00413978"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 "Bee Biology and Systematics Laboratory"</w:t>
      </w:r>
    </w:p>
    <w:p w14:paraId="614FFA9D" w14:textId="77777777" w:rsidR="00413978"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[3] "</w:t>
      </w:r>
      <w:hyperlink r:id="rId12">
        <w:r>
          <w:rPr>
            <w:rFonts w:ascii="Times New Roman" w:eastAsia="Times New Roman" w:hAnsi="Times New Roman" w:cs="Times New Roman"/>
            <w:color w:val="1A73E8"/>
            <w:highlight w:val="white"/>
          </w:rPr>
          <w:t>http://iNaturalist.org</w:t>
        </w:r>
      </w:hyperlink>
      <w:r>
        <w:rPr>
          <w:rFonts w:ascii="Times New Roman" w:eastAsia="Times New Roman" w:hAnsi="Times New Roman" w:cs="Times New Roman"/>
          <w:highlight w:val="white"/>
        </w:rPr>
        <w:t xml:space="preserve"> is a place where you can record what you see in nature, meet other nature lovers, and learn about the natural world."</w:t>
      </w:r>
    </w:p>
    <w:p w14:paraId="544E5544" w14:textId="77777777" w:rsidR="00413978"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[4] "Museum of Southwestern Biology"</w:t>
      </w:r>
    </w:p>
    <w:p w14:paraId="5C29F1AF" w14:textId="77777777" w:rsidR="00413978"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[5] "R. M. </w:t>
      </w:r>
      <w:proofErr w:type="spellStart"/>
      <w:r>
        <w:rPr>
          <w:rFonts w:ascii="Times New Roman" w:eastAsia="Times New Roman" w:hAnsi="Times New Roman" w:cs="Times New Roman"/>
          <w:highlight w:val="white"/>
        </w:rPr>
        <w:t>Bohart</w:t>
      </w:r>
      <w:proofErr w:type="spellEnd"/>
      <w:r>
        <w:rPr>
          <w:rFonts w:ascii="Times New Roman" w:eastAsia="Times New Roman" w:hAnsi="Times New Roman" w:cs="Times New Roman"/>
          <w:highlight w:val="white"/>
        </w:rPr>
        <w:t xml:space="preserve"> Museum of Entomology"</w:t>
      </w:r>
    </w:p>
    <w:p w14:paraId="5029BA90" w14:textId="77777777" w:rsidR="00413978"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[6] "Santa Barbara Museum of Natural History Entomology Collection"</w:t>
      </w:r>
    </w:p>
    <w:p w14:paraId="6BE7070B" w14:textId="77777777" w:rsidR="00413978" w:rsidRDefault="00000000">
      <w:pPr>
        <w:rPr>
          <w:rFonts w:ascii="Times New Roman" w:eastAsia="Times New Roman" w:hAnsi="Times New Roman" w:cs="Times New Roman"/>
        </w:rPr>
      </w:pPr>
      <w:r>
        <w:rPr>
          <w:rFonts w:ascii="Times New Roman" w:eastAsia="Times New Roman" w:hAnsi="Times New Roman" w:cs="Times New Roman"/>
          <w:highlight w:val="white"/>
        </w:rPr>
        <w:t>[7] "University of California Santa Barbara Invertebrate Zoology Collection"</w:t>
      </w:r>
    </w:p>
    <w:p w14:paraId="19061DF2" w14:textId="77777777" w:rsidR="00413978" w:rsidRDefault="00413978">
      <w:pPr>
        <w:rPr>
          <w:rFonts w:ascii="Times New Roman" w:eastAsia="Times New Roman" w:hAnsi="Times New Roman" w:cs="Times New Roman"/>
        </w:rPr>
      </w:pPr>
    </w:p>
    <w:p w14:paraId="1AB78497"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t>(4.5) Cleaning date information:</w:t>
      </w:r>
      <w:r>
        <w:rPr>
          <w:rFonts w:ascii="Times New Roman" w:eastAsia="Times New Roman" w:hAnsi="Times New Roman" w:cs="Times New Roman"/>
        </w:rPr>
        <w:t xml:space="preserve"> Next, we formatted the event date </w:t>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epoch column in our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file to year, month, and day the observation occurred. We removed all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observations without month information, which reduced our dataset to 515 observations.</w:t>
      </w:r>
    </w:p>
    <w:p w14:paraId="0D6646C3" w14:textId="77777777" w:rsidR="00413978" w:rsidRDefault="00413978">
      <w:pPr>
        <w:rPr>
          <w:rFonts w:ascii="Times New Roman" w:eastAsia="Times New Roman" w:hAnsi="Times New Roman" w:cs="Times New Roman"/>
        </w:rPr>
      </w:pPr>
    </w:p>
    <w:p w14:paraId="27B55945" w14:textId="4062FCF4" w:rsidR="00413978" w:rsidRDefault="00000000">
      <w:pPr>
        <w:rPr>
          <w:rFonts w:ascii="Times New Roman" w:eastAsia="Times New Roman" w:hAnsi="Times New Roman" w:cs="Times New Roman"/>
        </w:rPr>
      </w:pPr>
      <w:r>
        <w:rPr>
          <w:rFonts w:ascii="Times New Roman" w:eastAsia="Times New Roman" w:hAnsi="Times New Roman" w:cs="Times New Roman"/>
          <w:i/>
        </w:rPr>
        <w:t>(4.6) Cleaning bee-plant interaction dates:</w:t>
      </w:r>
      <w:r>
        <w:rPr>
          <w:rFonts w:ascii="Times New Roman" w:eastAsia="Times New Roman" w:hAnsi="Times New Roman" w:cs="Times New Roman"/>
        </w:rPr>
        <w:t xml:space="preserve"> Using the compiled bee and plant phenology data, we created a list of bee-plant species interactions that were possible given the active time of bees and bloom times of plants, thus eliminating phenological “forbidden-links”</w:t>
      </w:r>
      <w:r w:rsidR="00931DB5">
        <w:rPr>
          <w:rFonts w:ascii="Times New Roman" w:eastAsia="Times New Roman" w:hAnsi="Times New Roman" w:cs="Times New Roman"/>
        </w:rPr>
        <w:t xml:space="preserve"> </w:t>
      </w:r>
      <w:r w:rsidR="00931DB5">
        <w:rPr>
          <w:rFonts w:ascii="Times New Roman" w:eastAsia="Times New Roman" w:hAnsi="Times New Roman" w:cs="Times New Roman"/>
        </w:rPr>
        <w:fldChar w:fldCharType="begin"/>
      </w:r>
      <w:r w:rsidR="00931DB5">
        <w:rPr>
          <w:rFonts w:ascii="Times New Roman" w:eastAsia="Times New Roman" w:hAnsi="Times New Roman" w:cs="Times New Roman"/>
        </w:rPr>
        <w:instrText xml:space="preserve"> ADDIN ZOTERO_ITEM CSL_CITATION {"citationID":"L9M69vTS","properties":{"formattedCitation":"(Olesen et al., 2011)","plainCitation":"(Olesen et al., 2011)","noteIndex":0},"citationItems":[{"id":1084,"uris":["http://zotero.org/groups/4699449/items/GZJAYC6X"],"itemData":{"id":1084,"type":"article-journal","abstract":"Ecological networks are complexes of interacting species, but not all potential links among species are realized. Unobserved links are either missing or forbidden. Missing links exist, but require more sampling or alternative ways of detection to be verified. Forbidden links remain unobservable, irrespective of sampling effort. They are caused by linkage constraints. We studied one Arctic pollination network and two Mediterranean seed-dispersal networks. In the first, for example, we recorded flower-visit links for one full season, arranged data in an interaction matrix and got a connectance C of 15 per cent. Interaction accumulation curves documented our sampling of interactions through observation of visits to be robust. Then, we included data on pollen from the body surface of flower visitors as an additional link ‘currency’. This resulted in 98 new links, missing from the visitation data. Thus, the combined visit–pollen matrix got an increased C of 20 per cent. For the three networks, C ranged from 20 to 52 per cent, and thus the percentage of unobserved links (100 − C) was 48 to 80 per cent; these were assumed forbidden because of linkage constraints and not missing because of under-sampling. Phenological uncoupling (i.e. non-overlapping phenophases between interacting mutualists) is one kind of constraint, and it explained 22 to 28 per cent of all possible, but unobserved links. Increasing phenophase overlap between species increased link probability, but extensive overlaps were required to achieve a high probability. Other kinds of constraint, such as size mismatch and accessibility limitations, are briefly addressed.","container-title":"Proceedings of the Royal Society B: Biological Sciences","DOI":"10.1098/rspb.2010.1371","issue":"1706","note":"publisher: Royal Society","page":"725-732","source":"royalsocietypublishing.org (Atypon)","title":"Missing and forbidden links in mutualistic networks","volume":"278","author":[{"family":"Olesen","given":"Jens M."},{"family":"Bascompte","given":"Jordi"},{"family":"Dupont","given":"Yoko L."},{"family":"Elberling","given":"Heidi"},{"family":"Rasmussen","given":"Claus"},{"family":"Jordano","given":"Pedro"}],"issued":{"date-parts":[["2011",3,7]]}}}],"schema":"https://github.com/citation-style-language/schema/raw/master/csl-citation.json"} </w:instrText>
      </w:r>
      <w:r w:rsidR="00931DB5">
        <w:rPr>
          <w:rFonts w:ascii="Times New Roman" w:eastAsia="Times New Roman" w:hAnsi="Times New Roman" w:cs="Times New Roman"/>
        </w:rPr>
        <w:fldChar w:fldCharType="separate"/>
      </w:r>
      <w:r w:rsidR="00931DB5">
        <w:rPr>
          <w:rFonts w:ascii="Times New Roman" w:eastAsia="Times New Roman" w:hAnsi="Times New Roman" w:cs="Times New Roman"/>
          <w:noProof/>
        </w:rPr>
        <w:t>(Olesen et al., 2011)</w:t>
      </w:r>
      <w:r w:rsidR="00931DB5">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32E68E8" w14:textId="77777777" w:rsidR="00413978" w:rsidRDefault="00413978">
      <w:pPr>
        <w:rPr>
          <w:rFonts w:ascii="Times New Roman" w:eastAsia="Times New Roman" w:hAnsi="Times New Roman" w:cs="Times New Roman"/>
        </w:rPr>
      </w:pPr>
    </w:p>
    <w:p w14:paraId="567B7900"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Then, we confirmed that the bee-plant interactions observed in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 file were possible against our list of possible bee-plant interactions (which was based on the phenology data). There were a few instances of a bee-plant interaction documented in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 that was not possible because it occurred outside the window of activity (45 instances). In these cases, we shifted the observation +/- 1 month to occur within the window of activity. We decided to shift the date of the observation rather than changing the phenology data because adding more months would have increased the number of possible bee-plant interactions; given the large number of already possible bee-plant interactions (&gt;200,000). </w:t>
      </w:r>
    </w:p>
    <w:p w14:paraId="59DDE46B" w14:textId="77777777" w:rsidR="00413978" w:rsidRDefault="00413978">
      <w:pPr>
        <w:rPr>
          <w:rFonts w:ascii="Times New Roman" w:eastAsia="Times New Roman" w:hAnsi="Times New Roman" w:cs="Times New Roman"/>
        </w:rPr>
      </w:pPr>
    </w:p>
    <w:p w14:paraId="3090BA88"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t xml:space="preserve">(4.7) Formatting data for analysis: </w:t>
      </w:r>
      <w:r>
        <w:rPr>
          <w:rFonts w:ascii="Times New Roman" w:eastAsia="Times New Roman" w:hAnsi="Times New Roman" w:cs="Times New Roman"/>
        </w:rPr>
        <w:t xml:space="preserve">To format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 for the analysis, we created a 4-D array with bee species as the first dimension (139 species), plant species as the second (150 species), month as the third dimension (12 months), and source citation as the fourth dimension (7 citations). This created an array with 1,751,400 possible combinations, but based on bee-plant phenology, we found that there are only 216,385 total possible bee-plant interactions. Given that not all bee-plant interactions were possible AND that not every source citation went out into the field every month, we restricted our analysis to a total of 611,237 possible bee-plant observations within the months that each source citation was in the field.</w:t>
      </w:r>
    </w:p>
    <w:p w14:paraId="3B50CF32" w14:textId="77777777" w:rsidR="00413978" w:rsidRDefault="00413978">
      <w:pPr>
        <w:rPr>
          <w:rFonts w:ascii="Times New Roman" w:eastAsia="Times New Roman" w:hAnsi="Times New Roman" w:cs="Times New Roman"/>
        </w:rPr>
      </w:pPr>
    </w:p>
    <w:p w14:paraId="26297833" w14:textId="407F0AC7" w:rsidR="0041397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Lastly, we populated the 4-D array with the observed bee-plant interactions using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observations. We populated the 4-D array with a value of 1 for each bee-plant interaction during the month that each source citation was in the field. We filled in the rest of the possible bee-plant interactions with a non-detection (= 0). Note that in some cases the same source citation documented the same bee-plant interaction during the same month. In total, there were 278 unique detections of bee-plant-month-citation. Also note that we collapsed all opportunistic records by source citation (e.g.,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 xml:space="preserve">), such that if a bee-plant interaction was ever documented, then it received a 1 (detection) in the final 4-D array, and all others were marked 0. This took care of any duplicate records in our final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dataset.</w:t>
      </w:r>
    </w:p>
    <w:p w14:paraId="1FF4F780" w14:textId="77777777" w:rsidR="00413978" w:rsidRDefault="00413978">
      <w:pPr>
        <w:rPr>
          <w:rFonts w:ascii="Times New Roman" w:eastAsia="Times New Roman" w:hAnsi="Times New Roman" w:cs="Times New Roman"/>
          <w:i/>
        </w:rPr>
      </w:pPr>
    </w:p>
    <w:p w14:paraId="13C79B1B" w14:textId="77777777" w:rsidR="00413978" w:rsidRDefault="00413978">
      <w:pPr>
        <w:rPr>
          <w:rFonts w:ascii="Times New Roman" w:eastAsia="Times New Roman" w:hAnsi="Times New Roman" w:cs="Times New Roman"/>
          <w:i/>
        </w:rPr>
      </w:pPr>
    </w:p>
    <w:p w14:paraId="6B9617B9" w14:textId="77777777" w:rsidR="00413978" w:rsidRDefault="00000000">
      <w:pPr>
        <w:rPr>
          <w:rFonts w:ascii="Times New Roman" w:eastAsia="Times New Roman" w:hAnsi="Times New Roman" w:cs="Times New Roman"/>
          <w:i/>
        </w:rPr>
      </w:pPr>
      <w:commentRangeStart w:id="13"/>
      <w:r>
        <w:rPr>
          <w:rFonts w:ascii="Times New Roman" w:eastAsia="Times New Roman" w:hAnsi="Times New Roman" w:cs="Times New Roman"/>
          <w:i/>
          <w:noProof/>
        </w:rPr>
        <w:drawing>
          <wp:inline distT="114300" distB="114300" distL="114300" distR="114300" wp14:anchorId="1B41C7E1" wp14:editId="459DC0A1">
            <wp:extent cx="5731200" cy="3949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949700"/>
                    </a:xfrm>
                    <a:prstGeom prst="rect">
                      <a:avLst/>
                    </a:prstGeom>
                    <a:ln/>
                  </pic:spPr>
                </pic:pic>
              </a:graphicData>
            </a:graphic>
          </wp:inline>
        </w:drawing>
      </w:r>
      <w:commentRangeEnd w:id="13"/>
      <w:r>
        <w:commentReference w:id="13"/>
      </w:r>
    </w:p>
    <w:p w14:paraId="781907E5" w14:textId="77777777" w:rsidR="00413978" w:rsidRDefault="00413978">
      <w:pPr>
        <w:rPr>
          <w:rFonts w:ascii="Times New Roman" w:eastAsia="Times New Roman" w:hAnsi="Times New Roman" w:cs="Times New Roman"/>
          <w:i/>
        </w:rPr>
      </w:pPr>
    </w:p>
    <w:p w14:paraId="7350C769"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 xml:space="preserve">Model assumptions </w:t>
      </w:r>
    </w:p>
    <w:p w14:paraId="7CFF04A5" w14:textId="77777777" w:rsidR="00413978" w:rsidRDefault="00413978">
      <w:pPr>
        <w:rPr>
          <w:rFonts w:ascii="Times New Roman" w:eastAsia="Times New Roman" w:hAnsi="Times New Roman" w:cs="Times New Roman"/>
        </w:rPr>
      </w:pPr>
    </w:p>
    <w:p w14:paraId="5E6237BC"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Given that we are using a single-level community occupancy model in an untraditional way, we explicitly outline the assumptions we are making with the data and model formulation:</w:t>
      </w:r>
    </w:p>
    <w:p w14:paraId="790102A2" w14:textId="77777777" w:rsidR="00413978"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assume that all bee and plant species occur across our entire geographic window. Given this, an implicit assumption we are making is that bee-plant interactions are static and do not vary across space or time (i.e., no extinction or colonization events- a bee species always interacts with a plant species regardless of location and time). </w:t>
      </w:r>
    </w:p>
    <w:p w14:paraId="36CEEACD" w14:textId="77777777" w:rsidR="00413978"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We assume that not all bee and plant species interact with one another. We are using bee and plant phenology data to determine when each bee and plant species is active or flowering, respectively. If a bee is active and a plant is flowering, then we assume that there could be a bee-plant interaction.</w:t>
      </w:r>
    </w:p>
    <w:p w14:paraId="3B128E51" w14:textId="77777777" w:rsidR="00413978"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assume that each source citation had the opportunity to document all bee-plant interactions. We inferred non-detections for bee-plant interactions even when there is no evidence that each plant species was visited. This assumption allows us to do the </w:t>
      </w:r>
      <w:r>
        <w:rPr>
          <w:rFonts w:ascii="Times New Roman" w:eastAsia="Times New Roman" w:hAnsi="Times New Roman" w:cs="Times New Roman"/>
          <w:color w:val="000000"/>
        </w:rPr>
        <w:lastRenderedPageBreak/>
        <w:t>following: use the different source citations as the 'repeated survey' for each bee-plant interaction.</w:t>
      </w:r>
    </w:p>
    <w:p w14:paraId="51EA9D14" w14:textId="77777777" w:rsidR="00413978"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We assume that all bee-plant interactions remain constant across all observations (i.e., a generalist bee remains generalist). Bees do not start interacting with new/ different plant species, and since bee-plant interactions are across time, they account for the full diet or diet changes from year to year.</w:t>
      </w:r>
    </w:p>
    <w:p w14:paraId="3098F86F" w14:textId="77777777" w:rsidR="00413978"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used source citation as a replicate ‘survey’ of each bee-plant interaction. Traditionally, replicate surveys in occupancy models are either temporal or spatial; but here, we use source citation in </w:t>
      </w:r>
      <w:proofErr w:type="spellStart"/>
      <w:r>
        <w:rPr>
          <w:rFonts w:ascii="Times New Roman" w:eastAsia="Times New Roman" w:hAnsi="Times New Roman" w:cs="Times New Roman"/>
          <w:color w:val="000000"/>
        </w:rPr>
        <w:t>GloBI</w:t>
      </w:r>
      <w:proofErr w:type="spellEnd"/>
      <w:r>
        <w:rPr>
          <w:rFonts w:ascii="Times New Roman" w:eastAsia="Times New Roman" w:hAnsi="Times New Roman" w:cs="Times New Roman"/>
          <w:color w:val="000000"/>
        </w:rPr>
        <w:t xml:space="preserve"> as independent replicate surveys, as is the case during double observer surveys. </w:t>
      </w:r>
    </w:p>
    <w:p w14:paraId="777F90F0" w14:textId="77777777" w:rsidR="00413978" w:rsidRDefault="00413978">
      <w:pPr>
        <w:rPr>
          <w:rFonts w:ascii="Times New Roman" w:eastAsia="Times New Roman" w:hAnsi="Times New Roman" w:cs="Times New Roman"/>
          <w:i/>
        </w:rPr>
      </w:pPr>
    </w:p>
    <w:p w14:paraId="73E8467D"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t>Model formulation</w:t>
      </w:r>
    </w:p>
    <w:p w14:paraId="30E51AA1" w14:textId="77777777" w:rsidR="00413978" w:rsidRDefault="00413978">
      <w:pPr>
        <w:rPr>
          <w:rFonts w:ascii="Times New Roman" w:eastAsia="Times New Roman" w:hAnsi="Times New Roman" w:cs="Times New Roman"/>
        </w:rPr>
      </w:pPr>
    </w:p>
    <w:p w14:paraId="603B57A5" w14:textId="4045DF25"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 xml:space="preserve">We used a hierarchical community occupancy model to estimate the probability of bee-plant interactions and the total number of bee species interacting with each plant species </w:t>
      </w:r>
      <w:r w:rsidR="000B463F">
        <w:rPr>
          <w:rFonts w:ascii="Times New Roman" w:eastAsia="Times New Roman" w:hAnsi="Times New Roman" w:cs="Times New Roman"/>
          <w:color w:val="000000"/>
        </w:rPr>
        <w:fldChar w:fldCharType="begin"/>
      </w:r>
      <w:r w:rsidR="000B463F">
        <w:rPr>
          <w:rFonts w:ascii="Times New Roman" w:eastAsia="Times New Roman" w:hAnsi="Times New Roman" w:cs="Times New Roman"/>
          <w:color w:val="000000"/>
        </w:rPr>
        <w:instrText xml:space="preserve"> ADDIN ZOTERO_ITEM CSL_CITATION {"citationID":"bHwQHe7J","properties":{"formattedCitation":"(Dorazio et al., 2006)","plainCitation":"(Dorazio et al., 2006)","noteIndex":0},"citationItems":[{"id":1650,"uris":["http://zotero.org/groups/4699449/items/QKWYY8EB"],"itemData":{"id":1650,"type":"article-journal","abstract":"A statistical model is developed for estimating species richness and accumulation by formulating these community-level attributes as functions of model-based estimators of species occurrence while accounting for imperfect detection of individual species. The model requires a sampling protocol wherein repeated observations are made at a collection of sample locations selected to be representative of the community. This temporal replication provides the data needed to resolve the ambiguity between species absence and nondetection when species are unobserved at sample locations. Estimates of species richness and accumulation are computed for two communities, an avian community and a butterﬂy community. Our modelbased estimates suggest that detection failures in many bird species were attributed to low rates of occurrence, as opposed to simply low rates of detection. We estimate that the avian community contains a substantial number of uncommon species and that species richness greatly exceeds the number of species actually observed in the sample. In fact, predictions of species accumulation suggest that even doubling the number of sample locations would not have revealed all of the species in the community. In contrast, our analysis of the butterﬂy community suggests that many species are relatively common and that the estimated richness of species in the community is nearly equal to the number of species actually detected in the sample. Our predictions of species accumulation suggest that the number of sample locations actually used in the butterﬂy survey could have been cut in half and the asymptotic richness of species still would have been attained. Our approach of developing occurrence-based summaries of communities while allowing for imperfect detection of species is broadly applicable and should prove useful in the design and analysis of surveys of biodiversity.","container-title":"Ecology","DOI":"10.1890/0012-9658(2006)87[842:ESRAAB]2.0.CO;2","ISSN":"0012-9658","issue":"4","journalAbbreviation":"Ecology","language":"en","page":"842-854","source":"DOI.org (Crossref)","title":"ESTIMATING SPECIES RICHNESS AND ACCUMULATION BY MODELING SPECIES OCCURRENCE AND DETECTABILITY","volume":"87","author":[{"family":"Dorazio","given":"Robert M."},{"family":"Royle","given":"J. Andrew"},{"family":"Söderström","given":"Bo"},{"family":"Glimskär","given":"Anders"}],"issued":{"date-parts":[["2006",4]]}}}],"schema":"https://github.com/citation-style-language/schema/raw/master/csl-citation.json"} </w:instrText>
      </w:r>
      <w:r w:rsidR="000B463F">
        <w:rPr>
          <w:rFonts w:ascii="Times New Roman" w:eastAsia="Times New Roman" w:hAnsi="Times New Roman" w:cs="Times New Roman"/>
          <w:color w:val="000000"/>
        </w:rPr>
        <w:fldChar w:fldCharType="separate"/>
      </w:r>
      <w:r w:rsidR="000B463F">
        <w:rPr>
          <w:rFonts w:ascii="Times New Roman" w:eastAsia="Times New Roman" w:hAnsi="Times New Roman" w:cs="Times New Roman"/>
          <w:noProof/>
          <w:color w:val="000000"/>
        </w:rPr>
        <w:t>(Dorazio et al., 2006)</w:t>
      </w:r>
      <w:r w:rsidR="000B463F">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Community occupancy models are powerful tools because they preserve the identity of individual species while accounting for variable and imperfect species detection, which is not always the case for traditional methods for quantifying biodiversity</w:t>
      </w:r>
      <w:r w:rsidR="000B463F">
        <w:rPr>
          <w:rFonts w:ascii="Times New Roman" w:eastAsia="Times New Roman" w:hAnsi="Times New Roman" w:cs="Times New Roman"/>
          <w:color w:val="000000"/>
        </w:rPr>
        <w:t xml:space="preserve"> </w:t>
      </w:r>
      <w:r w:rsidR="000B463F">
        <w:rPr>
          <w:rFonts w:ascii="Times New Roman" w:eastAsia="Times New Roman" w:hAnsi="Times New Roman" w:cs="Times New Roman"/>
          <w:color w:val="000000"/>
        </w:rPr>
        <w:fldChar w:fldCharType="begin"/>
      </w:r>
      <w:r w:rsidR="000B463F">
        <w:rPr>
          <w:rFonts w:ascii="Times New Roman" w:eastAsia="Times New Roman" w:hAnsi="Times New Roman" w:cs="Times New Roman"/>
          <w:color w:val="000000"/>
        </w:rPr>
        <w:instrText xml:space="preserve"> ADDIN ZOTERO_ITEM CSL_CITATION {"citationID":"EM6xoS56","properties":{"formattedCitation":"(Iknayan et al., 2014; K\\uc0\\u233{}ry &amp; Royle, 2016)","plainCitation":"(Iknayan et al., 2014; Kéry &amp; Royle, 2016)","noteIndex":0},"citationItems":[{"id":1653,"uris":["http://zotero.org/groups/4699449/items/T4X2T2ZD"],"itemData":{"id":1653,"type":"article-journal","container-title":"Trends in Ecology &amp; Evolution","DOI":"10.1016/j.tree.2013.10.012","ISSN":"01695347","issue":"2","journalAbbreviation":"Trends in Ecology &amp; Evolution","language":"en","page":"97-106","source":"DOI.org (Crossref)","title":"Detecting diversity: emerging methods to estimate species diversity","title-short":"Detecting diversity","volume":"29","author":[{"family":"Iknayan","given":"Kelly J."},{"family":"Tingley","given":"Morgan W."},{"family":"Furnas","given":"Brett J."},{"family":"Beissinger","given":"Steven R."}],"issued":{"date-parts":[["2014",2]]}}},{"id":1639,"uris":["http://zotero.org/groups/4699449/items/974WF474"],"itemData":{"id":1639,"type":"book","publisher":"Academic Press","title":"Applied Hierarchical Modeling in Ecology Analysis of distribution, abundance and species richness in R and BUGS: Volume 1: Prelude and Static Models","author":[{"family":"Kéry","given":"Marc"},{"family":"Royle","given":"J. A."}],"issued":{"date-parts":[["2016"]]}}}],"schema":"https://github.com/citation-style-language/schema/raw/master/csl-citation.json"} </w:instrText>
      </w:r>
      <w:r w:rsidR="000B463F">
        <w:rPr>
          <w:rFonts w:ascii="Times New Roman" w:eastAsia="Times New Roman" w:hAnsi="Times New Roman" w:cs="Times New Roman"/>
          <w:color w:val="000000"/>
        </w:rPr>
        <w:fldChar w:fldCharType="separate"/>
      </w:r>
      <w:r w:rsidR="000B463F" w:rsidRPr="000B463F">
        <w:rPr>
          <w:rFonts w:ascii="Times New Roman" w:hAnsi="Times New Roman" w:cs="Times New Roman"/>
          <w:color w:val="000000"/>
        </w:rPr>
        <w:t>(</w:t>
      </w:r>
      <w:proofErr w:type="spellStart"/>
      <w:r w:rsidR="000B463F" w:rsidRPr="000B463F">
        <w:rPr>
          <w:rFonts w:ascii="Times New Roman" w:hAnsi="Times New Roman" w:cs="Times New Roman"/>
          <w:color w:val="000000"/>
        </w:rPr>
        <w:t>Iknayan</w:t>
      </w:r>
      <w:proofErr w:type="spellEnd"/>
      <w:r w:rsidR="000B463F" w:rsidRPr="000B463F">
        <w:rPr>
          <w:rFonts w:ascii="Times New Roman" w:hAnsi="Times New Roman" w:cs="Times New Roman"/>
          <w:color w:val="000000"/>
        </w:rPr>
        <w:t xml:space="preserve"> et al., 2014; </w:t>
      </w:r>
      <w:proofErr w:type="spellStart"/>
      <w:r w:rsidR="000B463F" w:rsidRPr="000B463F">
        <w:rPr>
          <w:rFonts w:ascii="Times New Roman" w:hAnsi="Times New Roman" w:cs="Times New Roman"/>
          <w:color w:val="000000"/>
        </w:rPr>
        <w:t>Kéry</w:t>
      </w:r>
      <w:proofErr w:type="spellEnd"/>
      <w:r w:rsidR="000B463F" w:rsidRPr="000B463F">
        <w:rPr>
          <w:rFonts w:ascii="Times New Roman" w:hAnsi="Times New Roman" w:cs="Times New Roman"/>
          <w:color w:val="000000"/>
        </w:rPr>
        <w:t xml:space="preserve"> &amp; </w:t>
      </w:r>
      <w:proofErr w:type="spellStart"/>
      <w:r w:rsidR="000B463F" w:rsidRPr="000B463F">
        <w:rPr>
          <w:rFonts w:ascii="Times New Roman" w:hAnsi="Times New Roman" w:cs="Times New Roman"/>
          <w:color w:val="000000"/>
        </w:rPr>
        <w:t>Royle</w:t>
      </w:r>
      <w:proofErr w:type="spellEnd"/>
      <w:r w:rsidR="000B463F" w:rsidRPr="000B463F">
        <w:rPr>
          <w:rFonts w:ascii="Times New Roman" w:hAnsi="Times New Roman" w:cs="Times New Roman"/>
          <w:color w:val="000000"/>
        </w:rPr>
        <w:t>, 2016)</w:t>
      </w:r>
      <w:r w:rsidR="000B463F">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Community occupancy models also lead to increased precision on inferences of rare and elusive species by assuming that species-specific parameters are random effects drawn from community-level distributions</w:t>
      </w:r>
      <w:r w:rsidR="000B463F">
        <w:rPr>
          <w:rFonts w:ascii="Times New Roman" w:eastAsia="Times New Roman" w:hAnsi="Times New Roman" w:cs="Times New Roman"/>
          <w:color w:val="000000"/>
        </w:rPr>
        <w:t xml:space="preserve"> </w:t>
      </w:r>
      <w:r w:rsidR="000B463F">
        <w:rPr>
          <w:rFonts w:ascii="Times New Roman" w:eastAsia="Times New Roman" w:hAnsi="Times New Roman" w:cs="Times New Roman"/>
          <w:color w:val="000000"/>
        </w:rPr>
        <w:fldChar w:fldCharType="begin"/>
      </w:r>
      <w:r w:rsidR="000B463F">
        <w:rPr>
          <w:rFonts w:ascii="Times New Roman" w:eastAsia="Times New Roman" w:hAnsi="Times New Roman" w:cs="Times New Roman"/>
          <w:color w:val="000000"/>
        </w:rPr>
        <w:instrText xml:space="preserve"> ADDIN ZOTERO_ITEM CSL_CITATION {"citationID":"o0od8uFg","properties":{"formattedCitation":"(Zipkin et al., 2009)","plainCitation":"(Zipkin et al., 2009)","noteIndex":0},"citationItems":[{"id":1654,"uris":["http://zotero.org/groups/4699449/items/9T4FPXNV"],"itemData":{"id":1654,"type":"article-journal","container-title":"Journal of Applied Ecology","DOI":"10.1111/j.1365-2664.2009.01664.x","ISSN":"00218901, 13652664","issue":"4","language":"en","page":"815-822","source":"DOI.org (Crossref)","title":"Impacts of forest fragmentation on species richness: a hierarchical approach to community modelling","title-short":"Impacts of forest fragmentation on species richness","volume":"46","author":[{"family":"Zipkin","given":"Elise F."},{"family":"DeWan","given":"Amielle"},{"family":"Andrew Royle","given":"J."}],"issued":{"date-parts":[["2009",8]]}}}],"schema":"https://github.com/citation-style-language/schema/raw/master/csl-citation.json"} </w:instrText>
      </w:r>
      <w:r w:rsidR="000B463F">
        <w:rPr>
          <w:rFonts w:ascii="Times New Roman" w:eastAsia="Times New Roman" w:hAnsi="Times New Roman" w:cs="Times New Roman"/>
          <w:color w:val="000000"/>
        </w:rPr>
        <w:fldChar w:fldCharType="separate"/>
      </w:r>
      <w:r w:rsidR="000B463F">
        <w:rPr>
          <w:rFonts w:ascii="Times New Roman" w:eastAsia="Times New Roman" w:hAnsi="Times New Roman" w:cs="Times New Roman"/>
          <w:noProof/>
          <w:color w:val="000000"/>
        </w:rPr>
        <w:t>(Zipkin et al., 2009)</w:t>
      </w:r>
      <w:r w:rsidR="000B463F">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w:t>
      </w:r>
    </w:p>
    <w:p w14:paraId="5F9E47E1"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 </w:t>
      </w:r>
    </w:p>
    <w:p w14:paraId="56387501"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We start by defining bee species </w:t>
      </w:r>
      <w:proofErr w:type="spellStart"/>
      <w:r>
        <w:rPr>
          <w:rFonts w:ascii="Times New Roman" w:eastAsia="Times New Roman" w:hAnsi="Times New Roman" w:cs="Times New Roman"/>
          <w:i/>
          <w:color w:val="000000"/>
        </w:rPr>
        <w:t>i</w:t>
      </w:r>
      <w:proofErr w:type="spellEnd"/>
      <w:r>
        <w:rPr>
          <w:rFonts w:ascii="Times New Roman" w:eastAsia="Times New Roman" w:hAnsi="Times New Roman" w:cs="Times New Roman"/>
          <w:color w:val="000000"/>
        </w:rPr>
        <w:t> interaction with plant species </w:t>
      </w:r>
      <w:r>
        <w:rPr>
          <w:rFonts w:ascii="Times New Roman" w:eastAsia="Times New Roman" w:hAnsi="Times New Roman" w:cs="Times New Roman"/>
          <w:i/>
          <w:color w:val="000000"/>
        </w:rPr>
        <w:t>j</w:t>
      </w:r>
      <w:r>
        <w:rPr>
          <w:rFonts w:ascii="Times New Roman" w:eastAsia="Times New Roman" w:hAnsi="Times New Roman" w:cs="Times New Roman"/>
          <w:color w:val="000000"/>
        </w:rPr>
        <w:t xml:space="preserve"> during month </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as a binary variable in which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 1 if bee species </w:t>
      </w:r>
      <w:proofErr w:type="spellStart"/>
      <w:r>
        <w:rPr>
          <w:rFonts w:ascii="Times New Roman" w:eastAsia="Times New Roman" w:hAnsi="Times New Roman" w:cs="Times New Roman"/>
          <w:i/>
          <w:color w:val="000000"/>
        </w:rPr>
        <w:t>i</w:t>
      </w:r>
      <w:proofErr w:type="spellEnd"/>
      <w:r>
        <w:rPr>
          <w:rFonts w:ascii="Times New Roman" w:eastAsia="Times New Roman" w:hAnsi="Times New Roman" w:cs="Times New Roman"/>
          <w:color w:val="000000"/>
        </w:rPr>
        <w:t> interacts with plant species </w:t>
      </w:r>
      <w:r>
        <w:rPr>
          <w:rFonts w:ascii="Times New Roman" w:eastAsia="Times New Roman" w:hAnsi="Times New Roman" w:cs="Times New Roman"/>
          <w:i/>
          <w:color w:val="000000"/>
        </w:rPr>
        <w:t xml:space="preserve">j </w:t>
      </w:r>
      <w:r>
        <w:rPr>
          <w:rFonts w:ascii="Times New Roman" w:eastAsia="Times New Roman" w:hAnsi="Times New Roman" w:cs="Times New Roman"/>
          <w:color w:val="000000"/>
        </w:rPr>
        <w:t xml:space="preserve">during month </w:t>
      </w:r>
      <w:r>
        <w:rPr>
          <w:rFonts w:ascii="Times New Roman" w:eastAsia="Times New Roman" w:hAnsi="Times New Roman" w:cs="Times New Roman"/>
          <w:i/>
          <w:color w:val="000000"/>
        </w:rPr>
        <w:t>t</w:t>
      </w:r>
      <w:r>
        <w:rPr>
          <w:rFonts w:ascii="Times New Roman" w:eastAsia="Times New Roman" w:hAnsi="Times New Roman" w:cs="Times New Roman"/>
          <w:color w:val="000000"/>
        </w:rPr>
        <w:t>, and zero otherwise. The interaction state is assumed to be the outcome of a Bernoulli random process where: </w:t>
      </w:r>
    </w:p>
    <w:p w14:paraId="4EED8147" w14:textId="77777777" w:rsidR="00413978"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 Bernoulli(</w:t>
      </w:r>
      <w:proofErr w:type="spellStart"/>
      <w:r>
        <w:rPr>
          <w:rFonts w:ascii="Times New Roman" w:eastAsia="Times New Roman" w:hAnsi="Times New Roman" w:cs="Times New Roman"/>
          <w:color w:val="000000"/>
        </w:rPr>
        <w:t>Ѱ</w:t>
      </w:r>
      <w:r>
        <w:rPr>
          <w:rFonts w:ascii="Times New Roman" w:eastAsia="Times New Roman" w:hAnsi="Times New Roman" w:cs="Times New Roman"/>
          <w:color w:val="000000"/>
          <w:sz w:val="19"/>
          <w:szCs w:val="19"/>
          <w:vertAlign w:val="subscript"/>
        </w:rPr>
        <w:t>i,j</w:t>
      </w:r>
      <w:proofErr w:type="spellEnd"/>
      <w:r>
        <w:rPr>
          <w:rFonts w:ascii="Times New Roman" w:eastAsia="Times New Roman" w:hAnsi="Times New Roman" w:cs="Times New Roman"/>
          <w:color w:val="000000"/>
        </w:rPr>
        <w:t>) </w:t>
      </w:r>
    </w:p>
    <w:p w14:paraId="08855970"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Here, </w:t>
      </w:r>
      <w:proofErr w:type="spellStart"/>
      <w:r>
        <w:rPr>
          <w:rFonts w:ascii="Times New Roman" w:eastAsia="Times New Roman" w:hAnsi="Times New Roman" w:cs="Times New Roman"/>
          <w:color w:val="000000"/>
        </w:rPr>
        <w:t>Ѱ</w:t>
      </w:r>
      <w:r>
        <w:rPr>
          <w:rFonts w:ascii="Times New Roman" w:eastAsia="Times New Roman" w:hAnsi="Times New Roman" w:cs="Times New Roman"/>
          <w:color w:val="000000"/>
          <w:sz w:val="19"/>
          <w:szCs w:val="19"/>
          <w:vertAlign w:val="subscript"/>
        </w:rPr>
        <w:t>i,j</w:t>
      </w:r>
      <w:proofErr w:type="spellEnd"/>
      <w:r>
        <w:rPr>
          <w:rFonts w:ascii="Times New Roman" w:eastAsia="Times New Roman" w:hAnsi="Times New Roman" w:cs="Times New Roman"/>
          <w:color w:val="000000"/>
        </w:rPr>
        <w:t> is the probability that bee species </w:t>
      </w:r>
      <w:proofErr w:type="spellStart"/>
      <w:r>
        <w:rPr>
          <w:rFonts w:ascii="Times New Roman" w:eastAsia="Times New Roman" w:hAnsi="Times New Roman" w:cs="Times New Roman"/>
          <w:i/>
          <w:color w:val="000000"/>
        </w:rPr>
        <w:t>i</w:t>
      </w:r>
      <w:proofErr w:type="spellEnd"/>
      <w:r>
        <w:rPr>
          <w:rFonts w:ascii="Times New Roman" w:eastAsia="Times New Roman" w:hAnsi="Times New Roman" w:cs="Times New Roman"/>
          <w:color w:val="000000"/>
        </w:rPr>
        <w:t> interacts with plant species </w:t>
      </w:r>
      <w:r>
        <w:rPr>
          <w:rFonts w:ascii="Times New Roman" w:eastAsia="Times New Roman" w:hAnsi="Times New Roman" w:cs="Times New Roman"/>
          <w:i/>
          <w:color w:val="000000"/>
        </w:rPr>
        <w:t>j</w:t>
      </w:r>
      <w:r>
        <w:rPr>
          <w:rFonts w:ascii="Times New Roman" w:eastAsia="Times New Roman" w:hAnsi="Times New Roman" w:cs="Times New Roman"/>
          <w:color w:val="000000"/>
        </w:rPr>
        <w:t>. We included bee size, bee sociality, flower color, and flower shape as covariates in the bee-plant interaction model using a logit-link function, where: </w:t>
      </w:r>
    </w:p>
    <w:p w14:paraId="7EC4CC97" w14:textId="77777777" w:rsidR="00413978"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logit(</w:t>
      </w:r>
      <w:proofErr w:type="spellStart"/>
      <w:r>
        <w:rPr>
          <w:rFonts w:ascii="Times New Roman" w:eastAsia="Times New Roman" w:hAnsi="Times New Roman" w:cs="Times New Roman"/>
          <w:color w:val="000000"/>
        </w:rPr>
        <w:t>Ѱ</w:t>
      </w:r>
      <w:r>
        <w:rPr>
          <w:rFonts w:ascii="Times New Roman" w:eastAsia="Times New Roman" w:hAnsi="Times New Roman" w:cs="Times New Roman"/>
          <w:color w:val="000000"/>
          <w:vertAlign w:val="subscript"/>
        </w:rPr>
        <w:t>i,j</w:t>
      </w:r>
      <w:proofErr w:type="spellEnd"/>
      <w:r>
        <w:rPr>
          <w:rFonts w:ascii="Times New Roman" w:eastAsia="Times New Roman" w:hAnsi="Times New Roman" w:cs="Times New Roman"/>
          <w:color w:val="000000"/>
        </w:rPr>
        <w:t>) = </w:t>
      </w:r>
      <w:proofErr w:type="spellStart"/>
      <w:r>
        <w:rPr>
          <w:rFonts w:ascii="Times New Roman" w:eastAsia="Times New Roman" w:hAnsi="Times New Roman" w:cs="Times New Roman"/>
          <w:color w:val="000000"/>
        </w:rPr>
        <w:t>u</w:t>
      </w:r>
      <w:r>
        <w:rPr>
          <w:rFonts w:ascii="Times New Roman" w:eastAsia="Times New Roman" w:hAnsi="Times New Roman" w:cs="Times New Roman"/>
          <w:color w:val="000000"/>
          <w:vertAlign w:val="subscript"/>
        </w:rPr>
        <w:t>i</w:t>
      </w:r>
      <w:proofErr w:type="spellEnd"/>
      <w:r>
        <w:rPr>
          <w:rFonts w:ascii="Times New Roman" w:eastAsia="Times New Roman" w:hAnsi="Times New Roman" w:cs="Times New Roman"/>
          <w:color w:val="000000"/>
        </w:rPr>
        <w:t xml:space="preserve"> + </w:t>
      </w:r>
      <w:r>
        <w:rPr>
          <w:rFonts w:ascii="Symbol" w:eastAsia="Symbol" w:hAnsi="Symbol" w:cs="Symbol"/>
          <w:color w:val="000000"/>
        </w:rPr>
        <w:t>β</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Bee.size</w:t>
      </w:r>
      <w:r>
        <w:rPr>
          <w:rFonts w:ascii="Times New Roman" w:eastAsia="Times New Roman" w:hAnsi="Times New Roman" w:cs="Times New Roman"/>
          <w:i/>
          <w:color w:val="000000"/>
          <w:vertAlign w:val="subscript"/>
        </w:rPr>
        <w:t>i</w:t>
      </w:r>
      <w:proofErr w:type="spellEnd"/>
      <w:r>
        <w:rPr>
          <w:rFonts w:ascii="Times New Roman" w:eastAsia="Times New Roman" w:hAnsi="Times New Roman" w:cs="Times New Roman"/>
          <w:color w:val="000000"/>
        </w:rPr>
        <w:t xml:space="preserve"> + </w:t>
      </w:r>
      <w:r>
        <w:rPr>
          <w:rFonts w:ascii="Symbol" w:eastAsia="Symbol" w:hAnsi="Symbol" w:cs="Symbol"/>
          <w:color w:val="000000"/>
        </w:rPr>
        <w:t>β</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Bee.sociality</w:t>
      </w:r>
      <w:r>
        <w:rPr>
          <w:rFonts w:ascii="Times New Roman" w:eastAsia="Times New Roman" w:hAnsi="Times New Roman" w:cs="Times New Roman"/>
          <w:i/>
          <w:color w:val="000000"/>
          <w:vertAlign w:val="subscript"/>
        </w:rPr>
        <w:t>i</w:t>
      </w:r>
      <w:proofErr w:type="spellEnd"/>
      <w:r>
        <w:rPr>
          <w:rFonts w:ascii="Times New Roman" w:eastAsia="Times New Roman" w:hAnsi="Times New Roman" w:cs="Times New Roman"/>
          <w:color w:val="000000"/>
        </w:rPr>
        <w:t xml:space="preserve"> + </w:t>
      </w:r>
      <w:r>
        <w:rPr>
          <w:rFonts w:ascii="Symbol" w:eastAsia="Symbol" w:hAnsi="Symbol" w:cs="Symbol"/>
          <w:color w:val="000000"/>
        </w:rPr>
        <w:t>β</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Flower.color</w:t>
      </w:r>
      <w:r>
        <w:rPr>
          <w:rFonts w:ascii="Times New Roman" w:eastAsia="Times New Roman" w:hAnsi="Times New Roman" w:cs="Times New Roman"/>
          <w:i/>
          <w:color w:val="000000"/>
          <w:vertAlign w:val="subscript"/>
        </w:rPr>
        <w:t>j</w:t>
      </w:r>
      <w:proofErr w:type="spellEnd"/>
      <w:r>
        <w:rPr>
          <w:rFonts w:ascii="Times New Roman" w:eastAsia="Times New Roman" w:hAnsi="Times New Roman" w:cs="Times New Roman"/>
          <w:color w:val="000000"/>
        </w:rPr>
        <w:t xml:space="preserve"> + </w:t>
      </w:r>
      <w:r>
        <w:rPr>
          <w:rFonts w:ascii="Symbol" w:eastAsia="Symbol" w:hAnsi="Symbol" w:cs="Symbol"/>
          <w:color w:val="000000"/>
        </w:rPr>
        <w:t>β</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Flower.shape</w:t>
      </w:r>
      <w:r>
        <w:rPr>
          <w:rFonts w:ascii="Times New Roman" w:eastAsia="Times New Roman" w:hAnsi="Times New Roman" w:cs="Times New Roman"/>
          <w:i/>
          <w:color w:val="000000"/>
          <w:vertAlign w:val="subscript"/>
        </w:rPr>
        <w:t>j</w:t>
      </w:r>
      <w:proofErr w:type="spellEnd"/>
    </w:p>
    <w:p w14:paraId="5EE9B1D1"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46578D98" w14:textId="77777777"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standardized bee size by subtracting the mean and dividing by the standard deviation. The other three covariates (bee sociality, flower color, and flower shape) were categorical with two levels each as follows: bee sociality = </w:t>
      </w:r>
      <w:r>
        <w:rPr>
          <w:rFonts w:ascii="Times New Roman" w:eastAsia="Times New Roman" w:hAnsi="Times New Roman" w:cs="Times New Roman"/>
        </w:rPr>
        <w:t>solitary</w:t>
      </w:r>
      <w:r>
        <w:rPr>
          <w:rFonts w:ascii="Times New Roman" w:eastAsia="Times New Roman" w:hAnsi="Times New Roman" w:cs="Times New Roman"/>
          <w:color w:val="000000"/>
        </w:rPr>
        <w:t xml:space="preserve"> vs non-so</w:t>
      </w:r>
      <w:r>
        <w:rPr>
          <w:rFonts w:ascii="Times New Roman" w:eastAsia="Times New Roman" w:hAnsi="Times New Roman" w:cs="Times New Roman"/>
        </w:rPr>
        <w:t>litary</w:t>
      </w:r>
      <w:r>
        <w:rPr>
          <w:rFonts w:ascii="Times New Roman" w:eastAsia="Times New Roman" w:hAnsi="Times New Roman" w:cs="Times New Roman"/>
          <w:color w:val="000000"/>
        </w:rPr>
        <w:t xml:space="preserve"> bee, flower color = yellow or non-yellow, flower shape = bowl vs non-bowl. </w:t>
      </w:r>
    </w:p>
    <w:p w14:paraId="27DFE4ED" w14:textId="77777777" w:rsidR="00413978" w:rsidRDefault="00413978">
      <w:pPr>
        <w:pBdr>
          <w:top w:val="nil"/>
          <w:left w:val="nil"/>
          <w:bottom w:val="nil"/>
          <w:right w:val="nil"/>
          <w:between w:val="nil"/>
        </w:pBdr>
        <w:rPr>
          <w:rFonts w:ascii="Times New Roman" w:eastAsia="Times New Roman" w:hAnsi="Times New Roman" w:cs="Times New Roman"/>
        </w:rPr>
      </w:pPr>
    </w:p>
    <w:p w14:paraId="535E105E"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We assume that each of the intercept values (</w:t>
      </w:r>
      <w:proofErr w:type="spellStart"/>
      <w:r>
        <w:rPr>
          <w:rFonts w:ascii="Times New Roman" w:eastAsia="Times New Roman" w:hAnsi="Times New Roman" w:cs="Times New Roman"/>
          <w:color w:val="000000"/>
        </w:rPr>
        <w:t>u</w:t>
      </w:r>
      <w:r>
        <w:rPr>
          <w:rFonts w:ascii="Times New Roman" w:eastAsia="Times New Roman" w:hAnsi="Times New Roman" w:cs="Times New Roman"/>
          <w:color w:val="000000"/>
          <w:sz w:val="19"/>
          <w:szCs w:val="19"/>
          <w:vertAlign w:val="subscript"/>
        </w:rPr>
        <w:t>i</w:t>
      </w:r>
      <w:proofErr w:type="spellEnd"/>
      <w:r>
        <w:rPr>
          <w:rFonts w:ascii="Times New Roman" w:eastAsia="Times New Roman" w:hAnsi="Times New Roman" w:cs="Times New Roman"/>
          <w:color w:val="000000"/>
        </w:rPr>
        <w:t>, bee species interaction rates</w:t>
      </w:r>
      <w:r>
        <w:rPr>
          <w:rFonts w:ascii="Times New Roman" w:eastAsia="Times New Roman" w:hAnsi="Times New Roman" w:cs="Times New Roman"/>
          <w:i/>
          <w:color w:val="000000"/>
        </w:rPr>
        <w:t> </w:t>
      </w:r>
      <w:r>
        <w:rPr>
          <w:rFonts w:ascii="Times New Roman" w:eastAsia="Times New Roman" w:hAnsi="Times New Roman" w:cs="Times New Roman"/>
          <w:color w:val="000000"/>
        </w:rPr>
        <w:t xml:space="preserve">on the logit scale) were drawn from a community-level normal distribution with mean, </w:t>
      </w:r>
      <w:proofErr w:type="spellStart"/>
      <w:r>
        <w:rPr>
          <w:rFonts w:ascii="Times New Roman" w:eastAsia="Times New Roman" w:hAnsi="Times New Roman" w:cs="Times New Roman"/>
          <w:color w:val="000000"/>
        </w:rPr>
        <w:t>μ</w:t>
      </w:r>
      <w:r>
        <w:rPr>
          <w:rFonts w:ascii="Times New Roman" w:eastAsia="Times New Roman" w:hAnsi="Times New Roman" w:cs="Times New Roman"/>
          <w:color w:val="000000"/>
          <w:vertAlign w:val="subscript"/>
        </w:rPr>
        <w:t>Ѱ</w:t>
      </w:r>
      <w:proofErr w:type="spellEnd"/>
      <w:r>
        <w:rPr>
          <w:rFonts w:ascii="Times New Roman" w:eastAsia="Times New Roman" w:hAnsi="Times New Roman" w:cs="Times New Roman"/>
          <w:color w:val="000000"/>
        </w:rPr>
        <w:t xml:space="preserve">, and variance, </w:t>
      </w:r>
      <w:r>
        <w:rPr>
          <w:rFonts w:ascii="Cambria Math" w:eastAsia="Cambria Math" w:hAnsi="Cambria Math" w:cs="Cambria Math"/>
          <w:color w:val="000000"/>
        </w:rPr>
        <w:t>𝜎</w:t>
      </w:r>
      <w:r>
        <w:rPr>
          <w:rFonts w:ascii="Times New Roman" w:eastAsia="Times New Roman" w:hAnsi="Times New Roman" w:cs="Times New Roman"/>
          <w:color w:val="000000"/>
          <w:vertAlign w:val="subscript"/>
        </w:rPr>
        <w:t>Ѱ</w:t>
      </w:r>
      <w:r>
        <w:rPr>
          <w:rFonts w:ascii="Times New Roman" w:eastAsia="Times New Roman" w:hAnsi="Times New Roman" w:cs="Times New Roman"/>
          <w:color w:val="000000"/>
          <w:sz w:val="19"/>
          <w:szCs w:val="19"/>
          <w:vertAlign w:val="superscript"/>
        </w:rPr>
        <w:t>2</w:t>
      </w:r>
      <w:r>
        <w:rPr>
          <w:rFonts w:ascii="Times New Roman" w:eastAsia="Times New Roman" w:hAnsi="Times New Roman" w:cs="Times New Roman"/>
          <w:color w:val="000000"/>
        </w:rPr>
        <w:t>, such that: </w:t>
      </w:r>
    </w:p>
    <w:p w14:paraId="5AA6CFCC" w14:textId="77777777" w:rsidR="00413978"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proofErr w:type="spellStart"/>
      <w:r>
        <w:rPr>
          <w:rFonts w:ascii="Times New Roman" w:eastAsia="Times New Roman" w:hAnsi="Times New Roman" w:cs="Times New Roman"/>
          <w:color w:val="000000"/>
        </w:rPr>
        <w:t>u</w:t>
      </w:r>
      <w:r>
        <w:rPr>
          <w:rFonts w:ascii="Times New Roman" w:eastAsia="Times New Roman" w:hAnsi="Times New Roman" w:cs="Times New Roman"/>
          <w:color w:val="000000"/>
          <w:sz w:val="19"/>
          <w:szCs w:val="19"/>
          <w:vertAlign w:val="subscript"/>
        </w:rPr>
        <w:t>i</w:t>
      </w:r>
      <w:proofErr w:type="spellEnd"/>
      <w:r>
        <w:rPr>
          <w:rFonts w:ascii="Times New Roman" w:eastAsia="Times New Roman" w:hAnsi="Times New Roman" w:cs="Times New Roman"/>
          <w:color w:val="000000"/>
        </w:rPr>
        <w:t> ~ Normal(</w:t>
      </w:r>
      <w:proofErr w:type="spellStart"/>
      <w:r>
        <w:rPr>
          <w:rFonts w:ascii="Times New Roman" w:eastAsia="Times New Roman" w:hAnsi="Times New Roman" w:cs="Times New Roman"/>
          <w:color w:val="000000"/>
        </w:rPr>
        <w:t>μ</w:t>
      </w:r>
      <w:r>
        <w:rPr>
          <w:rFonts w:ascii="Times New Roman" w:eastAsia="Times New Roman" w:hAnsi="Times New Roman" w:cs="Times New Roman"/>
          <w:color w:val="000000"/>
          <w:vertAlign w:val="subscript"/>
        </w:rPr>
        <w:t>Ѱ</w:t>
      </w:r>
      <w:proofErr w:type="spellEnd"/>
      <w:r>
        <w:rPr>
          <w:rFonts w:ascii="Times New Roman" w:eastAsia="Times New Roman" w:hAnsi="Times New Roman" w:cs="Times New Roman"/>
          <w:color w:val="000000"/>
        </w:rPr>
        <w:t xml:space="preserve">, </w:t>
      </w:r>
      <w:r>
        <w:rPr>
          <w:rFonts w:ascii="Cambria Math" w:eastAsia="Cambria Math" w:hAnsi="Cambria Math" w:cs="Cambria Math"/>
          <w:color w:val="000000"/>
        </w:rPr>
        <w:t>𝜎</w:t>
      </w:r>
      <w:r>
        <w:rPr>
          <w:rFonts w:ascii="Times New Roman" w:eastAsia="Times New Roman" w:hAnsi="Times New Roman" w:cs="Times New Roman"/>
          <w:color w:val="000000"/>
          <w:vertAlign w:val="subscript"/>
        </w:rPr>
        <w:t>Ѱ</w:t>
      </w:r>
      <w:r>
        <w:rPr>
          <w:rFonts w:ascii="Times New Roman" w:eastAsia="Times New Roman" w:hAnsi="Times New Roman" w:cs="Times New Roman"/>
          <w:color w:val="000000"/>
          <w:sz w:val="19"/>
          <w:szCs w:val="19"/>
          <w:vertAlign w:val="superscript"/>
        </w:rPr>
        <w:t>2</w:t>
      </w:r>
      <w:r>
        <w:rPr>
          <w:rFonts w:ascii="Times New Roman" w:eastAsia="Times New Roman" w:hAnsi="Times New Roman" w:cs="Times New Roman"/>
          <w:color w:val="000000"/>
        </w:rPr>
        <w:t>) </w:t>
      </w:r>
    </w:p>
    <w:p w14:paraId="4C7EA34B" w14:textId="77777777" w:rsidR="00413978" w:rsidRDefault="00413978">
      <w:pPr>
        <w:pBdr>
          <w:top w:val="nil"/>
          <w:left w:val="nil"/>
          <w:bottom w:val="nil"/>
          <w:right w:val="nil"/>
          <w:between w:val="nil"/>
        </w:pBdr>
        <w:rPr>
          <w:rFonts w:ascii="Times New Roman" w:eastAsia="Times New Roman" w:hAnsi="Times New Roman" w:cs="Times New Roman"/>
        </w:rPr>
      </w:pPr>
    </w:p>
    <w:p w14:paraId="314B5A73"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The data, </w:t>
      </w:r>
      <w:proofErr w:type="spellStart"/>
      <w:r>
        <w:rPr>
          <w:rFonts w:ascii="Times New Roman" w:eastAsia="Times New Roman" w:hAnsi="Times New Roman" w:cs="Times New Roman"/>
          <w:color w:val="000000"/>
        </w:rPr>
        <w:t>y</w:t>
      </w:r>
      <w:r>
        <w:rPr>
          <w:rFonts w:ascii="Times New Roman" w:eastAsia="Times New Roman" w:hAnsi="Times New Roman" w:cs="Times New Roman"/>
          <w:color w:val="000000"/>
          <w:sz w:val="19"/>
          <w:szCs w:val="19"/>
          <w:vertAlign w:val="subscript"/>
        </w:rPr>
        <w:t>i,j,t,k</w:t>
      </w:r>
      <w:proofErr w:type="spellEnd"/>
      <w:r>
        <w:rPr>
          <w:rFonts w:ascii="Times New Roman" w:eastAsia="Times New Roman" w:hAnsi="Times New Roman" w:cs="Times New Roman"/>
          <w:color w:val="000000"/>
        </w:rPr>
        <w:t>, consist of detection/non-detection observations. If bee species </w:t>
      </w:r>
      <w:proofErr w:type="spellStart"/>
      <w:r>
        <w:rPr>
          <w:rFonts w:ascii="Times New Roman" w:eastAsia="Times New Roman" w:hAnsi="Times New Roman" w:cs="Times New Roman"/>
          <w:i/>
          <w:color w:val="000000"/>
        </w:rPr>
        <w:t>i</w:t>
      </w:r>
      <w:proofErr w:type="spellEnd"/>
      <w:r>
        <w:rPr>
          <w:rFonts w:ascii="Times New Roman" w:eastAsia="Times New Roman" w:hAnsi="Times New Roman" w:cs="Times New Roman"/>
          <w:color w:val="000000"/>
        </w:rPr>
        <w:t> is observed interacting with plant species </w:t>
      </w:r>
      <w:r>
        <w:rPr>
          <w:rFonts w:ascii="Times New Roman" w:eastAsia="Times New Roman" w:hAnsi="Times New Roman" w:cs="Times New Roman"/>
          <w:i/>
          <w:color w:val="000000"/>
        </w:rPr>
        <w:t>j</w:t>
      </w:r>
      <w:r>
        <w:rPr>
          <w:rFonts w:ascii="Times New Roman" w:eastAsia="Times New Roman" w:hAnsi="Times New Roman" w:cs="Times New Roman"/>
          <w:color w:val="000000"/>
        </w:rPr>
        <w:t xml:space="preserve"> during month </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by source citation </w:t>
      </w:r>
      <w:r>
        <w:rPr>
          <w:rFonts w:ascii="Times New Roman" w:eastAsia="Times New Roman" w:hAnsi="Times New Roman" w:cs="Times New Roman"/>
          <w:i/>
          <w:color w:val="000000"/>
        </w:rPr>
        <w:t>k</w:t>
      </w:r>
      <w:r>
        <w:rPr>
          <w:rFonts w:ascii="Times New Roman" w:eastAsia="Times New Roman" w:hAnsi="Times New Roman" w:cs="Times New Roman"/>
          <w:color w:val="000000"/>
        </w:rPr>
        <w:t>, then </w:t>
      </w:r>
      <w:proofErr w:type="spellStart"/>
      <w:r>
        <w:rPr>
          <w:rFonts w:ascii="Times New Roman" w:eastAsia="Times New Roman" w:hAnsi="Times New Roman" w:cs="Times New Roman"/>
          <w:color w:val="000000"/>
        </w:rPr>
        <w:t>y</w:t>
      </w:r>
      <w:r>
        <w:rPr>
          <w:rFonts w:ascii="Times New Roman" w:eastAsia="Times New Roman" w:hAnsi="Times New Roman" w:cs="Times New Roman"/>
          <w:color w:val="000000"/>
          <w:sz w:val="19"/>
          <w:szCs w:val="19"/>
          <w:vertAlign w:val="subscript"/>
        </w:rPr>
        <w:t>i,j,t,k</w:t>
      </w:r>
      <w:proofErr w:type="spellEnd"/>
      <w:r>
        <w:rPr>
          <w:rFonts w:ascii="Times New Roman" w:eastAsia="Times New Roman" w:hAnsi="Times New Roman" w:cs="Times New Roman"/>
          <w:color w:val="000000"/>
        </w:rPr>
        <w:t> = 1 and a zero otherwise. True bee species interactions with plant species,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xml:space="preserve">, are observed imperfectly, and thus, repeated sampling over a period of time when the community remains closed (i.e., no changes in bee-plant interactions) allows for the distinction between true species non-interaction and non-detection of the observation. </w:t>
      </w:r>
    </w:p>
    <w:p w14:paraId="32D9BE54"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66675A1B"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We define the detection model as: </w:t>
      </w:r>
    </w:p>
    <w:p w14:paraId="25F8A37D" w14:textId="77777777" w:rsidR="00413978"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proofErr w:type="spellStart"/>
      <w:r>
        <w:rPr>
          <w:rFonts w:ascii="Times New Roman" w:eastAsia="Times New Roman" w:hAnsi="Times New Roman" w:cs="Times New Roman"/>
          <w:color w:val="000000"/>
        </w:rPr>
        <w:t>y</w:t>
      </w:r>
      <w:r>
        <w:rPr>
          <w:rFonts w:ascii="Times New Roman" w:eastAsia="Times New Roman" w:hAnsi="Times New Roman" w:cs="Times New Roman"/>
          <w:color w:val="000000"/>
          <w:sz w:val="19"/>
          <w:szCs w:val="19"/>
          <w:vertAlign w:val="subscript"/>
        </w:rPr>
        <w:t>i,j,t,k</w:t>
      </w:r>
      <w:proofErr w:type="spellEnd"/>
      <w:r>
        <w:rPr>
          <w:rFonts w:ascii="Times New Roman" w:eastAsia="Times New Roman" w:hAnsi="Times New Roman" w:cs="Times New Roman"/>
          <w:color w:val="000000"/>
        </w:rPr>
        <w:t> ~ Bern(</w:t>
      </w:r>
      <w:proofErr w:type="spellStart"/>
      <w:r>
        <w:rPr>
          <w:rFonts w:ascii="Times New Roman" w:eastAsia="Times New Roman" w:hAnsi="Times New Roman" w:cs="Times New Roman"/>
          <w:color w:val="000000"/>
        </w:rPr>
        <w:t>p</w:t>
      </w:r>
      <w:r>
        <w:rPr>
          <w:rFonts w:ascii="Times New Roman" w:eastAsia="Times New Roman" w:hAnsi="Times New Roman" w:cs="Times New Roman"/>
          <w:color w:val="000000"/>
          <w:sz w:val="19"/>
          <w:szCs w:val="19"/>
          <w:vertAlign w:val="subscript"/>
        </w:rPr>
        <w:t>i,j,t,k</w:t>
      </w:r>
      <w:proofErr w:type="spellEnd"/>
      <w:r>
        <w:rPr>
          <w:rFonts w:ascii="Times New Roman" w:eastAsia="Times New Roman" w:hAnsi="Times New Roman" w:cs="Times New Roman"/>
          <w:color w:val="000000"/>
          <w:sz w:val="19"/>
          <w:szCs w:val="19"/>
          <w:vertAlign w:val="subscript"/>
        </w:rPr>
        <w:t> </w:t>
      </w:r>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w:t>
      </w:r>
    </w:p>
    <w:p w14:paraId="4EA4B88B" w14:textId="77777777"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 xml:space="preserve">where </w:t>
      </w:r>
      <w:proofErr w:type="spellStart"/>
      <w:r>
        <w:rPr>
          <w:rFonts w:ascii="Times New Roman" w:eastAsia="Times New Roman" w:hAnsi="Times New Roman" w:cs="Times New Roman"/>
          <w:color w:val="000000"/>
        </w:rPr>
        <w:t>p</w:t>
      </w:r>
      <w:r>
        <w:rPr>
          <w:rFonts w:ascii="Times New Roman" w:eastAsia="Times New Roman" w:hAnsi="Times New Roman" w:cs="Times New Roman"/>
          <w:color w:val="000000"/>
          <w:sz w:val="19"/>
          <w:szCs w:val="19"/>
          <w:vertAlign w:val="subscript"/>
        </w:rPr>
        <w:t>i,j,t,k</w:t>
      </w:r>
      <w:proofErr w:type="spellEnd"/>
      <w:r>
        <w:rPr>
          <w:rFonts w:ascii="Times New Roman" w:eastAsia="Times New Roman" w:hAnsi="Times New Roman" w:cs="Times New Roman"/>
          <w:color w:val="000000"/>
        </w:rPr>
        <w:t> is the probability of detecting the interaction of bee species </w:t>
      </w:r>
      <w:proofErr w:type="spellStart"/>
      <w:r>
        <w:rPr>
          <w:rFonts w:ascii="Times New Roman" w:eastAsia="Times New Roman" w:hAnsi="Times New Roman" w:cs="Times New Roman"/>
          <w:i/>
          <w:color w:val="000000"/>
        </w:rPr>
        <w:t>i</w:t>
      </w:r>
      <w:proofErr w:type="spellEnd"/>
      <w:r>
        <w:rPr>
          <w:rFonts w:ascii="Times New Roman" w:eastAsia="Times New Roman" w:hAnsi="Times New Roman" w:cs="Times New Roman"/>
          <w:color w:val="000000"/>
        </w:rPr>
        <w:t xml:space="preserve"> with plant species </w:t>
      </w:r>
      <w:r>
        <w:rPr>
          <w:rFonts w:ascii="Times New Roman" w:eastAsia="Times New Roman" w:hAnsi="Times New Roman" w:cs="Times New Roman"/>
          <w:i/>
          <w:color w:val="000000"/>
        </w:rPr>
        <w:t>j</w:t>
      </w:r>
      <w:r>
        <w:rPr>
          <w:rFonts w:ascii="Times New Roman" w:eastAsia="Times New Roman" w:hAnsi="Times New Roman" w:cs="Times New Roman"/>
          <w:color w:val="000000"/>
        </w:rPr>
        <w:t xml:space="preserve"> during month </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by source citation </w:t>
      </w: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given that the bee-plant interaction does occur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 1). Thus, detection is a fixed zero when a species is not present because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rPr>
        <w:t> = 0 in that case. We model detection probabilities using a logit-link function where:   </w:t>
      </w:r>
    </w:p>
    <w:p w14:paraId="204886F0" w14:textId="77777777" w:rsidR="00413978" w:rsidRDefault="00000000">
      <w:pPr>
        <w:pBdr>
          <w:top w:val="nil"/>
          <w:left w:val="nil"/>
          <w:bottom w:val="nil"/>
          <w:right w:val="nil"/>
          <w:between w:val="nil"/>
        </w:pBdr>
        <w:jc w:val="center"/>
        <w:rPr>
          <w:rFonts w:ascii="Quattrocento Sans" w:eastAsia="Quattrocento Sans" w:hAnsi="Quattrocento Sans" w:cs="Quattrocento Sans"/>
          <w:color w:val="000000"/>
        </w:rPr>
      </w:pPr>
      <w:r>
        <w:rPr>
          <w:rFonts w:ascii="Times New Roman" w:eastAsia="Times New Roman" w:hAnsi="Times New Roman" w:cs="Times New Roman"/>
          <w:color w:val="000000"/>
        </w:rPr>
        <w:t>logit(</w:t>
      </w:r>
      <w:proofErr w:type="spellStart"/>
      <w:r>
        <w:rPr>
          <w:rFonts w:ascii="Times New Roman" w:eastAsia="Times New Roman" w:hAnsi="Times New Roman" w:cs="Times New Roman"/>
          <w:color w:val="000000"/>
        </w:rPr>
        <w:t>p</w:t>
      </w:r>
      <w:r>
        <w:rPr>
          <w:rFonts w:ascii="Times New Roman" w:eastAsia="Times New Roman" w:hAnsi="Times New Roman" w:cs="Times New Roman"/>
          <w:color w:val="000000"/>
          <w:sz w:val="19"/>
          <w:szCs w:val="19"/>
          <w:vertAlign w:val="subscript"/>
        </w:rPr>
        <w:t>i,j,t,k</w:t>
      </w:r>
      <w:proofErr w:type="spellEnd"/>
      <w:r>
        <w:rPr>
          <w:rFonts w:ascii="Times New Roman" w:eastAsia="Times New Roman" w:hAnsi="Times New Roman" w:cs="Times New Roman"/>
          <w:color w:val="000000"/>
        </w:rPr>
        <w:t>) = v</w:t>
      </w:r>
      <w:r>
        <w:rPr>
          <w:rFonts w:ascii="Times New Roman" w:eastAsia="Times New Roman" w:hAnsi="Times New Roman" w:cs="Times New Roman"/>
          <w:color w:val="000000"/>
          <w:vertAlign w:val="subscript"/>
        </w:rPr>
        <w:t>i</w:t>
      </w:r>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Bee.strippiness</w:t>
      </w:r>
      <w:r>
        <w:rPr>
          <w:rFonts w:ascii="Times New Roman" w:eastAsia="Times New Roman" w:hAnsi="Times New Roman" w:cs="Times New Roman"/>
          <w:i/>
          <w:color w:val="000000"/>
          <w:vertAlign w:val="subscript"/>
        </w:rPr>
        <w:t>i</w:t>
      </w:r>
      <w:proofErr w:type="spellEnd"/>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Bee.size</w:t>
      </w:r>
      <w:r>
        <w:rPr>
          <w:rFonts w:ascii="Times New Roman" w:eastAsia="Times New Roman" w:hAnsi="Times New Roman" w:cs="Times New Roman"/>
          <w:i/>
          <w:color w:val="000000"/>
          <w:vertAlign w:val="subscript"/>
        </w:rPr>
        <w:t>i</w:t>
      </w:r>
      <w:proofErr w:type="spellEnd"/>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Survey.month</w:t>
      </w:r>
      <w:r>
        <w:rPr>
          <w:rFonts w:ascii="Times New Roman" w:eastAsia="Times New Roman" w:hAnsi="Times New Roman" w:cs="Times New Roman"/>
          <w:i/>
          <w:color w:val="000000"/>
          <w:vertAlign w:val="subscript"/>
        </w:rPr>
        <w:t>t</w:t>
      </w:r>
      <w:proofErr w:type="spellEnd"/>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Survey.month</w:t>
      </w:r>
      <w:r>
        <w:rPr>
          <w:rFonts w:ascii="Times New Roman" w:eastAsia="Times New Roman" w:hAnsi="Times New Roman" w:cs="Times New Roman"/>
          <w:i/>
          <w:color w:val="000000"/>
          <w:vertAlign w:val="superscript"/>
        </w:rPr>
        <w:t>2</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Citation.type</w:t>
      </w:r>
      <w:r>
        <w:rPr>
          <w:rFonts w:ascii="Times New Roman" w:eastAsia="Times New Roman" w:hAnsi="Times New Roman" w:cs="Times New Roman"/>
          <w:i/>
          <w:color w:val="000000"/>
          <w:vertAlign w:val="subscript"/>
        </w:rPr>
        <w:t>k</w:t>
      </w:r>
      <w:proofErr w:type="spellEnd"/>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Flower.color</w:t>
      </w:r>
      <w:r>
        <w:rPr>
          <w:rFonts w:ascii="Times New Roman" w:eastAsia="Times New Roman" w:hAnsi="Times New Roman" w:cs="Times New Roman"/>
          <w:i/>
          <w:color w:val="000000"/>
          <w:vertAlign w:val="subscript"/>
        </w:rPr>
        <w:t>j</w:t>
      </w:r>
      <w:proofErr w:type="spellEnd"/>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7</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Flower.shape</w:t>
      </w:r>
      <w:r>
        <w:rPr>
          <w:rFonts w:ascii="Times New Roman" w:eastAsia="Times New Roman" w:hAnsi="Times New Roman" w:cs="Times New Roman"/>
          <w:i/>
          <w:color w:val="000000"/>
          <w:vertAlign w:val="subscript"/>
        </w:rPr>
        <w:t>j</w:t>
      </w:r>
      <w:proofErr w:type="spellEnd"/>
      <w:r>
        <w:rPr>
          <w:rFonts w:ascii="Times New Roman" w:eastAsia="Times New Roman" w:hAnsi="Times New Roman" w:cs="Times New Roman"/>
          <w:color w:val="000000"/>
        </w:rPr>
        <w:t xml:space="preserve"> + </w:t>
      </w:r>
      <w:r>
        <w:rPr>
          <w:rFonts w:ascii="Symbol" w:eastAsia="Symbol" w:hAnsi="Symbol" w:cs="Symbol"/>
          <w:color w:val="000000"/>
        </w:rPr>
        <w:t>δ</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i/>
          <w:color w:val="000000"/>
        </w:rPr>
        <w:t>Plant.family</w:t>
      </w:r>
      <w:r>
        <w:rPr>
          <w:rFonts w:ascii="Times New Roman" w:eastAsia="Times New Roman" w:hAnsi="Times New Roman" w:cs="Times New Roman"/>
          <w:i/>
          <w:color w:val="000000"/>
          <w:vertAlign w:val="subscript"/>
        </w:rPr>
        <w:t>j</w:t>
      </w:r>
      <w:proofErr w:type="spellEnd"/>
    </w:p>
    <w:p w14:paraId="196D61E2"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1450D387" w14:textId="7810FE6C" w:rsidR="00413978"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 xml:space="preserve">Again, bee size was standardized. We included a quadratic term for survey month, assuming that detection probability of bee-plant interactions peak sometime during the year and then </w:t>
      </w:r>
      <w:r>
        <w:rPr>
          <w:rFonts w:ascii="Times New Roman" w:eastAsia="Times New Roman" w:hAnsi="Times New Roman" w:cs="Times New Roman"/>
        </w:rPr>
        <w:t>decrease</w:t>
      </w:r>
      <w:r>
        <w:rPr>
          <w:rFonts w:ascii="Times New Roman" w:eastAsia="Times New Roman" w:hAnsi="Times New Roman" w:cs="Times New Roman"/>
          <w:color w:val="000000"/>
        </w:rPr>
        <w:t xml:space="preserve">. The other five covariates (bee </w:t>
      </w:r>
      <w:proofErr w:type="spellStart"/>
      <w:r>
        <w:rPr>
          <w:rFonts w:ascii="Times New Roman" w:eastAsia="Times New Roman" w:hAnsi="Times New Roman" w:cs="Times New Roman"/>
          <w:color w:val="000000"/>
        </w:rPr>
        <w:t>strippiness</w:t>
      </w:r>
      <w:proofErr w:type="spellEnd"/>
      <w:r>
        <w:rPr>
          <w:rFonts w:ascii="Times New Roman" w:eastAsia="Times New Roman" w:hAnsi="Times New Roman" w:cs="Times New Roman"/>
          <w:color w:val="000000"/>
        </w:rPr>
        <w:t xml:space="preserve">, citation type, flower color, flower shape, and plant family) were categorical with two levels each as follows: bee </w:t>
      </w:r>
      <w:proofErr w:type="spellStart"/>
      <w:r>
        <w:rPr>
          <w:rFonts w:ascii="Times New Roman" w:eastAsia="Times New Roman" w:hAnsi="Times New Roman" w:cs="Times New Roman"/>
          <w:color w:val="000000"/>
        </w:rPr>
        <w:t>strippiness</w:t>
      </w:r>
      <w:proofErr w:type="spellEnd"/>
      <w:r>
        <w:rPr>
          <w:rFonts w:ascii="Times New Roman" w:eastAsia="Times New Roman" w:hAnsi="Times New Roman" w:cs="Times New Roman"/>
          <w:color w:val="000000"/>
        </w:rPr>
        <w:t xml:space="preserve"> = stripped vs non- stripped, citation type: observation vs collection, flower color = yellow or non-yellow, flower shape = bowl vs non-bowl, and plant family = </w:t>
      </w:r>
      <w:r w:rsidR="00845690">
        <w:rPr>
          <w:rFonts w:ascii="Times New Roman" w:eastAsia="Times New Roman" w:hAnsi="Times New Roman" w:cs="Times New Roman"/>
          <w:color w:val="000000"/>
        </w:rPr>
        <w:t>Asteraceae</w:t>
      </w:r>
      <w:r>
        <w:rPr>
          <w:rFonts w:ascii="Times New Roman" w:eastAsia="Times New Roman" w:hAnsi="Times New Roman" w:cs="Times New Roman"/>
          <w:color w:val="000000"/>
        </w:rPr>
        <w:t xml:space="preserve"> vs non-</w:t>
      </w:r>
      <w:r w:rsidR="00845690">
        <w:rPr>
          <w:rFonts w:ascii="Times New Roman" w:eastAsia="Times New Roman" w:hAnsi="Times New Roman" w:cs="Times New Roman"/>
          <w:color w:val="000000"/>
        </w:rPr>
        <w:t>Asteraceae</w:t>
      </w:r>
      <w:r>
        <w:rPr>
          <w:rFonts w:ascii="Times New Roman" w:eastAsia="Times New Roman" w:hAnsi="Times New Roman" w:cs="Times New Roman"/>
          <w:color w:val="000000"/>
        </w:rPr>
        <w:t>. We assume that each of the intercept values (v</w:t>
      </w:r>
      <w:r>
        <w:rPr>
          <w:rFonts w:ascii="Times New Roman" w:eastAsia="Times New Roman" w:hAnsi="Times New Roman" w:cs="Times New Roman"/>
          <w:color w:val="000000"/>
          <w:sz w:val="19"/>
          <w:szCs w:val="19"/>
          <w:vertAlign w:val="subscript"/>
        </w:rPr>
        <w:t>i</w:t>
      </w:r>
      <w:r>
        <w:rPr>
          <w:rFonts w:ascii="Times New Roman" w:eastAsia="Times New Roman" w:hAnsi="Times New Roman" w:cs="Times New Roman"/>
          <w:color w:val="000000"/>
        </w:rPr>
        <w:t xml:space="preserve">, bee species detection probability on the logit scale) were drawn from a community-level normal distribution with mean, </w:t>
      </w:r>
      <w:proofErr w:type="spellStart"/>
      <w:r>
        <w:rPr>
          <w:rFonts w:ascii="Times New Roman" w:eastAsia="Times New Roman" w:hAnsi="Times New Roman" w:cs="Times New Roman"/>
          <w:color w:val="000000"/>
        </w:rPr>
        <w:t>μ</w:t>
      </w:r>
      <w:r>
        <w:rPr>
          <w:rFonts w:ascii="Times New Roman" w:eastAsia="Times New Roman" w:hAnsi="Times New Roman" w:cs="Times New Roman"/>
          <w:color w:val="000000"/>
          <w:vertAlign w:val="subscript"/>
        </w:rPr>
        <w:t>p</w:t>
      </w:r>
      <w:proofErr w:type="spellEnd"/>
      <w:r>
        <w:rPr>
          <w:rFonts w:ascii="Times New Roman" w:eastAsia="Times New Roman" w:hAnsi="Times New Roman" w:cs="Times New Roman"/>
          <w:color w:val="000000"/>
        </w:rPr>
        <w:t xml:space="preserve">, and variance, </w:t>
      </w:r>
      <w:r>
        <w:rPr>
          <w:rFonts w:ascii="Cambria Math" w:eastAsia="Cambria Math" w:hAnsi="Cambria Math" w:cs="Cambria Math"/>
          <w:color w:val="000000"/>
        </w:rPr>
        <w:t>𝜎</w:t>
      </w:r>
      <w:r>
        <w:rPr>
          <w:rFonts w:ascii="Times New Roman" w:eastAsia="Times New Roman" w:hAnsi="Times New Roman" w:cs="Times New Roman"/>
          <w:color w:val="000000"/>
          <w:vertAlign w:val="subscript"/>
        </w:rPr>
        <w:t>p</w:t>
      </w:r>
      <w:r>
        <w:rPr>
          <w:rFonts w:ascii="Times New Roman" w:eastAsia="Times New Roman" w:hAnsi="Times New Roman" w:cs="Times New Roman"/>
          <w:color w:val="000000"/>
          <w:sz w:val="19"/>
          <w:szCs w:val="19"/>
          <w:vertAlign w:val="superscript"/>
        </w:rPr>
        <w:t>2</w:t>
      </w:r>
      <w:r>
        <w:rPr>
          <w:rFonts w:ascii="Times New Roman" w:eastAsia="Times New Roman" w:hAnsi="Times New Roman" w:cs="Times New Roman"/>
          <w:color w:val="000000"/>
        </w:rPr>
        <w:t>, such that: </w:t>
      </w:r>
    </w:p>
    <w:p w14:paraId="7BCF8CE6" w14:textId="77777777" w:rsidR="00413978" w:rsidRDefault="00000000">
      <w:pPr>
        <w:pBdr>
          <w:top w:val="nil"/>
          <w:left w:val="nil"/>
          <w:bottom w:val="nil"/>
          <w:right w:val="nil"/>
          <w:between w:val="nil"/>
        </w:pBdr>
        <w:ind w:firstLine="450"/>
        <w:jc w:val="center"/>
        <w:rPr>
          <w:rFonts w:ascii="Times New Roman" w:eastAsia="Times New Roman" w:hAnsi="Times New Roman" w:cs="Times New Roman"/>
          <w:color w:val="000000"/>
        </w:rPr>
      </w:pPr>
      <w:r>
        <w:rPr>
          <w:rFonts w:ascii="Times New Roman" w:eastAsia="Times New Roman" w:hAnsi="Times New Roman" w:cs="Times New Roman"/>
          <w:color w:val="000000"/>
        </w:rPr>
        <w:t>v</w:t>
      </w:r>
      <w:r>
        <w:rPr>
          <w:rFonts w:ascii="Times New Roman" w:eastAsia="Times New Roman" w:hAnsi="Times New Roman" w:cs="Times New Roman"/>
          <w:color w:val="000000"/>
          <w:sz w:val="19"/>
          <w:szCs w:val="19"/>
          <w:vertAlign w:val="subscript"/>
        </w:rPr>
        <w:t>i</w:t>
      </w:r>
      <w:r>
        <w:rPr>
          <w:rFonts w:ascii="Times New Roman" w:eastAsia="Times New Roman" w:hAnsi="Times New Roman" w:cs="Times New Roman"/>
          <w:color w:val="000000"/>
        </w:rPr>
        <w:t> ~ Normal(</w:t>
      </w:r>
      <w:proofErr w:type="spellStart"/>
      <w:r>
        <w:rPr>
          <w:rFonts w:ascii="Times New Roman" w:eastAsia="Times New Roman" w:hAnsi="Times New Roman" w:cs="Times New Roman"/>
          <w:color w:val="000000"/>
        </w:rPr>
        <w:t>μ</w:t>
      </w:r>
      <w:r>
        <w:rPr>
          <w:rFonts w:ascii="Times New Roman" w:eastAsia="Times New Roman" w:hAnsi="Times New Roman" w:cs="Times New Roman"/>
          <w:color w:val="000000"/>
          <w:vertAlign w:val="subscript"/>
        </w:rPr>
        <w:t>p</w:t>
      </w:r>
      <w:proofErr w:type="spellEnd"/>
      <w:r>
        <w:rPr>
          <w:rFonts w:ascii="Times New Roman" w:eastAsia="Times New Roman" w:hAnsi="Times New Roman" w:cs="Times New Roman"/>
          <w:color w:val="000000"/>
        </w:rPr>
        <w:t xml:space="preserve">, </w:t>
      </w:r>
      <w:r>
        <w:rPr>
          <w:rFonts w:ascii="Cambria Math" w:eastAsia="Cambria Math" w:hAnsi="Cambria Math" w:cs="Cambria Math"/>
          <w:color w:val="000000"/>
        </w:rPr>
        <w:t>𝜎</w:t>
      </w:r>
      <w:r>
        <w:rPr>
          <w:rFonts w:ascii="Times New Roman" w:eastAsia="Times New Roman" w:hAnsi="Times New Roman" w:cs="Times New Roman"/>
          <w:color w:val="000000"/>
          <w:vertAlign w:val="subscript"/>
        </w:rPr>
        <w:t>p</w:t>
      </w:r>
      <w:r>
        <w:rPr>
          <w:rFonts w:ascii="Times New Roman" w:eastAsia="Times New Roman" w:hAnsi="Times New Roman" w:cs="Times New Roman"/>
          <w:color w:val="000000"/>
          <w:sz w:val="19"/>
          <w:szCs w:val="19"/>
          <w:vertAlign w:val="superscript"/>
        </w:rPr>
        <w:t>2</w:t>
      </w:r>
      <w:r>
        <w:rPr>
          <w:rFonts w:ascii="Times New Roman" w:eastAsia="Times New Roman" w:hAnsi="Times New Roman" w:cs="Times New Roman"/>
          <w:color w:val="000000"/>
        </w:rPr>
        <w:t>)</w:t>
      </w:r>
    </w:p>
    <w:p w14:paraId="645D4FDC" w14:textId="77777777" w:rsidR="00413978" w:rsidRDefault="00413978">
      <w:pPr>
        <w:pBdr>
          <w:top w:val="nil"/>
          <w:left w:val="nil"/>
          <w:bottom w:val="nil"/>
          <w:right w:val="nil"/>
          <w:between w:val="nil"/>
        </w:pBdr>
        <w:rPr>
          <w:rFonts w:ascii="Times New Roman" w:eastAsia="Times New Roman" w:hAnsi="Times New Roman" w:cs="Times New Roman"/>
        </w:rPr>
      </w:pPr>
    </w:p>
    <w:p w14:paraId="6ACD91F2" w14:textId="77777777"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estimate the total number of unique bee species interacting with each plant species (N</w:t>
      </w:r>
      <w:r>
        <w:rPr>
          <w:rFonts w:ascii="Times New Roman" w:eastAsia="Times New Roman" w:hAnsi="Times New Roman" w:cs="Times New Roman"/>
          <w:color w:val="000000"/>
          <w:sz w:val="19"/>
          <w:szCs w:val="19"/>
          <w:vertAlign w:val="subscript"/>
        </w:rPr>
        <w:t>j</w:t>
      </w:r>
      <w:r>
        <w:rPr>
          <w:rFonts w:ascii="Times New Roman" w:eastAsia="Times New Roman" w:hAnsi="Times New Roman" w:cs="Times New Roman"/>
          <w:color w:val="000000"/>
        </w:rPr>
        <w:t xml:space="preserve">), including the number of species not observed (but present) during sampling, we sum across </w:t>
      </w:r>
      <w:proofErr w:type="spellStart"/>
      <w:r>
        <w:rPr>
          <w:rFonts w:ascii="Times New Roman" w:eastAsia="Times New Roman" w:hAnsi="Times New Roman" w:cs="Times New Roman"/>
          <w:color w:val="000000"/>
        </w:rPr>
        <w:t>Z</w:t>
      </w:r>
      <w:r>
        <w:rPr>
          <w:rFonts w:ascii="Times New Roman" w:eastAsia="Times New Roman" w:hAnsi="Times New Roman" w:cs="Times New Roman"/>
          <w:color w:val="000000"/>
          <w:sz w:val="19"/>
          <w:szCs w:val="19"/>
          <w:vertAlign w:val="subscript"/>
        </w:rPr>
        <w:t>i,j,t</w:t>
      </w:r>
      <w:proofErr w:type="spellEnd"/>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rPr>
        <w:t> </w:t>
      </w:r>
    </w:p>
    <w:p w14:paraId="6B64E7BF" w14:textId="77777777" w:rsidR="00413978" w:rsidRDefault="00413978">
      <w:pPr>
        <w:pBdr>
          <w:top w:val="nil"/>
          <w:left w:val="nil"/>
          <w:bottom w:val="nil"/>
          <w:right w:val="nil"/>
          <w:between w:val="nil"/>
        </w:pBdr>
        <w:ind w:firstLine="450"/>
        <w:rPr>
          <w:rFonts w:ascii="Times New Roman" w:eastAsia="Times New Roman" w:hAnsi="Times New Roman" w:cs="Times New Roman"/>
          <w:color w:val="000000"/>
        </w:rPr>
      </w:pPr>
    </w:p>
    <w:p w14:paraId="191B8DE3" w14:textId="77777777" w:rsidR="00413978" w:rsidRDefault="00000000">
      <w:p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Stochastic search variable selection</w:t>
      </w:r>
    </w:p>
    <w:p w14:paraId="511F0EE9"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2F8BEB7E" w14:textId="6E8D0ED6"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To determine which covariates significantly </w:t>
      </w:r>
      <w:r>
        <w:rPr>
          <w:rFonts w:ascii="Times New Roman" w:eastAsia="Times New Roman" w:hAnsi="Times New Roman" w:cs="Times New Roman"/>
        </w:rPr>
        <w:t>influence</w:t>
      </w:r>
      <w:r>
        <w:rPr>
          <w:rFonts w:ascii="Times New Roman" w:eastAsia="Times New Roman" w:hAnsi="Times New Roman" w:cs="Times New Roman"/>
          <w:color w:val="000000"/>
        </w:rPr>
        <w:t xml:space="preserve"> the ecological and detection parts of the model above, we used stochastic search variable selection</w:t>
      </w:r>
      <w:r w:rsidR="000B463F">
        <w:rPr>
          <w:rFonts w:ascii="Times New Roman" w:eastAsia="Times New Roman" w:hAnsi="Times New Roman" w:cs="Times New Roman"/>
          <w:color w:val="000000"/>
        </w:rPr>
        <w:t xml:space="preserve"> </w:t>
      </w:r>
      <w:r w:rsidR="000B463F">
        <w:rPr>
          <w:rFonts w:ascii="Times New Roman" w:eastAsia="Times New Roman" w:hAnsi="Times New Roman" w:cs="Times New Roman"/>
          <w:color w:val="000000"/>
        </w:rPr>
        <w:fldChar w:fldCharType="begin"/>
      </w:r>
      <w:r w:rsidR="00432E81">
        <w:rPr>
          <w:rFonts w:ascii="Times New Roman" w:eastAsia="Times New Roman" w:hAnsi="Times New Roman" w:cs="Times New Roman"/>
          <w:color w:val="000000"/>
        </w:rPr>
        <w:instrText xml:space="preserve"> ADDIN ZOTERO_ITEM CSL_CITATION {"citationID":"VW1SdjYw","properties":{"formattedCitation":"(George &amp; McCulloch, 1993; Hooten &amp; Hobbs, 2015)","plainCitation":"(George &amp; McCulloch, 1993; Hooten &amp; Hobbs, 2015)","noteIndex":0},"citationItems":[{"id":1651,"uris":["http://zotero.org/groups/4699449/items/XXLCWHM4"],"itemData":{"id":1651,"type":"article-journal","container-title":"Journal of the American Statistical Association","issue":"423","language":"en","page":"10","source":"Zotero","title":"Variable Selection Via Gibbs Sampling","volume":"88","author":[{"family":"George","given":"Edward I."},{"family":"McCulloch","given":"Robert E."}],"issued":{"date-parts":[["1993"]]}}},{"id":1652,"uris":["http://zotero.org/groups/4699449/items/PPMW6NGP"],"itemData":{"id":1652,"type":"article-journal","abstract":"The steady upward trend in the use of model selection and Bayesian methods in ecological research has made it clear that both approaches to inference are important for modern analysis of models and data. However, in teaching Bayesian methods and in working with our research colleagues, we have noticed a general dissatisfaction with the available literature on Bayesian model selection and multimodel inference. Students and researchers new to Bayesian methods quickly ﬁnd that the published advice on model selection is often preferential in its treatment of options for analysis, frequently advocating one particular method above others. The recent appearance of many articles and textbooks on Bayesian modeling has provided welcome background on relevant approaches to model selection in the Bayesian framework, but most of these are either very narrowly focused in scope or inaccessible to ecologists. Moreover, the methodological details of Bayesian model selection approaches are spread thinly throughout the literature, appearing in journals from many different ﬁelds. Our aim with this guide is to condense the large body of literature on Bayesian approaches to model selection and multimodel inference and present it speciﬁcally for quantitative ecologists as neutrally as possible. We also bring to light a few important and fundamental concepts relating directly to model selection that seem to have gone unnoticed in the ecological literature. Throughout, we provide only a minimal discussion of philosophy, preferring instead to examine the breadth of approaches as well as their practical advantages and disadvantages. This guide serves as a reference for ecologists using Bayesian methods, so that they can better understand their options and can make an informed choice that is best aligned with their goals for inference.","container-title":"Ecological Monographs","DOI":"10.1890/14-0661.1","ISSN":"0012-9615","issue":"1","journalAbbreviation":"Ecological Monographs","language":"en","page":"3-28","source":"DOI.org (Crossref)","title":"A guide to Bayesian model selection for ecologists","volume":"85","author":[{"family":"Hooten","given":"M. B."},{"family":"Hobbs","given":"N. T."}],"issued":{"date-parts":[["2015",2]]}}}],"schema":"https://github.com/citation-style-language/schema/raw/master/csl-citation.json"} </w:instrText>
      </w:r>
      <w:r w:rsidR="000B463F">
        <w:rPr>
          <w:rFonts w:ascii="Times New Roman" w:eastAsia="Times New Roman" w:hAnsi="Times New Roman" w:cs="Times New Roman"/>
          <w:color w:val="000000"/>
        </w:rPr>
        <w:fldChar w:fldCharType="separate"/>
      </w:r>
      <w:r w:rsidR="00432E81">
        <w:rPr>
          <w:rFonts w:ascii="Times New Roman" w:eastAsia="Times New Roman" w:hAnsi="Times New Roman" w:cs="Times New Roman"/>
          <w:noProof/>
          <w:color w:val="000000"/>
        </w:rPr>
        <w:t>(George &amp; McCulloch, 1993; Hooten &amp; Hobbs, 2015)</w:t>
      </w:r>
      <w:r w:rsidR="000B463F">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stochastic search variable selection, we specify alternative priors for covariate </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of the ecological model using:</w:t>
      </w:r>
    </w:p>
    <w:p w14:paraId="25D61B5D" w14:textId="77777777" w:rsidR="00413978"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Symbol" w:eastAsia="Symbol" w:hAnsi="Symbol" w:cs="Symbol"/>
          <w:color w:val="000000"/>
        </w:rPr>
        <w:t>β</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rPr>
        <w:t xml:space="preserve"> | </w:t>
      </w:r>
      <w:r>
        <w:rPr>
          <w:rFonts w:ascii="Symbol" w:eastAsia="Symbol" w:hAnsi="Symbol" w:cs="Symbol"/>
          <w:color w:val="000000"/>
        </w:rPr>
        <w:t>γ</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rPr>
        <w:t xml:space="preserve"> ~ </w:t>
      </w:r>
      <w:r>
        <w:rPr>
          <w:rFonts w:ascii="Symbol" w:eastAsia="Symbol" w:hAnsi="Symbol" w:cs="Symbol"/>
          <w:color w:val="000000"/>
        </w:rPr>
        <w:t>γ</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rPr>
        <w:t xml:space="preserve"> N(0, c</w:t>
      </w:r>
      <w:r>
        <w:rPr>
          <w:rFonts w:ascii="Symbol" w:eastAsia="Symbol" w:hAnsi="Symbol" w:cs="Symbol"/>
          <w:color w:val="000000"/>
        </w:rPr>
        <w:t>τ</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(1 - </w:t>
      </w:r>
      <w:r>
        <w:rPr>
          <w:rFonts w:ascii="Symbol" w:eastAsia="Symbol" w:hAnsi="Symbol" w:cs="Symbol"/>
          <w:color w:val="000000"/>
        </w:rPr>
        <w:t>γ</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rPr>
        <w:t xml:space="preserve">)N(0, </w:t>
      </w:r>
      <w:r>
        <w:rPr>
          <w:rFonts w:ascii="Symbol" w:eastAsia="Symbol" w:hAnsi="Symbol" w:cs="Symbol"/>
          <w:color w:val="000000"/>
        </w:rPr>
        <w:t>τ</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p>
    <w:p w14:paraId="21E4896A"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57787E0D" w14:textId="213BF146"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Both c and </w:t>
      </w:r>
      <w:r>
        <w:rPr>
          <w:rFonts w:ascii="Symbol" w:eastAsia="Symbol" w:hAnsi="Symbol" w:cs="Symbol"/>
        </w:rPr>
        <w:t>τ</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are tuned such that </w:t>
      </w:r>
      <w:r>
        <w:rPr>
          <w:rFonts w:ascii="Symbol" w:eastAsia="Symbol" w:hAnsi="Symbol" w:cs="Symbol"/>
        </w:rPr>
        <w:t>τ</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is small, providing an effective spike at zero while c</w:t>
      </w:r>
      <w:r>
        <w:rPr>
          <w:rFonts w:ascii="Symbol" w:eastAsia="Symbol" w:hAnsi="Symbol" w:cs="Symbol"/>
        </w:rPr>
        <w:t>τ</w:t>
      </w:r>
      <w:r>
        <w:rPr>
          <w:rFonts w:ascii="Times New Roman" w:eastAsia="Times New Roman" w:hAnsi="Times New Roman" w:cs="Times New Roman"/>
          <w:vertAlign w:val="superscript"/>
        </w:rPr>
        <w:t xml:space="preserve">2 </w:t>
      </w:r>
      <w:r>
        <w:rPr>
          <w:rFonts w:ascii="Times New Roman" w:eastAsia="Times New Roman" w:hAnsi="Times New Roman" w:cs="Times New Roman"/>
        </w:rPr>
        <w:t xml:space="preserve">is larger, creating a slab around zero. The slab then provides the prior for </w:t>
      </w:r>
      <w:r>
        <w:rPr>
          <w:rFonts w:ascii="Symbol" w:eastAsia="Symbol" w:hAnsi="Symbol" w:cs="Symbol"/>
        </w:rPr>
        <w:t>β</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when the variable </w:t>
      </w:r>
      <w:r>
        <w:rPr>
          <w:rFonts w:ascii="Symbol" w:eastAsia="Symbol" w:hAnsi="Symbol" w:cs="Symbol"/>
        </w:rPr>
        <w:t>β</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is in the model (i.e., when </w:t>
      </w:r>
      <w:r>
        <w:rPr>
          <w:rFonts w:ascii="Symbol" w:eastAsia="Symbol" w:hAnsi="Symbol" w:cs="Symbol"/>
        </w:rPr>
        <w:t>γ</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 1). </w:t>
      </w:r>
      <w:r>
        <w:rPr>
          <w:rFonts w:ascii="Symbol" w:eastAsia="Symbol" w:hAnsi="Symbol" w:cs="Symbol"/>
        </w:rPr>
        <w:t>γ</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is interpreted as the indicator with a continuous distribution between 0 and 1. Values close to 0 suggest very little support for covariate inclusion in the model, whereas values close to 1 suggest strong support for inclusion. Given the continuous nature of the indicator, we break down values such that: 0 &lt; </w:t>
      </w:r>
      <w:r>
        <w:rPr>
          <w:rFonts w:ascii="Symbol" w:eastAsia="Symbol" w:hAnsi="Symbol" w:cs="Symbol"/>
        </w:rPr>
        <w:t>γ</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&lt; 0.25 suggests weak support, 0.25 &lt; </w:t>
      </w:r>
      <w:r>
        <w:rPr>
          <w:rFonts w:ascii="Symbol" w:eastAsia="Symbol" w:hAnsi="Symbol" w:cs="Symbol"/>
        </w:rPr>
        <w:t>γ</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&lt; 0.75 represents moderate support, and 0.75 &lt; </w:t>
      </w:r>
      <w:r>
        <w:rPr>
          <w:rFonts w:ascii="Symbol" w:eastAsia="Symbol" w:hAnsi="Symbol" w:cs="Symbol"/>
        </w:rPr>
        <w:t>γ</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&lt; 1 is strong support (see indicator variable selection in</w:t>
      </w:r>
      <w:r w:rsidR="00C17676">
        <w:rPr>
          <w:rFonts w:ascii="Times New Roman" w:eastAsia="Times New Roman" w:hAnsi="Times New Roman" w:cs="Times New Roman"/>
        </w:rPr>
        <w:t xml:space="preserve"> </w:t>
      </w:r>
      <w:r w:rsidR="00C17676">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{"citationID":"73gPHmfs","properties":{"formattedCitation":"(Rushing et al., 2016)","plainCitation":"(Rushing et al., 2016)","dontUpdate":true,"noteIndex":0},"citationItems":[{"id":1616,"uris":["http://zotero.org/groups/4699449/items/HHA3URCW"],"itemData":{"id":1616,"type":"article-journal","abstract":"Worldwide, migratory species are undergoing rapid declines but understanding the factors driving these declines is hindered by missing information about migratory connectivity and the lack of data to quantify environmental processes across the annual cycle. Here, we combined range-wide information about migratory connectivity with global remote-sensing data to quantify the relative importance of breeding and non-breeding environmental processes to persistent long-term population declines of a migratory songbird, the wood thrush (Hylocichla mustelina). Consistent with theoretical predictions about population limitation of migratory birds, our results suggest that habitat loss and climate have contributed to the observed declines in wood thrush breeding abundance, yet the relative importance of breeding versus non-breeding factors is population-specific. For example, high-abundance core breeding populations appear to be more limited by habitat loss, whereas low-abundance, peripheral populations appear to be limited by climate-driven seasonal interactions. Further, our analysis indicates that the relative impact of breeding habitat loss is at least three to six times greater than the impact of equivalent non-breeding habitat loss and therefore the steepest regional declines have likely been driven by the loss of breeding habitat. These results underscore the need for population-specific conservation strategies implemented throughout the annual cycle to reverse long-term declines.","container-title":"Proceedings of the Royal Society B: Biological Sciences","DOI":"10.1098/rspb.2015.2846","issue":"1823","note":"publisher: Royal Society","page":"20152846","source":"royalsocietypublishing.org (Atypon)","title":"Quantifying drivers of population dynamics for a migratory bird throughout the annual cycle","volume":"283","author":[{"family":"Rushing","given":"Clark S."},{"family":"Ryder","given":"Thomas B."},{"family":"Marra","given":"Peter P."}],"issued":{"date-parts":[["2016",1,27]]}}}],"schema":"https://github.com/citation-style-language/schema/raw/master/csl-citation.json"} </w:instrText>
      </w:r>
      <w:r w:rsidR="00C17676">
        <w:rPr>
          <w:rFonts w:ascii="Times New Roman" w:eastAsia="Times New Roman" w:hAnsi="Times New Roman" w:cs="Times New Roman"/>
        </w:rPr>
        <w:fldChar w:fldCharType="separate"/>
      </w:r>
      <w:r w:rsidR="00C17676">
        <w:rPr>
          <w:rFonts w:ascii="Times New Roman" w:eastAsia="Times New Roman" w:hAnsi="Times New Roman" w:cs="Times New Roman"/>
          <w:noProof/>
        </w:rPr>
        <w:t>Rushing et al., 2016</w:t>
      </w:r>
      <w:r w:rsidR="00C1767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4888AB2" w14:textId="77777777" w:rsidR="00413978" w:rsidRDefault="00413978">
      <w:pPr>
        <w:rPr>
          <w:rFonts w:ascii="Times New Roman" w:eastAsia="Times New Roman" w:hAnsi="Times New Roman" w:cs="Times New Roman"/>
        </w:rPr>
      </w:pPr>
    </w:p>
    <w:p w14:paraId="453D9D90"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used a similar approach for the </w:t>
      </w:r>
      <w:r>
        <w:rPr>
          <w:rFonts w:ascii="Symbol" w:eastAsia="Symbol" w:hAnsi="Symbol" w:cs="Symbol"/>
        </w:rPr>
        <w:t>δ</w:t>
      </w:r>
      <w:r>
        <w:rPr>
          <w:rFonts w:ascii="Times New Roman" w:eastAsia="Times New Roman" w:hAnsi="Times New Roman" w:cs="Times New Roman"/>
          <w:vertAlign w:val="subscript"/>
        </w:rPr>
        <w:t>n</w:t>
      </w:r>
      <w:r>
        <w:rPr>
          <w:rFonts w:ascii="Times New Roman" w:eastAsia="Times New Roman" w:hAnsi="Times New Roman" w:cs="Times New Roman"/>
        </w:rPr>
        <w:t xml:space="preserve"> covariates, and we use the symbol </w:t>
      </w:r>
      <w:proofErr w:type="spellStart"/>
      <w:r>
        <w:rPr>
          <w:rFonts w:ascii="Times New Roman" w:eastAsia="Times New Roman" w:hAnsi="Times New Roman" w:cs="Times New Roman"/>
        </w:rPr>
        <w:t>Ω</w:t>
      </w:r>
      <w:r>
        <w:rPr>
          <w:rFonts w:ascii="Times New Roman" w:eastAsia="Times New Roman" w:hAnsi="Times New Roman" w:cs="Times New Roman"/>
          <w:vertAlign w:val="subscript"/>
        </w:rPr>
        <w:t>n</w:t>
      </w:r>
      <w:proofErr w:type="spellEnd"/>
      <w:r>
        <w:rPr>
          <w:rFonts w:ascii="Times New Roman" w:eastAsia="Times New Roman" w:hAnsi="Times New Roman" w:cs="Times New Roman"/>
        </w:rPr>
        <w:t xml:space="preserve"> to denote the continuous indicator (equivalent of </w:t>
      </w:r>
      <w:r>
        <w:rPr>
          <w:rFonts w:ascii="Symbol" w:eastAsia="Symbol" w:hAnsi="Symbol" w:cs="Symbol"/>
        </w:rPr>
        <w:t>γ</w:t>
      </w:r>
      <w:r>
        <w:rPr>
          <w:rFonts w:ascii="Times New Roman" w:eastAsia="Times New Roman" w:hAnsi="Times New Roman" w:cs="Times New Roman"/>
          <w:i/>
          <w:vertAlign w:val="subscript"/>
        </w:rPr>
        <w:t>n</w:t>
      </w:r>
      <w:r>
        <w:rPr>
          <w:rFonts w:ascii="Times New Roman" w:eastAsia="Times New Roman" w:hAnsi="Times New Roman" w:cs="Times New Roman"/>
        </w:rPr>
        <w:t xml:space="preserve"> above) for the detection model. We also use the symbol ε</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to denote the precision parameter (equivalent to </w:t>
      </w:r>
      <w:r>
        <w:rPr>
          <w:rFonts w:ascii="Symbol" w:eastAsia="Symbol" w:hAnsi="Symbol" w:cs="Symbol"/>
        </w:rPr>
        <w:t>τ</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above) for the detection model.</w:t>
      </w:r>
    </w:p>
    <w:p w14:paraId="67D2816A"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11BBB320" w14:textId="77777777" w:rsidR="00413978" w:rsidRDefault="00000000">
      <w:pPr>
        <w:rPr>
          <w:rFonts w:ascii="Quattrocento Sans" w:eastAsia="Quattrocento Sans" w:hAnsi="Quattrocento Sans" w:cs="Quattrocento Sans"/>
          <w:color w:val="000000"/>
          <w:sz w:val="18"/>
          <w:szCs w:val="18"/>
        </w:rPr>
      </w:pPr>
      <w:r>
        <w:rPr>
          <w:rFonts w:ascii="Times New Roman" w:eastAsia="Times New Roman" w:hAnsi="Times New Roman" w:cs="Times New Roman"/>
          <w:i/>
        </w:rPr>
        <w:t>Model run</w:t>
      </w:r>
    </w:p>
    <w:p w14:paraId="68D39083" w14:textId="77777777" w:rsidR="00413978" w:rsidRDefault="00413978">
      <w:pPr>
        <w:pBdr>
          <w:top w:val="nil"/>
          <w:left w:val="nil"/>
          <w:bottom w:val="nil"/>
          <w:right w:val="nil"/>
          <w:between w:val="nil"/>
        </w:pBdr>
        <w:rPr>
          <w:rFonts w:ascii="Times New Roman" w:eastAsia="Times New Roman" w:hAnsi="Times New Roman" w:cs="Times New Roman"/>
        </w:rPr>
      </w:pPr>
    </w:p>
    <w:p w14:paraId="175BF325" w14:textId="2E6A6D0C"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We analyzed the data set using a Bayesian approach in programs R </w:t>
      </w:r>
      <w:r w:rsidR="00931DB5">
        <w:rPr>
          <w:rFonts w:ascii="Times New Roman" w:eastAsia="Times New Roman" w:hAnsi="Times New Roman" w:cs="Times New Roman"/>
          <w:color w:val="000000"/>
        </w:rPr>
        <w:fldChar w:fldCharType="begin"/>
      </w:r>
      <w:r w:rsidR="00931DB5">
        <w:rPr>
          <w:rFonts w:ascii="Times New Roman" w:eastAsia="Times New Roman" w:hAnsi="Times New Roman" w:cs="Times New Roman"/>
          <w:color w:val="000000"/>
        </w:rPr>
        <w:instrText xml:space="preserve"> ADDIN ZOTERO_ITEM CSL_CITATION {"citationID":"Q4dORV8B","properties":{"formattedCitation":"(R Core Team, 2019)","plainCitation":"(R Core Team, 2019)","noteIndex":0},"citationItems":[{"id":1608,"uris":["http://zotero.org/groups/4699449/items/36HVXHJ3"],"itemData":{"id":1608,"type":"book","event-place":"Vienna,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instrText>
      </w:r>
      <w:r w:rsidR="00931DB5">
        <w:rPr>
          <w:rFonts w:ascii="Times New Roman" w:eastAsia="Times New Roman" w:hAnsi="Times New Roman" w:cs="Times New Roman"/>
          <w:color w:val="000000"/>
        </w:rPr>
        <w:fldChar w:fldCharType="separate"/>
      </w:r>
      <w:r w:rsidR="00931DB5">
        <w:rPr>
          <w:rFonts w:ascii="Times New Roman" w:eastAsia="Times New Roman" w:hAnsi="Times New Roman" w:cs="Times New Roman"/>
          <w:noProof/>
          <w:color w:val="000000"/>
        </w:rPr>
        <w:t>(R Core Team, 2019)</w:t>
      </w:r>
      <w:r w:rsidR="00931DB5">
        <w:rPr>
          <w:rFonts w:ascii="Times New Roman" w:eastAsia="Times New Roman" w:hAnsi="Times New Roman" w:cs="Times New Roman"/>
          <w:color w:val="000000"/>
        </w:rPr>
        <w:fldChar w:fldCharType="end"/>
      </w:r>
      <w:r w:rsidR="00931DB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NIMBLE </w:t>
      </w:r>
      <w:r w:rsidR="00C17676">
        <w:rPr>
          <w:rFonts w:ascii="Times New Roman" w:eastAsia="Times New Roman" w:hAnsi="Times New Roman" w:cs="Times New Roman"/>
          <w:color w:val="000000"/>
        </w:rPr>
        <w:fldChar w:fldCharType="begin"/>
      </w:r>
      <w:r w:rsidR="00013EEE">
        <w:rPr>
          <w:rFonts w:ascii="Times New Roman" w:eastAsia="Times New Roman" w:hAnsi="Times New Roman" w:cs="Times New Roman"/>
          <w:color w:val="000000"/>
        </w:rPr>
        <w:instrText xml:space="preserve"> ADDIN ZOTERO_ITEM CSL_CITATION {"citationID":"6oivhxil","properties":{"formattedCitation":"(de Valpine et al., 2017, 2022)","plainCitation":"(de Valpine et al., 2017, 2022)","dontUpdate":true,"noteIndex":0},"citationItems":[{"id":1610,"uris":["http://zotero.org/groups/4699449/items/ZHGLB2HI"],"itemData":{"id":1610,"type":"article-journal","abstract":"We describe NIMBLE, a system for programming statistical algorithms for general model structures within R. NIMBLE is designed to meet three challenges: flexible model specification, a language for programming algorithms that can use different models, and a balance between high-level programmability and execution efficiency. For model specification, NIMBLE extends the BUGS language and creates model objects, which can manipulate variables, calculate log probability values, generate simulations, and query the relationships among variables. For algorithm programming, NIMBLE provides functions that operate with model objects using two stages of evaluation. The first stage allows specialization of a function to a particular model and/or nodes, such as creating a Metropolis-Hastings sampler for a particular block of nodes. The second stage allows repeated execution of computations using the results of the first stage. To achieve efficient second-stage computation, NIMBLE compiles models and functions via C++, using the Eigen library for linear algebra, and provides the user with an interface to compiled objects. The NIMBLE language represents a compilable domain-specific language (DSL) embedded within R. This article provides an overview of the design and rationale for NIMBLE along with illustrative examples including importance sampling, Markov chain Monte Carlo (MCMC) and Monte Carlo expectation maximization (MCEM). Supplementary materials for this article are available online.","container-title":"Journal of Computational and Graphical Statistics","DOI":"10.1080/10618600.2016.1172487","ISSN":"1061-8600","issue":"2","note":"publisher: Taylor &amp; Francis\n_eprint: https://doi.org/10.1080/10618600.2016.1172487","page":"403-413","source":"Taylor and Francis+NEJM","title":"Programming With Models: Writing Statistical Algorithms for General Model Structures With NIMBLE","title-short":"Programming With Models","volume":"26","author":[{"family":"Valpine","given":"Perry","non-dropping-particle":"de"},{"family":"Turek","given":"Daniel"},{"family":"Paciorek","given":"Christopher J."},{"family":"Anderson-Bergman","given":"Clifford"},{"family":"Lang","given":"Duncan Temple"},{"family":"Bodik","given":"Rastislav"}],"issued":{"date-parts":[["2017",4,3]]}}},{"id":1612,"uris":["http://zotero.org/groups/4699449/items/GVPV6383"],"itemData":{"id":1612,"type":"book","note":"version: 0.13.0\nDOI: 10.5281/zenodo.1211190","title":"NIMBLE: MCMC, Particle Filtering, and Programmable Hierarchical Modeling","URL":"https://cran.r-project.org/package=nimble","author":[{"family":"Valpine","given":"Perry","non-dropping-particle":"de"},{"family":"Paciorek","given":"Christopher"},{"family":"Turek","given":"Daniel"},{"family":"Michaud","given":"Nick"},{"family":"Anderson-Bergman","given":"Cliff"},{"family":"Obermeyer","given":"Fritz"},{"family":"Cortes","given":"Claudia Wehrhahn"},{"family":"Rodrìguez","given":"Abel"},{"family":"Lang","given":"Duncan Temple"},{"family":"Paganin","given":"Sally"}],"issued":{"date-parts":[["2022"]]}}}],"schema":"https://github.com/citation-style-language/schema/raw/master/csl-citation.json"} </w:instrText>
      </w:r>
      <w:r w:rsidR="00C17676">
        <w:rPr>
          <w:rFonts w:ascii="Times New Roman" w:eastAsia="Times New Roman" w:hAnsi="Times New Roman" w:cs="Times New Roman"/>
          <w:color w:val="000000"/>
        </w:rPr>
        <w:fldChar w:fldCharType="separate"/>
      </w:r>
      <w:r w:rsidR="00C17676">
        <w:rPr>
          <w:rFonts w:ascii="Times New Roman" w:eastAsia="Times New Roman" w:hAnsi="Times New Roman" w:cs="Times New Roman"/>
          <w:noProof/>
          <w:color w:val="000000"/>
        </w:rPr>
        <w:t xml:space="preserve">(package </w:t>
      </w:r>
      <w:r w:rsidR="00C17676">
        <w:rPr>
          <w:rFonts w:ascii="Times New Roman" w:eastAsia="Times New Roman" w:hAnsi="Times New Roman" w:cs="Times New Roman"/>
          <w:i/>
          <w:iCs/>
          <w:noProof/>
          <w:color w:val="000000"/>
        </w:rPr>
        <w:t>nimble</w:t>
      </w:r>
      <w:r w:rsidR="00C17676" w:rsidRPr="00C17676">
        <w:rPr>
          <w:rFonts w:ascii="Times New Roman" w:eastAsia="Times New Roman" w:hAnsi="Times New Roman" w:cs="Times New Roman"/>
          <w:noProof/>
          <w:color w:val="000000"/>
        </w:rPr>
        <w:t xml:space="preserve">; </w:t>
      </w:r>
      <w:r w:rsidR="00C17676">
        <w:rPr>
          <w:rFonts w:ascii="Times New Roman" w:eastAsia="Times New Roman" w:hAnsi="Times New Roman" w:cs="Times New Roman"/>
          <w:noProof/>
          <w:color w:val="000000"/>
        </w:rPr>
        <w:t>de Valpine et al., 2017, 2022)</w:t>
      </w:r>
      <w:r w:rsidR="00C17676">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We ran each model for 75,000 iterations with a burn-in of 25,000 iterations and thinning by 10. We ran a total of three chains. We first ran the models with vague priors</w:t>
      </w:r>
      <w:r>
        <w:rPr>
          <w:rFonts w:ascii="Times New Roman" w:eastAsia="Times New Roman" w:hAnsi="Times New Roman" w:cs="Times New Roman"/>
        </w:rPr>
        <w:t xml:space="preserve"> following</w:t>
      </w:r>
      <w:r w:rsidR="000B463F">
        <w:rPr>
          <w:rFonts w:ascii="Times New Roman" w:eastAsia="Times New Roman" w:hAnsi="Times New Roman" w:cs="Times New Roman"/>
        </w:rPr>
        <w:t xml:space="preserve"> </w:t>
      </w:r>
      <w:r w:rsidR="000B463F">
        <w:rPr>
          <w:rFonts w:ascii="Times New Roman" w:eastAsia="Times New Roman" w:hAnsi="Times New Roman" w:cs="Times New Roman"/>
        </w:rPr>
        <w:fldChar w:fldCharType="begin"/>
      </w:r>
      <w:r w:rsidR="000B463F">
        <w:rPr>
          <w:rFonts w:ascii="Times New Roman" w:eastAsia="Times New Roman" w:hAnsi="Times New Roman" w:cs="Times New Roman"/>
        </w:rPr>
        <w:instrText xml:space="preserve"> ADDIN ZOTERO_ITEM CSL_CITATION {"citationID":"cei1ATMp","properties":{"formattedCitation":"(Lunn et al., 2012)","plainCitation":"(Lunn et al., 2012)","noteIndex":0},"citationItems":[{"id":1641,"uris":["http://zotero.org/groups/4699449/items/J6AEJ7G4"],"itemData":{"id":1641,"type":"book","publisher":"CRC, Boca Raton, FL","title":"The BUGS Book: A Practical Introduction to Bayesian Analysis","author":[{"family":"Lunn","given":"D"},{"family":"Jackson","given":"C."},{"family":"Best","given":"N."},{"family":"Thomas","given":"A."},{"family":"Spiegelhalter","given":"D."}],"issued":{"date-parts":[["2012"]]}}}],"schema":"https://github.com/citation-style-language/schema/raw/master/csl-citation.json"} </w:instrText>
      </w:r>
      <w:r w:rsidR="000B463F">
        <w:rPr>
          <w:rFonts w:ascii="Times New Roman" w:eastAsia="Times New Roman" w:hAnsi="Times New Roman" w:cs="Times New Roman"/>
        </w:rPr>
        <w:fldChar w:fldCharType="separate"/>
      </w:r>
      <w:r w:rsidR="000B463F">
        <w:rPr>
          <w:rFonts w:ascii="Times New Roman" w:eastAsia="Times New Roman" w:hAnsi="Times New Roman" w:cs="Times New Roman"/>
          <w:noProof/>
        </w:rPr>
        <w:t>(Lunn et al., 2012)</w:t>
      </w:r>
      <w:r w:rsidR="000B463F">
        <w:rPr>
          <w:rFonts w:ascii="Times New Roman" w:eastAsia="Times New Roman" w:hAnsi="Times New Roman" w:cs="Times New Roman"/>
        </w:rPr>
        <w:fldChar w:fldCharType="end"/>
      </w:r>
      <w:r>
        <w:rPr>
          <w:rFonts w:ascii="Times New Roman" w:eastAsia="Times New Roman" w:hAnsi="Times New Roman" w:cs="Times New Roman"/>
        </w:rPr>
        <w:t>, where all parameters on the logit scale were given a normal distribution with mean zero and precision of 0.368. However, the model had trouble converging, so t</w:t>
      </w:r>
      <w:r>
        <w:rPr>
          <w:rFonts w:ascii="Times New Roman" w:eastAsia="Times New Roman" w:hAnsi="Times New Roman" w:cs="Times New Roman"/>
          <w:color w:val="000000"/>
        </w:rPr>
        <w:t xml:space="preserve">o aid in model convergence, we narrowed the priors based on the previous model runs. </w:t>
      </w:r>
      <w:r>
        <w:rPr>
          <w:rFonts w:ascii="Times New Roman" w:eastAsia="Times New Roman" w:hAnsi="Times New Roman" w:cs="Times New Roman"/>
        </w:rPr>
        <w:t xml:space="preserve">We list priors for each parameter in Table S2. </w:t>
      </w:r>
      <w:r>
        <w:rPr>
          <w:rFonts w:ascii="Times New Roman" w:eastAsia="Times New Roman" w:hAnsi="Times New Roman" w:cs="Times New Roman"/>
          <w:color w:val="000000"/>
        </w:rPr>
        <w:t>We assessed convergence using the Ȓ statistic</w:t>
      </w:r>
      <w:r w:rsidR="000B463F">
        <w:rPr>
          <w:rFonts w:ascii="Times New Roman" w:eastAsia="Times New Roman" w:hAnsi="Times New Roman" w:cs="Times New Roman"/>
          <w:color w:val="000000"/>
        </w:rPr>
        <w:t xml:space="preserve"> </w:t>
      </w:r>
      <w:r w:rsidR="000B463F">
        <w:rPr>
          <w:rFonts w:ascii="Times New Roman" w:eastAsia="Times New Roman" w:hAnsi="Times New Roman" w:cs="Times New Roman"/>
          <w:color w:val="000000"/>
        </w:rPr>
        <w:fldChar w:fldCharType="begin"/>
      </w:r>
      <w:r w:rsidR="000B463F">
        <w:rPr>
          <w:rFonts w:ascii="Times New Roman" w:eastAsia="Times New Roman" w:hAnsi="Times New Roman" w:cs="Times New Roman"/>
          <w:color w:val="000000"/>
        </w:rPr>
        <w:instrText xml:space="preserve"> ADDIN ZOTERO_ITEM CSL_CITATION {"citationID":"vAGMofyH","properties":{"formattedCitation":"(Brooks &amp; Gelman, 2022)","plainCitation":"(Brooks &amp; Gelman, 2022)","noteIndex":0},"citationItems":[{"id":1649,"uris":["http://zotero.org/groups/4699449/items/WMR6AELJ"],"itemData":{"id":1649,"type":"article-journal","language":"en","page":"23","source":"Zotero","title":"General Methods for Monitoring Convergence of Iterative Simulations","author":[{"family":"Brooks","given":"Stephen P"},{"family":"Gelman","given":"Andrew"}],"issued":{"date-parts":[["2022"]]}}}],"schema":"https://github.com/citation-style-language/schema/raw/master/csl-citation.json"} </w:instrText>
      </w:r>
      <w:r w:rsidR="000B463F">
        <w:rPr>
          <w:rFonts w:ascii="Times New Roman" w:eastAsia="Times New Roman" w:hAnsi="Times New Roman" w:cs="Times New Roman"/>
          <w:color w:val="000000"/>
        </w:rPr>
        <w:fldChar w:fldCharType="separate"/>
      </w:r>
      <w:r w:rsidR="000B463F">
        <w:rPr>
          <w:rFonts w:ascii="Times New Roman" w:eastAsia="Times New Roman" w:hAnsi="Times New Roman" w:cs="Times New Roman"/>
          <w:noProof/>
          <w:color w:val="000000"/>
        </w:rPr>
        <w:t>(Brooks &amp; Gelman, 2022)</w:t>
      </w:r>
      <w:r w:rsidR="000B463F">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and visually inspected </w:t>
      </w:r>
      <w:proofErr w:type="spellStart"/>
      <w:r>
        <w:rPr>
          <w:rFonts w:ascii="Times New Roman" w:eastAsia="Times New Roman" w:hAnsi="Times New Roman" w:cs="Times New Roman"/>
          <w:color w:val="000000"/>
        </w:rPr>
        <w:t>traceplots</w:t>
      </w:r>
      <w:proofErr w:type="spellEnd"/>
      <w:r>
        <w:rPr>
          <w:rFonts w:ascii="Times New Roman" w:eastAsia="Times New Roman" w:hAnsi="Times New Roman" w:cs="Times New Roman"/>
          <w:color w:val="000000"/>
        </w:rPr>
        <w:t>.</w:t>
      </w:r>
    </w:p>
    <w:p w14:paraId="3D8B8817" w14:textId="77777777" w:rsidR="00413978" w:rsidRDefault="00413978">
      <w:pPr>
        <w:pBdr>
          <w:top w:val="nil"/>
          <w:left w:val="nil"/>
          <w:bottom w:val="nil"/>
          <w:right w:val="nil"/>
          <w:between w:val="nil"/>
        </w:pBdr>
        <w:rPr>
          <w:rFonts w:ascii="Times New Roman" w:eastAsia="Times New Roman" w:hAnsi="Times New Roman" w:cs="Times New Roman"/>
        </w:rPr>
      </w:pPr>
    </w:p>
    <w:p w14:paraId="2CF0B64B"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Bi-partite networks</w:t>
      </w:r>
    </w:p>
    <w:p w14:paraId="298E3037" w14:textId="77777777" w:rsidR="00413978" w:rsidRDefault="00413978">
      <w:pPr>
        <w:rPr>
          <w:rFonts w:ascii="Times New Roman" w:eastAsia="Times New Roman" w:hAnsi="Times New Roman" w:cs="Times New Roman"/>
          <w:i/>
        </w:rPr>
      </w:pPr>
    </w:p>
    <w:p w14:paraId="4EDC8712" w14:textId="7EFF4E34" w:rsidR="00413978" w:rsidRDefault="00000000">
      <w:pPr>
        <w:rPr>
          <w:rFonts w:ascii="Times New Roman" w:eastAsia="Times New Roman" w:hAnsi="Times New Roman" w:cs="Times New Roman"/>
          <w:i/>
        </w:rPr>
      </w:pPr>
      <w:r>
        <w:rPr>
          <w:rFonts w:ascii="Times New Roman" w:eastAsia="Times New Roman" w:hAnsi="Times New Roman" w:cs="Times New Roman"/>
        </w:rPr>
        <w:t xml:space="preserve">To better understand the difference between the resulting interactions from our model output and the raw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dataset that we accessed for Santa Cruz Island, we compared interaction network metrics calculated from each bipartite matrix. To do this, we limited our modeled network to interactions that exhibited an interaction probability greater than 3%. We matched this bee species list to that observed in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lists. We created network visualizations and calculated measures of specialization (i.e. </w:t>
      </w:r>
      <w:proofErr w:type="spellStart"/>
      <w:r>
        <w:rPr>
          <w:rFonts w:ascii="Times New Roman" w:eastAsia="Times New Roman" w:hAnsi="Times New Roman" w:cs="Times New Roman"/>
        </w:rPr>
        <w:t>nestedness</w:t>
      </w:r>
      <w:proofErr w:type="spellEnd"/>
      <w:r>
        <w:rPr>
          <w:rFonts w:ascii="Times New Roman" w:eastAsia="Times New Roman" w:hAnsi="Times New Roman" w:cs="Times New Roman"/>
        </w:rPr>
        <w:t xml:space="preserve">, H2’, and interaction evenness) using the package, bipartite </w:t>
      </w:r>
      <w:r w:rsidR="00931DB5">
        <w:rPr>
          <w:rFonts w:ascii="Times New Roman" w:eastAsia="Times New Roman" w:hAnsi="Times New Roman" w:cs="Times New Roman"/>
        </w:rPr>
        <w:fldChar w:fldCharType="begin"/>
      </w:r>
      <w:r w:rsidR="00931DB5">
        <w:rPr>
          <w:rFonts w:ascii="Times New Roman" w:eastAsia="Times New Roman" w:hAnsi="Times New Roman" w:cs="Times New Roman"/>
        </w:rPr>
        <w:instrText xml:space="preserve"> ADDIN ZOTERO_ITEM CSL_CITATION {"citationID":"JKnADUKv","properties":{"formattedCitation":"(Dormann et al., 2009)","plainCitation":"(Dormann et al., 2009)","noteIndex":0},"citationItems":[{"id":1433,"uris":["http://zotero.org/users/4927847/items/9JTZRYVC"],"itemData":{"id":1433,"type":"article-journal","container-title":"The Open Ecology Journal","page":"7-24","title":"Indices, graphs and null models: analyzing bipartite ecological networks.","volume":"2","author":[{"family":"Dormann","given":"C. F."},{"family":"Frueund","given":"J."},{"family":"Bluethgen","given":"N."},{"family":"Gruber","given":"B."}],"issued":{"date-parts":[["2009"]]}}}],"schema":"https://github.com/citation-style-language/schema/raw/master/csl-citation.json"} </w:instrText>
      </w:r>
      <w:r w:rsidR="00931DB5">
        <w:rPr>
          <w:rFonts w:ascii="Times New Roman" w:eastAsia="Times New Roman" w:hAnsi="Times New Roman" w:cs="Times New Roman"/>
        </w:rPr>
        <w:fldChar w:fldCharType="separate"/>
      </w:r>
      <w:r w:rsidR="00931DB5">
        <w:rPr>
          <w:rFonts w:ascii="Times New Roman" w:eastAsia="Times New Roman" w:hAnsi="Times New Roman" w:cs="Times New Roman"/>
          <w:noProof/>
        </w:rPr>
        <w:t>(Dormann et al., 2009)</w:t>
      </w:r>
      <w:r w:rsidR="00931DB5">
        <w:rPr>
          <w:rFonts w:ascii="Times New Roman" w:eastAsia="Times New Roman" w:hAnsi="Times New Roman" w:cs="Times New Roman"/>
        </w:rPr>
        <w:fldChar w:fldCharType="end"/>
      </w:r>
      <w:r>
        <w:rPr>
          <w:rFonts w:ascii="Times New Roman" w:eastAsia="Times New Roman" w:hAnsi="Times New Roman" w:cs="Times New Roman"/>
        </w:rPr>
        <w:t xml:space="preserve">. We calculated null networks (n = 500) keeping </w:t>
      </w:r>
      <w:proofErr w:type="spellStart"/>
      <w:r>
        <w:rPr>
          <w:rFonts w:ascii="Times New Roman" w:eastAsia="Times New Roman" w:hAnsi="Times New Roman" w:cs="Times New Roman"/>
        </w:rPr>
        <w:t>connectance</w:t>
      </w:r>
      <w:proofErr w:type="spellEnd"/>
      <w:r>
        <w:rPr>
          <w:rFonts w:ascii="Times New Roman" w:eastAsia="Times New Roman" w:hAnsi="Times New Roman" w:cs="Times New Roman"/>
        </w:rPr>
        <w:t xml:space="preserve"> constant. We calculated the difference between observed and null values of each network metric.</w:t>
      </w:r>
    </w:p>
    <w:p w14:paraId="7D369640" w14:textId="77777777" w:rsidR="00413978" w:rsidRDefault="00413978">
      <w:pPr>
        <w:rPr>
          <w:rFonts w:ascii="Times New Roman" w:eastAsia="Times New Roman" w:hAnsi="Times New Roman" w:cs="Times New Roman"/>
          <w:i/>
        </w:rPr>
      </w:pPr>
    </w:p>
    <w:p w14:paraId="322F17DA" w14:textId="77777777" w:rsidR="00413978" w:rsidRDefault="00000000">
      <w:pPr>
        <w:rPr>
          <w:rFonts w:ascii="Times New Roman" w:eastAsia="Times New Roman" w:hAnsi="Times New Roman" w:cs="Times New Roman"/>
          <w:b/>
          <w:smallCaps/>
        </w:rPr>
      </w:pPr>
      <w:r>
        <w:rPr>
          <w:rFonts w:ascii="Times New Roman" w:eastAsia="Times New Roman" w:hAnsi="Times New Roman" w:cs="Times New Roman"/>
          <w:b/>
          <w:smallCaps/>
        </w:rPr>
        <w:t>Results</w:t>
      </w:r>
    </w:p>
    <w:p w14:paraId="53B2D0C0" w14:textId="77777777" w:rsidR="00413978" w:rsidRDefault="00413978">
      <w:pPr>
        <w:rPr>
          <w:rFonts w:ascii="Times New Roman" w:eastAsia="Times New Roman" w:hAnsi="Times New Roman" w:cs="Times New Roman"/>
          <w:b/>
          <w:smallCaps/>
        </w:rPr>
      </w:pPr>
    </w:p>
    <w:p w14:paraId="0DFF2554"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Sample sizes</w:t>
      </w:r>
    </w:p>
    <w:p w14:paraId="1047B740" w14:textId="77777777" w:rsidR="00413978" w:rsidRDefault="00413978">
      <w:pPr>
        <w:rPr>
          <w:rFonts w:ascii="Times New Roman" w:eastAsia="Times New Roman" w:hAnsi="Times New Roman" w:cs="Times New Roman"/>
        </w:rPr>
      </w:pPr>
    </w:p>
    <w:p w14:paraId="2A4DBA6A" w14:textId="77777777" w:rsidR="00413978" w:rsidRDefault="00000000">
      <w:pPr>
        <w:rPr>
          <w:rFonts w:ascii="Times New Roman" w:eastAsia="Times New Roman" w:hAnsi="Times New Roman" w:cs="Times New Roman"/>
        </w:rPr>
      </w:pPr>
      <w:r>
        <w:rPr>
          <w:rFonts w:ascii="Times New Roman" w:eastAsia="Times New Roman" w:hAnsi="Times New Roman" w:cs="Times New Roman"/>
          <w:i/>
        </w:rPr>
        <w:t>Checklist composition:</w:t>
      </w:r>
      <w:r>
        <w:rPr>
          <w:rFonts w:ascii="Times New Roman" w:eastAsia="Times New Roman" w:hAnsi="Times New Roman" w:cs="Times New Roman"/>
        </w:rPr>
        <w:t xml:space="preserve"> Our bee species included 131 solitary bee species and 6 non-solitary (or social) bees. Our bee species also included 68 stripped species and 69 non-stripped species. The median bee size was 8.5 mm (min = 2.54 mm; max = 16.5). </w:t>
      </w:r>
    </w:p>
    <w:p w14:paraId="02F535C6" w14:textId="77777777" w:rsidR="00413978" w:rsidRDefault="00413978">
      <w:pPr>
        <w:rPr>
          <w:rFonts w:ascii="Times New Roman" w:eastAsia="Times New Roman" w:hAnsi="Times New Roman" w:cs="Times New Roman"/>
        </w:rPr>
      </w:pPr>
    </w:p>
    <w:p w14:paraId="141CA86D"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Our plant species included 34 species with yellow flowers, and 92 species with non-yellow flowers. Our plant species list also included 85 species with bowl shaped flowers, and 41 species with non-bowl shaped flowers. Most plant species (n = 40) were of the Asteraceae family, and a handful of other species (n = 20) were of the Fabaceae family. All other plant families had less than seven species represented in the dataset (</w:t>
      </w:r>
      <w:proofErr w:type="spellStart"/>
      <w:r>
        <w:rPr>
          <w:rFonts w:ascii="Times New Roman" w:eastAsia="Times New Roman" w:hAnsi="Times New Roman" w:cs="Times New Roman"/>
        </w:rPr>
        <w:t>Hydrophyllaceae</w:t>
      </w:r>
      <w:proofErr w:type="spellEnd"/>
      <w:r>
        <w:rPr>
          <w:rFonts w:ascii="Times New Roman" w:eastAsia="Times New Roman" w:hAnsi="Times New Roman" w:cs="Times New Roman"/>
        </w:rPr>
        <w:t xml:space="preserve">[n = 6], Brassicaceae [n = 5], </w:t>
      </w:r>
      <w:proofErr w:type="spellStart"/>
      <w:r>
        <w:rPr>
          <w:rFonts w:ascii="Times New Roman" w:eastAsia="Times New Roman" w:hAnsi="Times New Roman" w:cs="Times New Roman"/>
        </w:rPr>
        <w:t>Euphorbiaceae</w:t>
      </w:r>
      <w:proofErr w:type="spellEnd"/>
      <w:r>
        <w:rPr>
          <w:rFonts w:ascii="Times New Roman" w:eastAsia="Times New Roman" w:hAnsi="Times New Roman" w:cs="Times New Roman"/>
        </w:rPr>
        <w:t xml:space="preserve"> [n = 5], </w:t>
      </w:r>
      <w:proofErr w:type="spellStart"/>
      <w:r>
        <w:rPr>
          <w:rFonts w:ascii="Times New Roman" w:eastAsia="Times New Roman" w:hAnsi="Times New Roman" w:cs="Times New Roman"/>
        </w:rPr>
        <w:t>Lamiaceae</w:t>
      </w:r>
      <w:proofErr w:type="spellEnd"/>
      <w:r>
        <w:rPr>
          <w:rFonts w:ascii="Times New Roman" w:eastAsia="Times New Roman" w:hAnsi="Times New Roman" w:cs="Times New Roman"/>
        </w:rPr>
        <w:t xml:space="preserve"> [n = 5], </w:t>
      </w:r>
      <w:proofErr w:type="spellStart"/>
      <w:r>
        <w:rPr>
          <w:rFonts w:ascii="Times New Roman" w:eastAsia="Times New Roman" w:hAnsi="Times New Roman" w:cs="Times New Roman"/>
        </w:rPr>
        <w:t>Onagraceae</w:t>
      </w:r>
      <w:proofErr w:type="spellEnd"/>
      <w:r>
        <w:rPr>
          <w:rFonts w:ascii="Times New Roman" w:eastAsia="Times New Roman" w:hAnsi="Times New Roman" w:cs="Times New Roman"/>
        </w:rPr>
        <w:t xml:space="preserve"> [n = 4], </w:t>
      </w:r>
      <w:proofErr w:type="spellStart"/>
      <w:r>
        <w:rPr>
          <w:rFonts w:ascii="Times New Roman" w:eastAsia="Times New Roman" w:hAnsi="Times New Roman" w:cs="Times New Roman"/>
        </w:rPr>
        <w:t>Aizoaceae</w:t>
      </w:r>
      <w:proofErr w:type="spellEnd"/>
      <w:r>
        <w:rPr>
          <w:rFonts w:ascii="Times New Roman" w:eastAsia="Times New Roman" w:hAnsi="Times New Roman" w:cs="Times New Roman"/>
        </w:rPr>
        <w:t xml:space="preserve"> [n = 4], etc.). </w:t>
      </w:r>
    </w:p>
    <w:p w14:paraId="2A76199F" w14:textId="77777777" w:rsidR="00413978" w:rsidRDefault="00413978">
      <w:pPr>
        <w:rPr>
          <w:rFonts w:ascii="Times New Roman" w:eastAsia="Times New Roman" w:hAnsi="Times New Roman" w:cs="Times New Roman"/>
        </w:rPr>
      </w:pPr>
    </w:p>
    <w:p w14:paraId="0FC19FD6" w14:textId="77777777" w:rsidR="00413978" w:rsidRDefault="00000000">
      <w:pPr>
        <w:rPr>
          <w:rFonts w:ascii="Times New Roman" w:eastAsia="Times New Roman" w:hAnsi="Times New Roman" w:cs="Times New Roman"/>
        </w:rPr>
      </w:pPr>
      <w:proofErr w:type="spellStart"/>
      <w:r>
        <w:rPr>
          <w:rFonts w:ascii="Times New Roman" w:eastAsia="Times New Roman" w:hAnsi="Times New Roman" w:cs="Times New Roman"/>
          <w:i/>
        </w:rPr>
        <w:t>GloBI</w:t>
      </w:r>
      <w:proofErr w:type="spellEnd"/>
      <w:r>
        <w:rPr>
          <w:rFonts w:ascii="Times New Roman" w:eastAsia="Times New Roman" w:hAnsi="Times New Roman" w:cs="Times New Roman"/>
          <w:i/>
        </w:rPr>
        <w:t xml:space="preserve"> data composition:</w:t>
      </w:r>
      <w:r>
        <w:rPr>
          <w:rFonts w:ascii="Times New Roman" w:eastAsia="Times New Roman" w:hAnsi="Times New Roman" w:cs="Times New Roman"/>
        </w:rPr>
        <w:t xml:space="preserve"> </w:t>
      </w:r>
    </w:p>
    <w:p w14:paraId="121D9BA1" w14:textId="77777777" w:rsidR="00413978" w:rsidRDefault="00413978">
      <w:pPr>
        <w:rPr>
          <w:rFonts w:ascii="Times New Roman" w:eastAsia="Times New Roman" w:hAnsi="Times New Roman" w:cs="Times New Roman"/>
          <w:i/>
        </w:rPr>
      </w:pPr>
    </w:p>
    <w:p w14:paraId="14E81C86"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Total number of observed &amp; estimated bee-plant interactions</w:t>
      </w:r>
    </w:p>
    <w:p w14:paraId="279AFA87" w14:textId="77777777" w:rsidR="00413978" w:rsidRDefault="00413978">
      <w:pPr>
        <w:rPr>
          <w:rFonts w:ascii="Times New Roman" w:eastAsia="Times New Roman" w:hAnsi="Times New Roman" w:cs="Times New Roman"/>
          <w:i/>
        </w:rPr>
      </w:pPr>
    </w:p>
    <w:p w14:paraId="7F89C935"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From the raw bee-plant data, there were 138 unique bee-plant interactions documented. Of those, the maximum number of observed plant interactions per bee was 19 by </w:t>
      </w:r>
      <w:proofErr w:type="spellStart"/>
      <w:r>
        <w:rPr>
          <w:rFonts w:ascii="Times New Roman" w:eastAsia="Times New Roman" w:hAnsi="Times New Roman" w:cs="Times New Roman"/>
          <w:i/>
        </w:rPr>
        <w:t>Halictus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tripartitus</w:t>
      </w:r>
      <w:proofErr w:type="spellEnd"/>
      <w:r>
        <w:rPr>
          <w:rFonts w:ascii="Times New Roman" w:eastAsia="Times New Roman" w:hAnsi="Times New Roman" w:cs="Times New Roman"/>
        </w:rPr>
        <w:t xml:space="preserve">, and the average number of plant interactions was 1.00 (SE = 0.26, range = 0 – 19; Figure 1, Table S3). The vast majority of bee species (n = 110) had 0 plant interactions documented, whereas only 27 bee species had at least one plant interaction documented in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(Figure 1, Table S3). However, from the multi-species occupancy model, we found that the true number of unique bee-plant interactions likely ranged from 0 – 117 (mean = 6.56, SE = 1.68), where 72 bee species likely have 0 plant interactions and 65 bee species </w:t>
      </w:r>
      <w:r>
        <w:rPr>
          <w:rFonts w:ascii="Times New Roman" w:eastAsia="Times New Roman" w:hAnsi="Times New Roman" w:cs="Times New Roman"/>
        </w:rPr>
        <w:lastRenderedPageBreak/>
        <w:t xml:space="preserve">have at least 1 plant interaction (Figure 1). Based on bee-plant phenology, the average total number of possible bee-plant interactions was 116 (SE = 1.61; range = 0 – 125; Figure 1). </w:t>
      </w:r>
    </w:p>
    <w:p w14:paraId="63F8F0FC" w14:textId="77777777" w:rsidR="00413978" w:rsidRDefault="00413978">
      <w:pPr>
        <w:rPr>
          <w:rFonts w:ascii="Times New Roman" w:eastAsia="Times New Roman" w:hAnsi="Times New Roman" w:cs="Times New Roman"/>
        </w:rPr>
      </w:pPr>
    </w:p>
    <w:p w14:paraId="6041E1C4"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For a complete summary of bee-plant interaction probabilities and detection probabilities see Figures S2 &amp; S3. </w:t>
      </w:r>
    </w:p>
    <w:p w14:paraId="5A7EFD75" w14:textId="77777777" w:rsidR="00413978" w:rsidRDefault="00413978">
      <w:pPr>
        <w:rPr>
          <w:rFonts w:ascii="Times New Roman" w:eastAsia="Times New Roman" w:hAnsi="Times New Roman" w:cs="Times New Roman"/>
        </w:rPr>
      </w:pPr>
    </w:p>
    <w:p w14:paraId="54CE68DD"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Ecology of bee-plant interactions</w:t>
      </w:r>
    </w:p>
    <w:p w14:paraId="0D99CDB1" w14:textId="77777777" w:rsidR="00413978" w:rsidRDefault="00413978">
      <w:pPr>
        <w:rPr>
          <w:rFonts w:ascii="Times New Roman" w:eastAsia="Times New Roman" w:hAnsi="Times New Roman" w:cs="Times New Roman"/>
          <w:i/>
        </w:rPr>
      </w:pPr>
    </w:p>
    <w:p w14:paraId="6074A5E3"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found a strong effect of bee sociality on the probability of bee-plant interaction, where solitary bees had a lower probability of bee-plant interactions than non-solitary (i.e., social) bees (Figure 2; Table 1). </w:t>
      </w:r>
    </w:p>
    <w:p w14:paraId="760CE435" w14:textId="77777777" w:rsidR="00413978" w:rsidRDefault="00413978">
      <w:pPr>
        <w:rPr>
          <w:rFonts w:ascii="Times New Roman" w:eastAsia="Times New Roman" w:hAnsi="Times New Roman" w:cs="Times New Roman"/>
        </w:rPr>
      </w:pPr>
    </w:p>
    <w:p w14:paraId="679BB0EC"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did not find an effect of bee size, flower color, or flower shape on the probability of bee-plant interaction, where the probability these variables were included in the model was relatively low (&lt; 0.15; Table 1). </w:t>
      </w:r>
    </w:p>
    <w:p w14:paraId="5ADF4EAF" w14:textId="77777777" w:rsidR="00413978" w:rsidRDefault="00413978">
      <w:pPr>
        <w:rPr>
          <w:rFonts w:ascii="Times New Roman" w:eastAsia="Times New Roman" w:hAnsi="Times New Roman" w:cs="Times New Roman"/>
        </w:rPr>
      </w:pPr>
    </w:p>
    <w:p w14:paraId="43DA8091"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Detection of bee-plant interactions</w:t>
      </w:r>
    </w:p>
    <w:p w14:paraId="30831138" w14:textId="77777777" w:rsidR="00413978" w:rsidRDefault="00413978">
      <w:pPr>
        <w:rPr>
          <w:rFonts w:ascii="Times New Roman" w:eastAsia="Times New Roman" w:hAnsi="Times New Roman" w:cs="Times New Roman"/>
          <w:i/>
        </w:rPr>
      </w:pPr>
    </w:p>
    <w:p w14:paraId="2F386351"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found a strong effect of source citation type, flower color, and flower shape on bee-plant detection probability (Figure 2; Table 1). In terms of source citation type, the probability of detecting a bee-plant interaction was much higher for observational citations (e.g.,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 xml:space="preserve">) than for collections (e.g., museums). We also found that the probability of detecting a bee-plant interaction was higher for not yellow flowers than for yellow flowers; similarly, the probability of detecting a bee-plant interaction was higher for not bowl flowers than for bowl flowers (Figure 2). </w:t>
      </w:r>
    </w:p>
    <w:p w14:paraId="2146E954" w14:textId="77777777" w:rsidR="00413978" w:rsidRDefault="00413978">
      <w:pPr>
        <w:rPr>
          <w:rFonts w:ascii="Times New Roman" w:eastAsia="Times New Roman" w:hAnsi="Times New Roman" w:cs="Times New Roman"/>
        </w:rPr>
      </w:pPr>
    </w:p>
    <w:p w14:paraId="3871F942"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found a moderate effect of bee size and stripiness on bee-plant detection probability, where larger bees had a lower detection probability than smaller bees (Figure 2; Table 1) and stripped bees had a slightly lower detection probability than not striped bees. </w:t>
      </w:r>
    </w:p>
    <w:p w14:paraId="0774263B" w14:textId="77777777" w:rsidR="00413978" w:rsidRDefault="00413978">
      <w:pPr>
        <w:rPr>
          <w:rFonts w:ascii="Times New Roman" w:eastAsia="Times New Roman" w:hAnsi="Times New Roman" w:cs="Times New Roman"/>
        </w:rPr>
      </w:pPr>
    </w:p>
    <w:p w14:paraId="0DEB6354"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We did not detect an effect of bee stripiness, month, or plant family on bee-plant detection probability, where the probability of these variables being included in the model was relatively low (&lt; 0.21; Table 1). </w:t>
      </w:r>
    </w:p>
    <w:p w14:paraId="1A4E4258" w14:textId="77777777" w:rsidR="00413978" w:rsidRDefault="00413978">
      <w:pPr>
        <w:rPr>
          <w:rFonts w:ascii="Times New Roman" w:eastAsia="Times New Roman" w:hAnsi="Times New Roman" w:cs="Times New Roman"/>
          <w:highlight w:val="yellow"/>
        </w:rPr>
      </w:pPr>
    </w:p>
    <w:p w14:paraId="4753DF9E" w14:textId="77777777" w:rsidR="00413978" w:rsidRDefault="00000000">
      <w:pPr>
        <w:rPr>
          <w:rFonts w:ascii="Times New Roman" w:eastAsia="Times New Roman" w:hAnsi="Times New Roman" w:cs="Times New Roman"/>
          <w:i/>
        </w:rPr>
      </w:pPr>
      <w:r>
        <w:rPr>
          <w:rFonts w:ascii="Times New Roman" w:eastAsia="Times New Roman" w:hAnsi="Times New Roman" w:cs="Times New Roman"/>
          <w:i/>
        </w:rPr>
        <w:t>Bi-partite networks</w:t>
      </w:r>
    </w:p>
    <w:p w14:paraId="77B68C55" w14:textId="77777777" w:rsidR="00413978" w:rsidRDefault="00413978">
      <w:pPr>
        <w:rPr>
          <w:rFonts w:ascii="Times New Roman" w:eastAsia="Times New Roman" w:hAnsi="Times New Roman" w:cs="Times New Roman"/>
          <w:i/>
          <w:highlight w:val="yellow"/>
        </w:rPr>
      </w:pPr>
    </w:p>
    <w:p w14:paraId="31329436" w14:textId="66EB9F5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In comparing the observed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and our modeled interaction network, </w:t>
      </w:r>
      <w:r w:rsidR="00A467A6">
        <w:rPr>
          <w:rFonts w:ascii="Times New Roman" w:eastAsia="Times New Roman" w:hAnsi="Times New Roman" w:cs="Times New Roman"/>
        </w:rPr>
        <w:t xml:space="preserve">we found that interaction evenness of the modeled network was higher than </w:t>
      </w:r>
      <w:r w:rsidR="007D1976">
        <w:rPr>
          <w:rFonts w:ascii="Times New Roman" w:eastAsia="Times New Roman" w:hAnsi="Times New Roman" w:cs="Times New Roman"/>
        </w:rPr>
        <w:t xml:space="preserve">that of </w:t>
      </w:r>
      <w:r w:rsidR="00A467A6">
        <w:rPr>
          <w:rFonts w:ascii="Times New Roman" w:eastAsia="Times New Roman" w:hAnsi="Times New Roman" w:cs="Times New Roman"/>
        </w:rPr>
        <w:t xml:space="preserve">the </w:t>
      </w:r>
      <w:proofErr w:type="spellStart"/>
      <w:r w:rsidR="00A467A6">
        <w:rPr>
          <w:rFonts w:ascii="Times New Roman" w:eastAsia="Times New Roman" w:hAnsi="Times New Roman" w:cs="Times New Roman"/>
        </w:rPr>
        <w:t>GloBI</w:t>
      </w:r>
      <w:proofErr w:type="spellEnd"/>
      <w:r w:rsidR="00A467A6">
        <w:rPr>
          <w:rFonts w:ascii="Times New Roman" w:eastAsia="Times New Roman" w:hAnsi="Times New Roman" w:cs="Times New Roman"/>
        </w:rPr>
        <w:t xml:space="preserve"> network. We found that this interaction evenness was significantly different relative to null models for the modeled network</w:t>
      </w:r>
      <w:r w:rsidR="00140A31">
        <w:rPr>
          <w:rFonts w:ascii="Times New Roman" w:eastAsia="Times New Roman" w:hAnsi="Times New Roman" w:cs="Times New Roman"/>
        </w:rPr>
        <w:t xml:space="preserve"> (t-value = </w:t>
      </w:r>
      <w:r w:rsidR="000A2DBD" w:rsidRPr="000A2DBD">
        <w:rPr>
          <w:rFonts w:ascii="Times New Roman" w:eastAsia="Times New Roman" w:hAnsi="Times New Roman" w:cs="Times New Roman"/>
        </w:rPr>
        <w:t>-34.066</w:t>
      </w:r>
      <w:r w:rsidR="00140A31">
        <w:rPr>
          <w:rFonts w:ascii="Times New Roman" w:eastAsia="Times New Roman" w:hAnsi="Times New Roman" w:cs="Times New Roman"/>
        </w:rPr>
        <w:t>, p-value &lt;</w:t>
      </w:r>
      <w:r w:rsidR="000A2DBD">
        <w:rPr>
          <w:rFonts w:ascii="Times New Roman" w:eastAsia="Times New Roman" w:hAnsi="Times New Roman" w:cs="Times New Roman"/>
        </w:rPr>
        <w:t xml:space="preserve"> 0.001</w:t>
      </w:r>
      <w:r w:rsidR="00140A31">
        <w:rPr>
          <w:rFonts w:ascii="Times New Roman" w:eastAsia="Times New Roman" w:hAnsi="Times New Roman" w:cs="Times New Roman"/>
        </w:rPr>
        <w:t>)</w:t>
      </w:r>
      <w:r w:rsidR="00A467A6">
        <w:rPr>
          <w:rFonts w:ascii="Times New Roman" w:eastAsia="Times New Roman" w:hAnsi="Times New Roman" w:cs="Times New Roman"/>
        </w:rPr>
        <w:t xml:space="preserve"> and not the </w:t>
      </w:r>
      <w:proofErr w:type="spellStart"/>
      <w:r w:rsidR="00A467A6">
        <w:rPr>
          <w:rFonts w:ascii="Times New Roman" w:eastAsia="Times New Roman" w:hAnsi="Times New Roman" w:cs="Times New Roman"/>
        </w:rPr>
        <w:t>GloBI</w:t>
      </w:r>
      <w:proofErr w:type="spellEnd"/>
      <w:r w:rsidR="00A467A6">
        <w:rPr>
          <w:rFonts w:ascii="Times New Roman" w:eastAsia="Times New Roman" w:hAnsi="Times New Roman" w:cs="Times New Roman"/>
        </w:rPr>
        <w:t xml:space="preserve"> network. W</w:t>
      </w:r>
      <w:r>
        <w:rPr>
          <w:rFonts w:ascii="Times New Roman" w:eastAsia="Times New Roman" w:hAnsi="Times New Roman" w:cs="Times New Roman"/>
        </w:rPr>
        <w:t xml:space="preserve">e found that the modeled network had a higher measure of </w:t>
      </w:r>
      <w:proofErr w:type="spellStart"/>
      <w:r>
        <w:rPr>
          <w:rFonts w:ascii="Times New Roman" w:eastAsia="Times New Roman" w:hAnsi="Times New Roman" w:cs="Times New Roman"/>
        </w:rPr>
        <w:t>nestedness</w:t>
      </w:r>
      <w:proofErr w:type="spellEnd"/>
      <w:r>
        <w:rPr>
          <w:rFonts w:ascii="Times New Roman" w:eastAsia="Times New Roman" w:hAnsi="Times New Roman" w:cs="Times New Roman"/>
        </w:rPr>
        <w:t xml:space="preserve"> relative to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for both </w:t>
      </w:r>
      <w:proofErr w:type="spellStart"/>
      <w:r>
        <w:rPr>
          <w:rFonts w:ascii="Times New Roman" w:eastAsia="Times New Roman" w:hAnsi="Times New Roman" w:cs="Times New Roman"/>
        </w:rPr>
        <w:t>nestedness</w:t>
      </w:r>
      <w:proofErr w:type="spellEnd"/>
      <w:r w:rsidR="00140A31">
        <w:rPr>
          <w:rFonts w:ascii="Times New Roman" w:eastAsia="Times New Roman" w:hAnsi="Times New Roman" w:cs="Times New Roman"/>
        </w:rPr>
        <w:t xml:space="preserve"> (t-value = </w:t>
      </w:r>
      <w:r w:rsidR="000A2DBD">
        <w:rPr>
          <w:rFonts w:ascii="Times New Roman" w:eastAsia="Times New Roman" w:hAnsi="Times New Roman" w:cs="Times New Roman"/>
        </w:rPr>
        <w:t>-2.554</w:t>
      </w:r>
      <w:r w:rsidR="00140A31">
        <w:rPr>
          <w:rFonts w:ascii="Times New Roman" w:eastAsia="Times New Roman" w:hAnsi="Times New Roman" w:cs="Times New Roman"/>
        </w:rPr>
        <w:t>, p-value</w:t>
      </w:r>
      <w:r w:rsidR="000A2DBD">
        <w:rPr>
          <w:rFonts w:ascii="Times New Roman" w:eastAsia="Times New Roman" w:hAnsi="Times New Roman" w:cs="Times New Roman"/>
        </w:rPr>
        <w:t xml:space="preserve"> = 0.005</w:t>
      </w:r>
      <w:r w:rsidR="00140A31">
        <w:rPr>
          <w:rFonts w:ascii="Times New Roman" w:eastAsia="Times New Roman" w:hAnsi="Times New Roman" w:cs="Times New Roman"/>
        </w:rPr>
        <w:t>)</w:t>
      </w:r>
      <w:r>
        <w:rPr>
          <w:rFonts w:ascii="Times New Roman" w:eastAsia="Times New Roman" w:hAnsi="Times New Roman" w:cs="Times New Roman"/>
        </w:rPr>
        <w:t xml:space="preserve"> and NODF</w:t>
      </w:r>
      <w:r w:rsidR="00140A31">
        <w:rPr>
          <w:rFonts w:ascii="Times New Roman" w:eastAsia="Times New Roman" w:hAnsi="Times New Roman" w:cs="Times New Roman"/>
        </w:rPr>
        <w:t xml:space="preserve"> (t-value = </w:t>
      </w:r>
      <w:r w:rsidR="001B1D60">
        <w:rPr>
          <w:rFonts w:ascii="Times New Roman" w:eastAsia="Times New Roman" w:hAnsi="Times New Roman" w:cs="Times New Roman"/>
        </w:rPr>
        <w:t>-9.460</w:t>
      </w:r>
      <w:r w:rsidR="00140A31">
        <w:rPr>
          <w:rFonts w:ascii="Times New Roman" w:eastAsia="Times New Roman" w:hAnsi="Times New Roman" w:cs="Times New Roman"/>
        </w:rPr>
        <w:t>, p-value &lt;</w:t>
      </w:r>
      <w:r w:rsidR="001B1D60">
        <w:rPr>
          <w:rFonts w:ascii="Times New Roman" w:eastAsia="Times New Roman" w:hAnsi="Times New Roman" w:cs="Times New Roman"/>
        </w:rPr>
        <w:t xml:space="preserve"> 0.001</w:t>
      </w:r>
      <w:r w:rsidR="00140A31">
        <w:rPr>
          <w:rFonts w:ascii="Times New Roman" w:eastAsia="Times New Roman" w:hAnsi="Times New Roman" w:cs="Times New Roman"/>
        </w:rPr>
        <w:t>)</w:t>
      </w:r>
      <w:r>
        <w:rPr>
          <w:rFonts w:ascii="Times New Roman" w:eastAsia="Times New Roman" w:hAnsi="Times New Roman" w:cs="Times New Roman"/>
        </w:rPr>
        <w:t xml:space="preserve">. We also found that the modeled network was significantly nested relative to null models for both measures while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was not. Finally, we found that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had a greater level of reciprocal specialization (H2’) than the modeled network. Both the modeled </w:t>
      </w:r>
      <w:r w:rsidR="00140A31">
        <w:rPr>
          <w:rFonts w:ascii="Times New Roman" w:eastAsia="Times New Roman" w:hAnsi="Times New Roman" w:cs="Times New Roman"/>
        </w:rPr>
        <w:t xml:space="preserve">(t-value = </w:t>
      </w:r>
      <w:r w:rsidR="008158D4">
        <w:rPr>
          <w:rFonts w:ascii="Times New Roman" w:eastAsia="Times New Roman" w:hAnsi="Times New Roman" w:cs="Times New Roman"/>
        </w:rPr>
        <w:t>-8.859</w:t>
      </w:r>
      <w:r w:rsidR="00140A31">
        <w:rPr>
          <w:rFonts w:ascii="Times New Roman" w:eastAsia="Times New Roman" w:hAnsi="Times New Roman" w:cs="Times New Roman"/>
        </w:rPr>
        <w:t>, p-value &lt;</w:t>
      </w:r>
      <w:r w:rsidR="008158D4">
        <w:rPr>
          <w:rFonts w:ascii="Times New Roman" w:eastAsia="Times New Roman" w:hAnsi="Times New Roman" w:cs="Times New Roman"/>
        </w:rPr>
        <w:t xml:space="preserve"> 0.001</w:t>
      </w:r>
      <w:r w:rsidR="00140A31">
        <w:rPr>
          <w:rFonts w:ascii="Times New Roman" w:eastAsia="Times New Roman" w:hAnsi="Times New Roman" w:cs="Times New Roman"/>
        </w:rPr>
        <w:t xml:space="preserve">) </w:t>
      </w:r>
      <w:r>
        <w:rPr>
          <w:rFonts w:ascii="Times New Roman" w:eastAsia="Times New Roman" w:hAnsi="Times New Roman" w:cs="Times New Roman"/>
        </w:rPr>
        <w:t xml:space="preserve">and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networks </w:t>
      </w:r>
      <w:r w:rsidR="00140A31">
        <w:rPr>
          <w:rFonts w:ascii="Times New Roman" w:eastAsia="Times New Roman" w:hAnsi="Times New Roman" w:cs="Times New Roman"/>
        </w:rPr>
        <w:t xml:space="preserve">(t-value = </w:t>
      </w:r>
      <w:r w:rsidR="008158D4">
        <w:rPr>
          <w:rFonts w:ascii="Times New Roman" w:eastAsia="Times New Roman" w:hAnsi="Times New Roman" w:cs="Times New Roman"/>
        </w:rPr>
        <w:t>-6.731</w:t>
      </w:r>
      <w:r w:rsidR="00140A31">
        <w:rPr>
          <w:rFonts w:ascii="Times New Roman" w:eastAsia="Times New Roman" w:hAnsi="Times New Roman" w:cs="Times New Roman"/>
        </w:rPr>
        <w:t xml:space="preserve">, p-value </w:t>
      </w:r>
      <w:r w:rsidR="008158D4">
        <w:rPr>
          <w:rFonts w:ascii="Times New Roman" w:eastAsia="Times New Roman" w:hAnsi="Times New Roman" w:cs="Times New Roman"/>
        </w:rPr>
        <w:t>&lt; 0.001</w:t>
      </w:r>
      <w:r w:rsidR="00140A31">
        <w:rPr>
          <w:rFonts w:ascii="Times New Roman" w:eastAsia="Times New Roman" w:hAnsi="Times New Roman" w:cs="Times New Roman"/>
        </w:rPr>
        <w:t xml:space="preserve">) </w:t>
      </w:r>
      <w:r>
        <w:rPr>
          <w:rFonts w:ascii="Times New Roman" w:eastAsia="Times New Roman" w:hAnsi="Times New Roman" w:cs="Times New Roman"/>
        </w:rPr>
        <w:t>were significantly specialized relative to null.</w:t>
      </w:r>
    </w:p>
    <w:p w14:paraId="7C6CB4DA" w14:textId="77777777" w:rsidR="00413978" w:rsidRDefault="00413978">
      <w:pPr>
        <w:rPr>
          <w:rFonts w:ascii="Times New Roman" w:eastAsia="Times New Roman" w:hAnsi="Times New Roman" w:cs="Times New Roman"/>
        </w:rPr>
      </w:pPr>
    </w:p>
    <w:p w14:paraId="71631C35" w14:textId="77777777" w:rsidR="00413978" w:rsidRDefault="00000000">
      <w:pPr>
        <w:rPr>
          <w:rFonts w:ascii="Times New Roman" w:eastAsia="Times New Roman" w:hAnsi="Times New Roman" w:cs="Times New Roman"/>
          <w:b/>
          <w:smallCaps/>
        </w:rPr>
      </w:pPr>
      <w:r>
        <w:rPr>
          <w:rFonts w:ascii="Times New Roman" w:eastAsia="Times New Roman" w:hAnsi="Times New Roman" w:cs="Times New Roman"/>
          <w:b/>
          <w:smallCaps/>
        </w:rPr>
        <w:t>Discussion</w:t>
      </w:r>
    </w:p>
    <w:p w14:paraId="023E17C4" w14:textId="77777777" w:rsidR="00413978" w:rsidRDefault="00413978">
      <w:pPr>
        <w:rPr>
          <w:rFonts w:ascii="Times New Roman" w:eastAsia="Times New Roman" w:hAnsi="Times New Roman" w:cs="Times New Roman"/>
        </w:rPr>
      </w:pPr>
    </w:p>
    <w:p w14:paraId="7ABF7EEB" w14:textId="1E914853" w:rsidR="0041397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We explored several hypotheses related to bee and flower characteristics that may drive ecological processes (i.e., what characteristics relate to a species degree of generalization?) and the detection processes (i.e., what characteristics relate to species detectability?) using </w:t>
      </w:r>
      <w:r w:rsidR="00845690">
        <w:rPr>
          <w:rFonts w:ascii="Times New Roman" w:eastAsia="Times New Roman" w:hAnsi="Times New Roman" w:cs="Times New Roman"/>
        </w:rPr>
        <w:t>a hierarchical</w:t>
      </w:r>
      <w:r>
        <w:rPr>
          <w:rFonts w:ascii="Times New Roman" w:eastAsia="Times New Roman" w:hAnsi="Times New Roman" w:cs="Times New Roman"/>
        </w:rPr>
        <w:t xml:space="preserve"> multi-species occupancy model, stochastic search variable selection, severa</w:t>
      </w:r>
      <w:r>
        <w:rPr>
          <w:rFonts w:ascii="Times New Roman" w:eastAsia="Times New Roman" w:hAnsi="Times New Roman" w:cs="Times New Roman"/>
          <w:i/>
        </w:rPr>
        <w:t>l de novo</w:t>
      </w:r>
      <w:r>
        <w:rPr>
          <w:rFonts w:ascii="Times New Roman" w:eastAsia="Times New Roman" w:hAnsi="Times New Roman" w:cs="Times New Roman"/>
        </w:rPr>
        <w:t xml:space="preserve"> datasets (i.e., traits, phenology), and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We found that bee-plant interactions in our ecological model were best predicted by bee sociality, and that bee-plant detection probability was best predicted by citation type, bee size, bee coloration, and flower color and shape.</w:t>
      </w:r>
      <w:r w:rsidR="00845690">
        <w:rPr>
          <w:rFonts w:ascii="Times New Roman" w:eastAsia="Times New Roman" w:hAnsi="Times New Roman" w:cs="Times New Roman"/>
        </w:rPr>
        <w:t xml:space="preserve"> </w:t>
      </w:r>
      <w:r w:rsidR="00845690" w:rsidRPr="00845690">
        <w:rPr>
          <w:rFonts w:ascii="Times New Roman" w:eastAsia="Times New Roman" w:hAnsi="Times New Roman" w:cs="Times New Roman"/>
        </w:rPr>
        <w:t xml:space="preserve">We found that our modeled interaction network was relatively higher in evenness, </w:t>
      </w:r>
      <w:proofErr w:type="spellStart"/>
      <w:r w:rsidR="00845690" w:rsidRPr="00845690">
        <w:rPr>
          <w:rFonts w:ascii="Times New Roman" w:eastAsia="Times New Roman" w:hAnsi="Times New Roman" w:cs="Times New Roman"/>
        </w:rPr>
        <w:t>nestedness</w:t>
      </w:r>
      <w:proofErr w:type="spellEnd"/>
      <w:r w:rsidR="00845690" w:rsidRPr="00845690">
        <w:rPr>
          <w:rFonts w:ascii="Times New Roman" w:eastAsia="Times New Roman" w:hAnsi="Times New Roman" w:cs="Times New Roman"/>
        </w:rPr>
        <w:t xml:space="preserve">, and specialization compared to the raw </w:t>
      </w:r>
      <w:proofErr w:type="spellStart"/>
      <w:r w:rsidR="00845690" w:rsidRPr="00845690">
        <w:rPr>
          <w:rFonts w:ascii="Times New Roman" w:eastAsia="Times New Roman" w:hAnsi="Times New Roman" w:cs="Times New Roman"/>
        </w:rPr>
        <w:t>GloBI</w:t>
      </w:r>
      <w:proofErr w:type="spellEnd"/>
      <w:r w:rsidR="00845690" w:rsidRPr="00845690">
        <w:rPr>
          <w:rFonts w:ascii="Times New Roman" w:eastAsia="Times New Roman" w:hAnsi="Times New Roman" w:cs="Times New Roman"/>
        </w:rPr>
        <w:t xml:space="preserve"> dataset</w:t>
      </w:r>
      <w:r w:rsidRPr="00845690">
        <w:rPr>
          <w:rFonts w:ascii="Times New Roman" w:eastAsia="Times New Roman" w:hAnsi="Times New Roman" w:cs="Times New Roman"/>
        </w:rPr>
        <w:t xml:space="preserve">. </w:t>
      </w:r>
      <w:r>
        <w:rPr>
          <w:rFonts w:ascii="Times New Roman" w:eastAsia="Times New Roman" w:hAnsi="Times New Roman" w:cs="Times New Roman"/>
        </w:rPr>
        <w:t>These results largely highlight detection biases that may be altering our ability to understand species interactions.</w:t>
      </w:r>
    </w:p>
    <w:p w14:paraId="1F74E85F"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FBB1D3D" w14:textId="2C4DD8A0"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In our ecological model, we found that social bees had a higher probability of interacting with plants than non-social bees. In other words, social bees had greater generalization in their plant-partners than non-social bees. Indeed, this finding is supported by other papers that have found that social bees tend to be more generalized in their diet than non-social bees </w:t>
      </w:r>
      <w:r w:rsidR="00845690">
        <w:rPr>
          <w:rFonts w:ascii="Times New Roman" w:eastAsia="Times New Roman" w:hAnsi="Times New Roman" w:cs="Times New Roman"/>
        </w:rPr>
        <w:fldChar w:fldCharType="begin"/>
      </w:r>
      <w:r w:rsidR="00845690">
        <w:rPr>
          <w:rFonts w:ascii="Times New Roman" w:eastAsia="Times New Roman" w:hAnsi="Times New Roman" w:cs="Times New Roman"/>
        </w:rPr>
        <w:instrText xml:space="preserve"> ADDIN ZOTERO_ITEM CSL_CITATION {"citationID":"yprsKdD0","properties":{"formattedCitation":"(Kaluza et al., 2017)","plainCitation":"(Kaluza et al., 2017)","noteIndex":0},"citationItems":[{"id":1048,"uris":["http://zotero.org/groups/4699449/items/5Z88I3FF"],"itemData":{"id":1048,"type":"article-journal","abstract":"Numerous studies revealed a positive relationship between biodiversity and ecosystem functioning, suggesting that biodiverse environments may not only enhance ecosystem processes, but also benefit individual ecosystem members by, for example, providing a higher diversity of resources. Whether and how the number of available resources affects resource collection and subsequently consumers (e.g., through impacting functions associated with resources) have, however, been little investigated, although a better understanding of this relationship may help explain why the abundance and richness of many animal species typically decline with decreasing plant (resource) diversity. Using a social bee species as model (Tetragonula carbonaria), we investigated how plant species richness—recorded for study sites located in different habitats—and associated resource abundance affected the diversity and functionality (here defined as nutritional content and antimicrobial activity) of resources (i.e., pollen, nectar, and resin) collected by a generalist herbivorous consumer. The diversity of both pollen and resin collected strongly increased with increasing plant/tree species richness, while resource abundance was only positively correlated with resin diversity. These findings suggest that bees maximize resource diversity intake in (resource) diverse habitats. Collecting more diverse resources did, however, not increase their functionality, which appeared to be primarily driven by the surrounding (plant) source community in our study. In generalist herbivores, maximizing resource diversity intake may therefore primarily secure collection of sufficient amounts of resources across the entire foraging season, but it also ensures that the allocated resources meet all functional needs. Decreasing available resource diversity may thus impact consumers primarily by reduced resource abundance, but also by reduced resource functionality, particularly when resources of high functionality (e.g., from specific plant species) become scarce.","container-title":"Ecosphere","DOI":"10.1002/ecs2.1758","ISSN":"2150-8925","issue":"3","language":"en","note":"_eprint: https://onlinelibrary.wiley.com/doi/pdf/10.1002/ecs2.1758","page":"e01758","source":"Wiley Online Library","title":"Generalist social bees maximize diversity intake in plant species-rich and resource-abundant environments","volume":"8","author":[{"family":"Kaluza","given":"Benjamin F."},{"family":"Wallace","given":"Helen"},{"family":"Keller","given":"Alexander"},{"family":"Heard","given":"Tim A."},{"family":"Jeffers","given":"Bradley"},{"family":"Drescher","given":"Nora"},{"family":"Blüthgen","given":"Nico"},{"family":"Leonhardt","given":"Sara D."}],"issued":{"date-parts":[["2017"]]}}}],"schema":"https://github.com/citation-style-language/schema/raw/master/csl-citation.json"} </w:instrText>
      </w:r>
      <w:r w:rsidR="00845690">
        <w:rPr>
          <w:rFonts w:ascii="Times New Roman" w:eastAsia="Times New Roman" w:hAnsi="Times New Roman" w:cs="Times New Roman"/>
        </w:rPr>
        <w:fldChar w:fldCharType="separate"/>
      </w:r>
      <w:r w:rsidR="00845690">
        <w:rPr>
          <w:rFonts w:ascii="Times New Roman" w:eastAsia="Times New Roman" w:hAnsi="Times New Roman" w:cs="Times New Roman"/>
          <w:noProof/>
        </w:rPr>
        <w:t>(Kaluza et al., 2017)</w:t>
      </w:r>
      <w:r w:rsidR="00845690">
        <w:rPr>
          <w:rFonts w:ascii="Times New Roman" w:eastAsia="Times New Roman" w:hAnsi="Times New Roman" w:cs="Times New Roman"/>
        </w:rPr>
        <w:fldChar w:fldCharType="end"/>
      </w:r>
      <w:r>
        <w:rPr>
          <w:rFonts w:ascii="Times New Roman" w:eastAsia="Times New Roman" w:hAnsi="Times New Roman" w:cs="Times New Roman"/>
        </w:rPr>
        <w:t xml:space="preserve">. While this pattern is well established, there remains questions about the mechanism of this relationship. For instance, non-social bees may exhibit greater floral constancy than social bees to optimize foraging strategy. Non-social bees may be targeting energy on certain resources, whereas social bees may be able to increase foraging ranges, acquiring benefits from the diversity of resources associated with a more generalized diet. This may also come about if the greater generalization of a colony of social bees exhibits floral constancy at the individual level but is – in aggregate – more generalized </w:t>
      </w:r>
      <w:r w:rsidR="00F9792A">
        <w:rPr>
          <w:rFonts w:ascii="Times New Roman" w:eastAsia="Times New Roman" w:hAnsi="Times New Roman" w:cs="Times New Roman"/>
        </w:rPr>
        <w:fldChar w:fldCharType="begin"/>
      </w:r>
      <w:r w:rsidR="003A1FA1">
        <w:rPr>
          <w:rFonts w:ascii="Times New Roman" w:eastAsia="Times New Roman" w:hAnsi="Times New Roman" w:cs="Times New Roman"/>
        </w:rPr>
        <w:instrText xml:space="preserve"> ADDIN ZOTERO_ITEM CSL_CITATION {"citationID":"oaqP30iO","properties":{"formattedCitation":"(Ara\\uc0\\u250{}jo et al., 2021; Bogusch et al., 2006)","plainCitation":"(Araújo et al., 2021; Bogusch et al., 2006)","noteIndex":0},"citationItems":[{"id":1060,"uris":["http://zotero.org/groups/4699449/items/4I4RUXNJ"],"itemData":{"id":1060,"type":"article-journal","abstract":"1. The resource partitioning hypothesis states that sympatric, morphologically, and functionally similar species can coexist by temporal separation or low food overlap. Also, the interindividual variations about the use of resources, i.e. individual specialisation, can promote the resilience and stability of their populations when an environmental disturbance affects food availability. 2. Two sympatric and polylectic species of carpenter bees to test both the hypotheses of food niche partitioning and the occurrence of individual specialisation were used. 3. The study was conducted in two Brazilian Savanna areas and the trophic niches of Xylocopa grisescens and X. frontalis were determined by the diversity of pollen types obtained from larval food samples. Individual-resource networks were constructed to elucidate the patterns of resource use by the individuals of each species. 4. The populations of the two bee species moderately overlapped their trophic niche. Xylocopa grisescens mainly used the pollen of non-poricidal plants, whereas X. frontalis used pollen from plants with poricidal anthers. Individual-resource networks of both species are weakly connected, highly specialised, and modular. 5. In conclusion, the results suggest that the coexistence between Xylocopa grisescens and X. frontalis probably occurs due to food resource partitioning. Furthermore, the results about individual-resource networks of both species seem to reveal the occurrence of interindividual variations regarding food resource foraging.","container-title":"Ecological Entomology","DOI":"10.1111/een.13072","ISSN":"1365-2311","issue":"6","language":"en","note":"_eprint: https://onlinelibrary.wiley.com/doi/pdf/10.1111/een.13072","page":"1273-1282","source":"Wiley Online Library","title":"Individual-resource network between Xylocopa bees and plant resources: generalist species, specialist individuals?","title-short":"Individual-resource network between Xylocopa bees and plant resources","volume":"46","author":[{"family":"Araújo","given":"Thayane Nogueira"},{"family":"Pires","given":"Luís Paulo"},{"family":"Meireles","given":"Desirée Ayume Lopes"},{"family":"Augusto","given":"Solange Cristina"}],"issued":{"date-parts":[["2021"]]}}},{"id":1063,"uris":["http://zotero.org/groups/4699449/items/WEPMMKJY"],"itemData":{"id":1063,"type":"article-journal","abstract":"Intensive and incessant arms races between a parasite and its host are generally expected to lead to parasite specialization. Nevertheless, some parasitic species still successfully attack wide spectra of hosts. One of the solutions to the evolutionary enigma of the long-term existence of generalist parasites is their specialization at an individual level, a phenomenon well known, e.g., in European common cuckoo. Over its range, it parasitizes a number of bird species; however, individual females are mostly specialists possessing adaptations to a particular host species. In this study, we test the possibility of individual specialization in generalist cuckoo bees, the insect counterparts of avian cuckoos. Females of cuckoo bees lay each egg into a single brood cell in the nests of other bee species. The host’s offspring is destroyed by the parasitic female or later by her larvae, which feed on pollen supplies accumulated by the host. Both studied cleptoparasitic bees (Sphecodes ephippius and Sphecodes monilicornis) are widely distributed in Europe, where they have been reported to use broad host spectra. We recorded several host species (including some previously unknown) for both cuckoo bee species, and confirmed that these parasites are indeed generalist even at a small local scale. However, we demonstrate that exactly as in the avian cuckoos, each female in both species of generalist bee parasites tends to attack just one host species.","container-title":"Behavioral Ecology and Sociobiology","DOI":"10.1007/s00265-006-0182-4","ISSN":"1432-0762","issue":"3","journalAbbreviation":"Behav Ecol Sociobiol","language":"en","page":"422-429","source":"Springer Link","title":"Generalist cuckoo bees (Hymenoptera: Apoidea: Sphecodes) are species-specialist at the individual level","title-short":"Generalist cuckoo bees (Hymenoptera","volume":"60","author":[{"family":"Bogusch","given":"Petr"},{"family":"Kratochvíl","given":"Lukáš"},{"family":"Straka","given":"Jakub"}],"issued":{"date-parts":[["2006",7,1]]}}}],"schema":"https://github.com/citation-style-language/schema/raw/master/csl-citation.json"} </w:instrText>
      </w:r>
      <w:r w:rsidR="00F9792A">
        <w:rPr>
          <w:rFonts w:ascii="Times New Roman" w:eastAsia="Times New Roman" w:hAnsi="Times New Roman" w:cs="Times New Roman"/>
        </w:rPr>
        <w:fldChar w:fldCharType="separate"/>
      </w:r>
      <w:r w:rsidR="003A1FA1" w:rsidRPr="003A1FA1">
        <w:rPr>
          <w:rFonts w:ascii="Times New Roman" w:hAnsi="Times New Roman" w:cs="Times New Roman"/>
        </w:rPr>
        <w:t>(Araújo et al., 2021; Bogusch et al., 2006)</w:t>
      </w:r>
      <w:r w:rsidR="00F9792A">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85D5E17" w14:textId="77777777" w:rsidR="00413978" w:rsidRDefault="00413978">
      <w:pPr>
        <w:rPr>
          <w:rFonts w:ascii="Times New Roman" w:eastAsia="Times New Roman" w:hAnsi="Times New Roman" w:cs="Times New Roman"/>
        </w:rPr>
      </w:pPr>
    </w:p>
    <w:p w14:paraId="50EF6348" w14:textId="41BAA756" w:rsidR="00413978" w:rsidRDefault="00000000">
      <w:pPr>
        <w:rPr>
          <w:rFonts w:ascii="Times New Roman" w:eastAsia="Times New Roman" w:hAnsi="Times New Roman" w:cs="Times New Roman"/>
        </w:rPr>
      </w:pPr>
      <w:r>
        <w:rPr>
          <w:rFonts w:ascii="Times New Roman" w:eastAsia="Times New Roman" w:hAnsi="Times New Roman" w:cs="Times New Roman"/>
        </w:rPr>
        <w:t>This finding (i.e., social bees had a higher probability of interacting with plants than non-social bees) may have some implications for species fitness</w:t>
      </w:r>
      <w:r w:rsidR="00F9792A">
        <w:rPr>
          <w:rFonts w:ascii="Times New Roman" w:eastAsia="Times New Roman" w:hAnsi="Times New Roman" w:cs="Times New Roman"/>
        </w:rPr>
        <w:t xml:space="preserve"> </w:t>
      </w:r>
      <w:r w:rsidR="00F9792A">
        <w:rPr>
          <w:rFonts w:ascii="Times New Roman" w:eastAsia="Times New Roman" w:hAnsi="Times New Roman" w:cs="Times New Roman"/>
        </w:rPr>
        <w:fldChar w:fldCharType="begin"/>
      </w:r>
      <w:r w:rsidR="00F9792A">
        <w:rPr>
          <w:rFonts w:ascii="Times New Roman" w:eastAsia="Times New Roman" w:hAnsi="Times New Roman" w:cs="Times New Roman"/>
        </w:rPr>
        <w:instrText xml:space="preserve"> ADDIN ZOTERO_ITEM CSL_CITATION {"citationID":"YAWsErE7","properties":{"formattedCitation":"(Kaluza et al., 2018)","plainCitation":"(Kaluza et al., 2018)","noteIndex":0},"citationItems":[{"id":1050,"uris":["http://zotero.org/groups/4699449/items/EF3IRDWA"],"itemData":{"id":1050,"type":"article-journal","abstract":"Bee population declines are often linked to human impacts, especially habitat and biodiversity loss, but empirical evidence is lacking. To clarify the link between biodiversity loss and bee decline, we examined how floral diversity affects (reproductive) fitness and population growth of a social stingless bee. For the first time, we related available resource diversity and abundance to resource (quality and quantity) intake and colony reproduction, over more than two years. Our results reveal plant diversity as key driver of bee fitness. Social bee colonies were fitter and their populations grew faster in more florally diverse environments due to a continuous supply of food resources. Colonies responded to high plant diversity with increased resource intake and colony food stores. Our findings thus point to biodiversity loss as main reason for the observed bee decline.","container-title":"Scientific Reports","DOI":"10.1038/s41598-018-30126-0","ISSN":"2045-2322","journalAbbreviation":"Sci Rep","note":"PMID: 30120304\nPMCID: PMC6098141","page":"12353","source":"PubMed Central","title":"Social bees are fitter in more biodiverse environments","volume":"8","author":[{"family":"Kaluza","given":"Benjamin F."},{"family":"Wallace","given":"Helen M."},{"family":"Heard","given":"Tim A."},{"family":"Minden","given":"Vanessa"},{"family":"Klein","given":"Alexandra"},{"family":"Leonhardt","given":"Sara D."}],"issued":{"date-parts":[["2018",8,17]]}}}],"schema":"https://github.com/citation-style-language/schema/raw/master/csl-citation.json"} </w:instrText>
      </w:r>
      <w:r w:rsidR="00F9792A">
        <w:rPr>
          <w:rFonts w:ascii="Times New Roman" w:eastAsia="Times New Roman" w:hAnsi="Times New Roman" w:cs="Times New Roman"/>
        </w:rPr>
        <w:fldChar w:fldCharType="separate"/>
      </w:r>
      <w:r w:rsidR="00F9792A">
        <w:rPr>
          <w:rFonts w:ascii="Times New Roman" w:eastAsia="Times New Roman" w:hAnsi="Times New Roman" w:cs="Times New Roman"/>
          <w:noProof/>
        </w:rPr>
        <w:t>(Kaluza et al., 2018)</w:t>
      </w:r>
      <w:r w:rsidR="00F9792A">
        <w:rPr>
          <w:rFonts w:ascii="Times New Roman" w:eastAsia="Times New Roman" w:hAnsi="Times New Roman" w:cs="Times New Roman"/>
        </w:rPr>
        <w:fldChar w:fldCharType="end"/>
      </w:r>
      <w:r>
        <w:rPr>
          <w:rFonts w:ascii="Times New Roman" w:eastAsia="Times New Roman" w:hAnsi="Times New Roman" w:cs="Times New Roman"/>
        </w:rPr>
        <w:t xml:space="preserve"> and resilience in the context of environmental perturbations</w:t>
      </w:r>
      <w:r w:rsidR="00F9792A">
        <w:rPr>
          <w:rFonts w:ascii="Times New Roman" w:eastAsia="Times New Roman" w:hAnsi="Times New Roman" w:cs="Times New Roman"/>
        </w:rPr>
        <w:t xml:space="preserve"> </w:t>
      </w:r>
      <w:r w:rsidR="00F9792A">
        <w:rPr>
          <w:rFonts w:ascii="Times New Roman" w:eastAsia="Times New Roman" w:hAnsi="Times New Roman" w:cs="Times New Roman"/>
        </w:rPr>
        <w:fldChar w:fldCharType="begin"/>
      </w:r>
      <w:r w:rsidR="00F9792A">
        <w:rPr>
          <w:rFonts w:ascii="Times New Roman" w:eastAsia="Times New Roman" w:hAnsi="Times New Roman" w:cs="Times New Roman"/>
        </w:rPr>
        <w:instrText xml:space="preserve"> ADDIN ZOTERO_ITEM CSL_CITATION {"citationID":"CWC93kor","properties":{"formattedCitation":"(Minckley et al., 2013)","plainCitation":"(Minckley et al., 2013)","noteIndex":0},"citationItems":[{"id":1058,"uris":["http://zotero.org/groups/4699449/items/BVGR3J86"],"itemData":{"id":1058,"type":"article-journal","abstract":"Many short-lived desert organisms remain in diapause during drought. Theoretically, the cues desert species use to continue diapause through drought should differ depending on the availability of critical resources, but the unpredictability and infrequent occurrence of climate extremes and reduced insect activity during such events make empirical tests of this prediction difficult. An intensive study of a diverse bee–plant community through a drought event found that bee specialists of a drought-sensitive host plant were absent in the drought year in contrast to generalist bees and to specialist bees of a drought-insensitive host plant. Different responses of bee species to drought indicate that the diapause cues used by bee species allow them to reliably predict host availability. Species composition of the bee community in drought shifted towards mostly generalist species. However, we predict that more frequent and extended drought, predicted by climate change models for southwest North America, will result in bee communities that are species-poor and dominated by specialist species, as found today in the most arid desert region of North America.","container-title":"Proceedings of the Royal Society B: Biological Sciences","DOI":"10.1098/rspb.2012.2703","issue":"1759","note":"publisher: Royal Society","page":"20122703","source":"royalsocietypublishing.org (Atypon)","title":"Resource assurance predicts specialist and generalist bee activity in drought","volume":"280","author":[{"family":"Minckley","given":"Robert L."},{"family":"Roulston","given":"T'ai H."},{"family":"Williams","given":"Neal M."}],"issued":{"date-parts":[["2013",5,22]]}}}],"schema":"https://github.com/citation-style-language/schema/raw/master/csl-citation.json"} </w:instrText>
      </w:r>
      <w:r w:rsidR="00F9792A">
        <w:rPr>
          <w:rFonts w:ascii="Times New Roman" w:eastAsia="Times New Roman" w:hAnsi="Times New Roman" w:cs="Times New Roman"/>
        </w:rPr>
        <w:fldChar w:fldCharType="separate"/>
      </w:r>
      <w:r w:rsidR="00F9792A">
        <w:rPr>
          <w:rFonts w:ascii="Times New Roman" w:eastAsia="Times New Roman" w:hAnsi="Times New Roman" w:cs="Times New Roman"/>
          <w:noProof/>
        </w:rPr>
        <w:t>(Minckley et al., 2013)</w:t>
      </w:r>
      <w:r w:rsidR="00F9792A">
        <w:rPr>
          <w:rFonts w:ascii="Times New Roman" w:eastAsia="Times New Roman" w:hAnsi="Times New Roman" w:cs="Times New Roman"/>
        </w:rPr>
        <w:fldChar w:fldCharType="end"/>
      </w:r>
      <w:r>
        <w:rPr>
          <w:rFonts w:ascii="Times New Roman" w:eastAsia="Times New Roman" w:hAnsi="Times New Roman" w:cs="Times New Roman"/>
        </w:rPr>
        <w:t xml:space="preserve"> because more generalized species are able to persist in the case of plant species extinctions or losses. 86% of the bee species on the Santa Cruz Island checklist were characterized as non-social, indicating that this proportion of species could be more vulnerable in the context of ecological perturbations – such as the severe, ongoing drought in California. </w:t>
      </w:r>
    </w:p>
    <w:p w14:paraId="0AC0B393"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DB5CFE4" w14:textId="57CBBC4A"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Both our finding that social bees are more likely to interact with plants and our lack of evidence that bee size has an impact on these interactions may be driven by the species that make up our dataset. Indeed, the bee species, </w:t>
      </w:r>
      <w:r>
        <w:rPr>
          <w:rFonts w:ascii="Times New Roman" w:eastAsia="Times New Roman" w:hAnsi="Times New Roman" w:cs="Times New Roman"/>
          <w:i/>
        </w:rPr>
        <w:t xml:space="preserve">H. </w:t>
      </w:r>
      <w:proofErr w:type="spellStart"/>
      <w:r>
        <w:rPr>
          <w:rFonts w:ascii="Times New Roman" w:eastAsia="Times New Roman" w:hAnsi="Times New Roman" w:cs="Times New Roman"/>
          <w:i/>
        </w:rPr>
        <w:t>tripartitus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was the most commonly observed in our dataset and is both a social bee and a relatively smaller bee. Moreover, this bee species is found in large numbers across the island. Thus, this species may have skewed some of our results. However, some of our next most common species were larger </w:t>
      </w:r>
      <w:r>
        <w:rPr>
          <w:rFonts w:ascii="Times New Roman" w:eastAsia="Times New Roman" w:hAnsi="Times New Roman" w:cs="Times New Roman"/>
          <w:i/>
        </w:rPr>
        <w:t xml:space="preserve">Bombus </w:t>
      </w:r>
      <w:r>
        <w:rPr>
          <w:rFonts w:ascii="Times New Roman" w:eastAsia="Times New Roman" w:hAnsi="Times New Roman" w:cs="Times New Roman"/>
        </w:rPr>
        <w:t>species (Figure 2) and were predicted by our model to visit even more plants than that was observed. Additionally, our dataset was made up of only 14% social or eusocial bees, but that proportion does not take into account population size, which may explain why social bees have such a high probability of partaking in a plant-bee interaction.</w:t>
      </w:r>
    </w:p>
    <w:p w14:paraId="62F52E39" w14:textId="2059930F" w:rsidR="00413978" w:rsidRDefault="00000000">
      <w:pPr>
        <w:rPr>
          <w:rFonts w:ascii="Times New Roman" w:eastAsia="Times New Roman" w:hAnsi="Times New Roman" w:cs="Times New Roman"/>
        </w:rPr>
      </w:pPr>
      <w:r>
        <w:rPr>
          <w:rFonts w:ascii="Times New Roman" w:eastAsia="Times New Roman" w:hAnsi="Times New Roman" w:cs="Times New Roman"/>
        </w:rPr>
        <w:br/>
        <w:t xml:space="preserve">We did not find an effect of our other covariates (i.e., bee size, flower color and shape) on bee-plant interaction probability. These unexpected results indicate that the likelihood of an interaction occurring is not necessarily influenced by bee size, flower </w:t>
      </w:r>
      <w:r w:rsidR="003A1FA1">
        <w:rPr>
          <w:rFonts w:ascii="Times New Roman" w:eastAsia="Times New Roman" w:hAnsi="Times New Roman" w:cs="Times New Roman"/>
        </w:rPr>
        <w:t>color, or</w:t>
      </w:r>
      <w:r>
        <w:rPr>
          <w:rFonts w:ascii="Times New Roman" w:eastAsia="Times New Roman" w:hAnsi="Times New Roman" w:cs="Times New Roman"/>
        </w:rPr>
        <w:t xml:space="preserve"> flower type. These results contrast with studies that have shown that larger bees have a proportionally larger foraging range </w:t>
      </w:r>
      <w:r w:rsidR="00105508">
        <w:rPr>
          <w:rFonts w:ascii="Times New Roman" w:eastAsia="Times New Roman" w:hAnsi="Times New Roman" w:cs="Times New Roman"/>
        </w:rPr>
        <w:fldChar w:fldCharType="begin"/>
      </w:r>
      <w:r w:rsidR="00105508">
        <w:rPr>
          <w:rFonts w:ascii="Times New Roman" w:eastAsia="Times New Roman" w:hAnsi="Times New Roman" w:cs="Times New Roman"/>
        </w:rPr>
        <w:instrText xml:space="preserve"> ADDIN ZOTERO_ITEM CSL_CITATION {"citationID":"0oPp3jVv","properties":{"formattedCitation":"(Greenleaf et al., 2007)","plainCitation":"(Greenleaf et al., 2007)","noteIndex":0},"citationItems":[{"id":1067,"uris":["http://zotero.org/groups/4699449/items/I8XE9AM8"],"itemData":{"id":1067,"type":"article-journal","abstract":"Bees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M."},{"family":"Winfree","given":"Rachael"},{"family":"Kremen","given":"Claire"}],"issued":{"date-parts":[["2007",9,1]]}}}],"schema":"https://github.com/citation-style-language/schema/raw/master/csl-citation.json"} </w:instrText>
      </w:r>
      <w:r w:rsidR="00105508">
        <w:rPr>
          <w:rFonts w:ascii="Times New Roman" w:eastAsia="Times New Roman" w:hAnsi="Times New Roman" w:cs="Times New Roman"/>
        </w:rPr>
        <w:fldChar w:fldCharType="separate"/>
      </w:r>
      <w:r w:rsidR="00105508">
        <w:rPr>
          <w:rFonts w:ascii="Times New Roman" w:eastAsia="Times New Roman" w:hAnsi="Times New Roman" w:cs="Times New Roman"/>
          <w:noProof/>
        </w:rPr>
        <w:t>(Greenleaf et al., 2007)</w:t>
      </w:r>
      <w:r w:rsidR="00105508">
        <w:rPr>
          <w:rFonts w:ascii="Times New Roman" w:eastAsia="Times New Roman" w:hAnsi="Times New Roman" w:cs="Times New Roman"/>
        </w:rPr>
        <w:fldChar w:fldCharType="end"/>
      </w:r>
      <w:r>
        <w:rPr>
          <w:rFonts w:ascii="Times New Roman" w:eastAsia="Times New Roman" w:hAnsi="Times New Roman" w:cs="Times New Roman"/>
        </w:rPr>
        <w:t xml:space="preserve"> and associated diet breadth </w:t>
      </w:r>
      <w:r w:rsidR="00105508">
        <w:rPr>
          <w:rFonts w:ascii="Times New Roman" w:eastAsia="Times New Roman" w:hAnsi="Times New Roman" w:cs="Times New Roman"/>
        </w:rPr>
        <w:fldChar w:fldCharType="begin"/>
      </w:r>
      <w:r w:rsidR="00105508">
        <w:rPr>
          <w:rFonts w:ascii="Times New Roman" w:eastAsia="Times New Roman" w:hAnsi="Times New Roman" w:cs="Times New Roman"/>
        </w:rPr>
        <w:instrText xml:space="preserve"> ADDIN ZOTERO_ITEM CSL_CITATION {"citationID":"kNmwxth6","properties":{"formattedCitation":"(Cullen et al., 2021)","plainCitation":"(Cullen et al., 2021)","noteIndex":0},"citationItems":[{"id":1079,"uris":["http://zotero.org/groups/4699449/items/8MTXURDT"],"itemData":{"id":1079,"type":"article-journal","abstract":"Flowering plants require conspecific pollen to reproduce but they often also receive heterospecific pollen, suggesting that pollinators carry mixed pollen loads. However, little is known about drivers of abundance, diversity or composition of pollen carried by pollinators. Are insect-carried pollen loads shaped by pollinator traits, or do they reflect available floral resources? We quantified pollen on 251 individual bees and 95 flies in a florally diverse community. We scored taxonomic order, sex, body size, hairiness and ecological specialization of pollinators, and recorded composition of available flowers. We used phylogenetically controlled model selection to compare relative influences of pollinator traits and floral resources on abundance, diversity and composition of insect-carried pollen. We tested congruence between composition of pollen loads and available flowers. Pollinator size, specialization and type (female bee, male bee, or fly) described pollen abundance, diversity and composition better than floral diversity. Pollen loads varied widely among insects (10–80,000,000 grains, 1–16 species). Pollen loads of male bees were smaller, but vastly more diverse than those of female bees, and equivalent in size but modestly more diverse than those of flies. Pollen load size and diversity were positively correlated with body size but negatively correlated with insect ecological specialization. These traits also drove variation in taxonomic and phylogenetic composition of insect-carried pollen loads, but composition was only weakly congruent with available floral resources. Qualities of pollinators best predict abundance and diversity of carried pollen indicating that functional composition of pollinator communities may be important to structuring heterospecific pollen transfer among plants.","container-title":"Oecologia","DOI":"10.1007/s00442-021-04911-0","ISSN":"1432-1939","issue":"1","journalAbbreviation":"Oecologia","language":"en","page":"131-143","source":"Springer Link","title":"Diversity and composition of pollen loads carried by pollinators are primarily driven by insect traits, not floral community characteristics","volume":"196","author":[{"family":"Cullen","given":"Nevin"},{"family":"Xia","given":"Jing"},{"family":"Wei","given":"Na"},{"family":"Kaczorowski","given":"Rainee"},{"family":"Arceo-Gómez","given":"Gerardo"},{"family":"O’Neill","given":"Elizabeth"},{"family":"Hayes","given":"Rebecca"},{"family":"Ashman","given":"Tia-Lynn"}],"issued":{"date-parts":[["2021",5,1]]}}}],"schema":"https://github.com/citation-style-language/schema/raw/master/csl-citation.json"} </w:instrText>
      </w:r>
      <w:r w:rsidR="00105508">
        <w:rPr>
          <w:rFonts w:ascii="Times New Roman" w:eastAsia="Times New Roman" w:hAnsi="Times New Roman" w:cs="Times New Roman"/>
        </w:rPr>
        <w:fldChar w:fldCharType="separate"/>
      </w:r>
      <w:r w:rsidR="00105508">
        <w:rPr>
          <w:rFonts w:ascii="Times New Roman" w:eastAsia="Times New Roman" w:hAnsi="Times New Roman" w:cs="Times New Roman"/>
          <w:noProof/>
        </w:rPr>
        <w:t>(Cullen et al., 2021)</w:t>
      </w:r>
      <w:r w:rsidR="00105508">
        <w:rPr>
          <w:rFonts w:ascii="Times New Roman" w:eastAsia="Times New Roman" w:hAnsi="Times New Roman" w:cs="Times New Roman"/>
        </w:rPr>
        <w:fldChar w:fldCharType="end"/>
      </w:r>
      <w:r>
        <w:rPr>
          <w:rFonts w:ascii="Times New Roman" w:eastAsia="Times New Roman" w:hAnsi="Times New Roman" w:cs="Times New Roman"/>
        </w:rPr>
        <w:t xml:space="preserve">. Moreover, flower color and shape in other systems have been identified as important </w:t>
      </w:r>
      <w:r>
        <w:rPr>
          <w:rFonts w:ascii="Times New Roman" w:eastAsia="Times New Roman" w:hAnsi="Times New Roman" w:cs="Times New Roman"/>
        </w:rPr>
        <w:lastRenderedPageBreak/>
        <w:t>covariates to consider in plant-pollinator interactions</w:t>
      </w:r>
      <w:r w:rsidR="00105508">
        <w:rPr>
          <w:rFonts w:ascii="Times New Roman" w:eastAsia="Times New Roman" w:hAnsi="Times New Roman" w:cs="Times New Roman"/>
        </w:rPr>
        <w:t xml:space="preserve"> </w:t>
      </w:r>
      <w:r w:rsidR="00105508">
        <w:rPr>
          <w:rFonts w:ascii="Times New Roman" w:eastAsia="Times New Roman" w:hAnsi="Times New Roman" w:cs="Times New Roman"/>
        </w:rPr>
        <w:fldChar w:fldCharType="begin"/>
      </w:r>
      <w:r w:rsidR="00105508">
        <w:rPr>
          <w:rFonts w:ascii="Times New Roman" w:eastAsia="Times New Roman" w:hAnsi="Times New Roman" w:cs="Times New Roman"/>
        </w:rPr>
        <w:instrText xml:space="preserve"> ADDIN ZOTERO_ITEM CSL_CITATION {"citationID":"i2RdeIu6","properties":{"formattedCitation":"(Bartomeus, 2013)","plainCitation":"(Bartomeus, 2013)","noteIndex":0},"citationItems":[{"id":1001,"uris":["http://zotero.org/groups/4699449/items/V95K4LUK"],"itemData":{"id":1001,"type":"article-journal","abstract":"The analysis of mutualistic networks has become a central tool in answering theoretical and applied questions regarding our understanding of ecological processes. Significant gaps in knowledge do however need to be bridged in order to effectively and accurately be able to describe networks. Main concern are the incorporation of species level information, accounting for sampling limitations and understanding linkage rules. Here I propose a simple method to combine plant pollinator effort-limited sampling with information about plant community to gain understanding of what drives linkage rules, while accounting for possible undetected linkages. I use hierarchical models to estimate the probability of detection of each plant-pollinator interaction in 12 Mediterranean plant-pollinator networks. As it is possible to incorporate plant traits as co-variables in the models, this method has the potential to be used for predictive purposes, such as identifying undetected links among existing species, as well as potential interactions with new plant species. Results show that pollinator detectability is very skewed and usually low. Nevertheless, 84% of the models are enhanced by the inclusion of co-variables, with flower abundance and inflorescence type being the most commonly retained co-variables. The predicted networks increase network Connectance by 13%, but not Nestedness, which is known to be robust to sampling effects. However, 46% of the pollinator interactions in the studied networks comprised a single observation and hence could not be modeled. The hierarchical modeling approach suggested here is highly flexible and can be used on binary or frequency networks, accommodate different observers or include collection day weather variables as confounding factors. An R script is provided for a rapid adoption of this method.","container-title":"PLoS ONE","DOI":"10.1371/journal.pone.0069200","ISSN":"1932-6203","issue":"7","journalAbbreviation":"PLoS ONE","language":"en","page":"e69200","source":"DOI.org (Crossref)","title":"Understanding Linkage Rules in Plant-Pollinator Networks by Using Hierarchical Models That Incorporate Pollinator Detectability and Plant Traits","volume":"8","author":[{"family":"Bartomeus","given":"Ignasi"}],"editor":[{"family":"Farwig","given":"Nina"}],"issued":{"date-parts":[["2013",7,1]]}}}],"schema":"https://github.com/citation-style-language/schema/raw/master/csl-citation.json"} </w:instrText>
      </w:r>
      <w:r w:rsidR="00105508">
        <w:rPr>
          <w:rFonts w:ascii="Times New Roman" w:eastAsia="Times New Roman" w:hAnsi="Times New Roman" w:cs="Times New Roman"/>
        </w:rPr>
        <w:fldChar w:fldCharType="separate"/>
      </w:r>
      <w:r w:rsidR="00105508">
        <w:rPr>
          <w:rFonts w:ascii="Times New Roman" w:eastAsia="Times New Roman" w:hAnsi="Times New Roman" w:cs="Times New Roman"/>
          <w:noProof/>
        </w:rPr>
        <w:t>(Bartomeus, 2013)</w:t>
      </w:r>
      <w:r w:rsidR="00105508">
        <w:rPr>
          <w:rFonts w:ascii="Times New Roman" w:eastAsia="Times New Roman" w:hAnsi="Times New Roman" w:cs="Times New Roman"/>
        </w:rPr>
        <w:fldChar w:fldCharType="end"/>
      </w:r>
      <w:r>
        <w:rPr>
          <w:rFonts w:ascii="Times New Roman" w:eastAsia="Times New Roman" w:hAnsi="Times New Roman" w:cs="Times New Roman"/>
        </w:rPr>
        <w:t xml:space="preserve">. For our study we used a comparison of yellow versus non-yellow flowers and this binary analysis could explain our lack of influence of yellow color on interaction probability. On Santa Cruz Island, we found that about </w:t>
      </w:r>
      <w:commentRangeStart w:id="14"/>
      <w:commentRangeStart w:id="15"/>
      <w:r>
        <w:rPr>
          <w:rFonts w:ascii="Times New Roman" w:eastAsia="Times New Roman" w:hAnsi="Times New Roman" w:cs="Times New Roman"/>
        </w:rPr>
        <w:t>28%</w:t>
      </w:r>
      <w:commentRangeEnd w:id="14"/>
      <w:r>
        <w:commentReference w:id="14"/>
      </w:r>
      <w:commentRangeEnd w:id="15"/>
      <w:r>
        <w:commentReference w:id="15"/>
      </w:r>
      <w:r>
        <w:rPr>
          <w:rFonts w:ascii="Times New Roman" w:eastAsia="Times New Roman" w:hAnsi="Times New Roman" w:cs="Times New Roman"/>
        </w:rPr>
        <w:t xml:space="preserve"> of plants in our dataset had yellow flowers and given this relatively minimal proportion of the dataset, we might expect that we would not have found an effect of yellow flowers on interaction probability. In contrast, 70% of plants on our plant list had bowl shaped flowers, indicating that the lack of effect of flower shape on the likelihood of an interaction was large despite the greater species richness of </w:t>
      </w:r>
      <w:r w:rsidR="00404739">
        <w:rPr>
          <w:rFonts w:ascii="Times New Roman" w:eastAsia="Times New Roman" w:hAnsi="Times New Roman" w:cs="Times New Roman"/>
        </w:rPr>
        <w:t>bowl-shaped</w:t>
      </w:r>
      <w:r>
        <w:rPr>
          <w:rFonts w:ascii="Times New Roman" w:eastAsia="Times New Roman" w:hAnsi="Times New Roman" w:cs="Times New Roman"/>
        </w:rPr>
        <w:t xml:space="preserve"> flowers.</w:t>
      </w:r>
    </w:p>
    <w:p w14:paraId="72FB3D16" w14:textId="77777777" w:rsidR="00413978" w:rsidRDefault="00413978">
      <w:pPr>
        <w:rPr>
          <w:rFonts w:ascii="Times New Roman" w:eastAsia="Times New Roman" w:hAnsi="Times New Roman" w:cs="Times New Roman"/>
        </w:rPr>
      </w:pPr>
    </w:p>
    <w:p w14:paraId="2B6362EA" w14:textId="430EE683"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Santa Cruz Island, off the coast of Ventura and Santa Barbara Counties, represents a partial collection of flora and fauna found on the mainland of California. None of the bee species on our checklist are endemic species and are all found on the mainland. While there are some endemic plant species on Santa Cruz Island, there is a broad range of flora (especially at the genus level) that are present from the mainland. This is notable as bee specialization is very important at the </w:t>
      </w:r>
      <w:r w:rsidR="00AD2385">
        <w:rPr>
          <w:rFonts w:ascii="Times New Roman" w:eastAsia="Times New Roman" w:hAnsi="Times New Roman" w:cs="Times New Roman"/>
        </w:rPr>
        <w:t>plant</w:t>
      </w:r>
      <w:r>
        <w:rPr>
          <w:rFonts w:ascii="Times New Roman" w:eastAsia="Times New Roman" w:hAnsi="Times New Roman" w:cs="Times New Roman"/>
        </w:rPr>
        <w:t xml:space="preserve"> genus level </w:t>
      </w:r>
      <w:r w:rsidR="00AD2385">
        <w:rPr>
          <w:rFonts w:ascii="Times New Roman" w:eastAsia="Times New Roman" w:hAnsi="Times New Roman" w:cs="Times New Roman"/>
        </w:rPr>
        <w:fldChar w:fldCharType="begin"/>
      </w:r>
      <w:r w:rsidR="00AD2385">
        <w:rPr>
          <w:rFonts w:ascii="Times New Roman" w:eastAsia="Times New Roman" w:hAnsi="Times New Roman" w:cs="Times New Roman"/>
        </w:rPr>
        <w:instrText xml:space="preserve"> ADDIN ZOTERO_ITEM CSL_CITATION {"citationID":"RF1BL05i","properties":{"formattedCitation":"(Waser &amp; Ollerton, 2006)","plainCitation":"(Waser &amp; Ollerton, 2006)","noteIndex":0},"citationItems":[{"id":173,"uris":["http://zotero.org/users/4927847/items/FUQUWFQF"],"itemData":{"id":173,"type":"book","abstract":"Just as flowering plants depend on their pollinators, many birds, insects, and bats rely on plants for energy and nutrients. This plant-pollinator relationship is essential to the survival of natural and agricultural ecosystems. Plant-Pollinator Interactions portrays the intimate relationships of pollination over time and space and reveals patterns of interactions from individual to community levels, showing how these patterns change at different spatial and temporal scales.  Nickolas M. Waser and Jeff Ollerton bring together experts from around the world to offer a comprehensive analysis of pollination, including the history of thinking about specialization and generalization and a comparison of pollination to other mutualisms. An overview of current thinking and of future research priorities, Plant-Pollinator Interactions covers an important theme in evolutionary ecology with far-reaching applications in conservation and agriculture. This book will find an eager audience in specialists studying pollination and other mutualisms, as well as with biologists who are interested in ecological, evolutionary, and behavioral aspects of the specialization and generalization of species.","ISBN":"978-0-226-87400-5","language":"en","note":"Google-Books-ID: Fbl5c9fUxTIC","number-of-pages":"459","publisher":"University of Chicago Press","source":"Google Books","title":"Plant-Pollinator Interactions: From Specialization to Generalization","title-short":"Plant-Pollinator Interactions","author":[{"family":"Waser","given":"Nickolas M."},{"family":"Ollerton","given":"Jeff"}],"issued":{"date-parts":[["2006"]]}}}],"schema":"https://github.com/citation-style-language/schema/raw/master/csl-citation.json"} </w:instrText>
      </w:r>
      <w:r w:rsidR="00AD2385">
        <w:rPr>
          <w:rFonts w:ascii="Times New Roman" w:eastAsia="Times New Roman" w:hAnsi="Times New Roman" w:cs="Times New Roman"/>
        </w:rPr>
        <w:fldChar w:fldCharType="separate"/>
      </w:r>
      <w:r w:rsidR="00AD2385">
        <w:rPr>
          <w:rFonts w:ascii="Times New Roman" w:eastAsia="Times New Roman" w:hAnsi="Times New Roman" w:cs="Times New Roman"/>
          <w:noProof/>
        </w:rPr>
        <w:t>(Waser &amp; Ollerton, 2006)</w:t>
      </w:r>
      <w:r w:rsidR="00AD2385">
        <w:rPr>
          <w:rFonts w:ascii="Times New Roman" w:eastAsia="Times New Roman" w:hAnsi="Times New Roman" w:cs="Times New Roman"/>
        </w:rPr>
        <w:fldChar w:fldCharType="end"/>
      </w:r>
      <w:r>
        <w:rPr>
          <w:rFonts w:ascii="Times New Roman" w:eastAsia="Times New Roman" w:hAnsi="Times New Roman" w:cs="Times New Roman"/>
        </w:rPr>
        <w:t xml:space="preserve">. However, there are some key differences to species makeup, including the 2004 eradication of </w:t>
      </w:r>
      <w:r>
        <w:rPr>
          <w:rFonts w:ascii="Times New Roman" w:eastAsia="Times New Roman" w:hAnsi="Times New Roman" w:cs="Times New Roman"/>
          <w:i/>
        </w:rPr>
        <w:t>A. mellifera</w:t>
      </w:r>
      <w:r>
        <w:rPr>
          <w:rFonts w:ascii="Times New Roman" w:eastAsia="Times New Roman" w:hAnsi="Times New Roman" w:cs="Times New Roman"/>
        </w:rPr>
        <w:t xml:space="preserve"> on Santa Cruz Island. Thus, while we expect the bee-plant interactions on Santa Cruz Island to reflect similar interactions observed on the mainland due to the high similarity in genus availability we recognize that different community compositions may influence the species dynamics of our dataset.</w:t>
      </w:r>
    </w:p>
    <w:p w14:paraId="1ED67078" w14:textId="77777777" w:rsidR="00413978" w:rsidRDefault="00413978">
      <w:pPr>
        <w:rPr>
          <w:rFonts w:ascii="Times New Roman" w:eastAsia="Times New Roman" w:hAnsi="Times New Roman" w:cs="Times New Roman"/>
        </w:rPr>
      </w:pPr>
    </w:p>
    <w:p w14:paraId="1C6D8DFF" w14:textId="776BE145"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Broadly, the results from our detection model reflect some of the behavior of collectors (both museum and community scientists). Specifically, our detection model showed that community science observers (i.e., observers using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 were more likely to observe an interaction than the museum collector. This pattern reflects some of the obvious differences between community science and museum collections where community scientists may be more opportunistic in their data collection – recording and uploading any encountered interactions. Alternatively, museum collectors are more discerning – only recording and collecting unique interactions or recordings that address specific scientific or collection-based questions</w:t>
      </w:r>
      <w:r w:rsidR="00E434AE">
        <w:rPr>
          <w:rFonts w:ascii="Times New Roman" w:eastAsia="Times New Roman" w:hAnsi="Times New Roman" w:cs="Times New Roman"/>
        </w:rPr>
        <w:t xml:space="preserve"> </w:t>
      </w:r>
      <w:r w:rsidR="00E434AE">
        <w:rPr>
          <w:rFonts w:ascii="Times New Roman" w:eastAsia="Times New Roman" w:hAnsi="Times New Roman" w:cs="Times New Roman"/>
        </w:rPr>
        <w:fldChar w:fldCharType="begin"/>
      </w:r>
      <w:r w:rsidR="00E434AE">
        <w:rPr>
          <w:rFonts w:ascii="Times New Roman" w:eastAsia="Times New Roman" w:hAnsi="Times New Roman" w:cs="Times New Roman"/>
        </w:rPr>
        <w:instrText xml:space="preserve"> ADDIN ZOTERO_ITEM CSL_CITATION {"citationID":"9kepMx6N","properties":{"formattedCitation":"(Meineke &amp; Daru, 2021)","plainCitation":"(Meineke &amp; Daru, 2021)","noteIndex":0},"citationItems":[{"id":1306,"uris":["http://zotero.org/groups/4699449/items/V9EZGZ49"],"itemData":{"id":1306,"type":"article-journal","abstract":"Biological collections are arguably the most important resources for investigations into the impacts of human activities on biodiversity. However, the apparent opportunities presented by museum-derived datasets have not resulted in consistent or widespread use of specimens in ecology outside phenological research and species distribution modeling. We attribute this gap between opportunity and application to biases introduced by collectors, curators, and preservation practices and an imperfect understanding of these biases and how to mitigate them. To facilitate broader use of specimen-based data, we characterize collection biases across key axes and explore interactions among them. We then present a framework for determining the bias assessments needed when extracting data from biological collections. We show that bias assessments required by particular ecological studies will depend on the response variables being measured and the predictor axes of interest. We argue that quantification of biases in specimen-derived datasets is needed to facilitate the widespread application of these data.","container-title":"Trends in Ecology &amp; Evolution","DOI":"10.1016/j.tree.2021.08.003","ISSN":"0169-5347","issue":"12","journalAbbreviation":"Trends in Ecology &amp; Evolution","language":"en","page":"1071-1082","source":"ScienceDirect","title":"Bias assessments to expand research harnessing biological collections","volume":"36","author":[{"family":"Meineke","given":"Emily K."},{"family":"Daru","given":"Barnabas H."}],"issued":{"date-parts":[["2021",12,1]]}}}],"schema":"https://github.com/citation-style-language/schema/raw/master/csl-citation.json"} </w:instrText>
      </w:r>
      <w:r w:rsidR="00E434AE">
        <w:rPr>
          <w:rFonts w:ascii="Times New Roman" w:eastAsia="Times New Roman" w:hAnsi="Times New Roman" w:cs="Times New Roman"/>
        </w:rPr>
        <w:fldChar w:fldCharType="separate"/>
      </w:r>
      <w:r w:rsidR="00E434AE">
        <w:rPr>
          <w:rFonts w:ascii="Times New Roman" w:eastAsia="Times New Roman" w:hAnsi="Times New Roman" w:cs="Times New Roman"/>
          <w:noProof/>
        </w:rPr>
        <w:t>(Meineke &amp; Daru, 2021)</w:t>
      </w:r>
      <w:r w:rsidR="00E434AE">
        <w:rPr>
          <w:rFonts w:ascii="Times New Roman" w:eastAsia="Times New Roman" w:hAnsi="Times New Roman" w:cs="Times New Roman"/>
        </w:rPr>
        <w:fldChar w:fldCharType="end"/>
      </w:r>
      <w:r>
        <w:rPr>
          <w:rFonts w:ascii="Times New Roman" w:eastAsia="Times New Roman" w:hAnsi="Times New Roman" w:cs="Times New Roman"/>
        </w:rPr>
        <w:t>. Thus, the differing goals of community scientists and museum collectors are likely the main drivers of these observations.</w:t>
      </w:r>
    </w:p>
    <w:p w14:paraId="31ED24B0" w14:textId="77777777" w:rsidR="00413978" w:rsidRDefault="00413978">
      <w:pPr>
        <w:rPr>
          <w:rFonts w:ascii="Times New Roman" w:eastAsia="Times New Roman" w:hAnsi="Times New Roman" w:cs="Times New Roman"/>
        </w:rPr>
      </w:pPr>
    </w:p>
    <w:p w14:paraId="71A53E7D" w14:textId="49D7B44E"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In our detection model, we also found interesting patterns in the likelihood of observing an interaction based on bee or floral characteristics. We found that smaller bees were more likely to be observed than relatively larger bees. Moreover, we found that striped bees had a similar or somewhat lower detection level than that of non-striped bees. These patterns oppose our initial predictions that larger bees and striped bees would have the highest likelihood of observation, based on the high visibility of these species. Indeed, previous studies have found that collections are usually biased towards more charismatic megafauna </w:t>
      </w:r>
      <w:r w:rsidR="00E434AE">
        <w:rPr>
          <w:rFonts w:ascii="Times New Roman" w:eastAsia="Times New Roman" w:hAnsi="Times New Roman" w:cs="Times New Roman"/>
        </w:rPr>
        <w:fldChar w:fldCharType="begin"/>
      </w:r>
      <w:r w:rsidR="00E434AE">
        <w:rPr>
          <w:rFonts w:ascii="Times New Roman" w:eastAsia="Times New Roman" w:hAnsi="Times New Roman" w:cs="Times New Roman"/>
        </w:rPr>
        <w:instrText xml:space="preserve"> ADDIN ZOTERO_ITEM CSL_CITATION {"citationID":"Yh6FmySo","properties":{"formattedCitation":"(Troudet et al., 2017)","plainCitation":"(Troudet et al., 2017)","noteIndex":0},"citationItems":[{"id":1311,"uris":["http://zotero.org/groups/4699449/items/8IX9ECZG"],"itemData":{"id":1311,"type":"article-journal","abstract":"Studying and protecting each and every living species on Earth is a major challenge of the 21st century. Yet, most species remain unknown or unstudied, while others attract most of the public, scientific and government attention. Although known to be detrimental, this taxonomic bias continues to be pervasive in the scientific literature, but is still poorly studied and understood. Here, we used 626 million occurrences from the Global Biodiversity Information Facility (GBIF), the biggest biodiversity data portal, to characterize the taxonomic bias in biodiversity data. We also investigated how societal preferences and taxonomic research relate to biodiversity data gathering. For each species belonging to 24 taxonomic classes, we used the number of publications from Web of Science and the number of web pages from Bing searches to approximate research activity and societal preferences. Our results show that societal preferences, rather than research activity, strongly correlate with taxonomic bias, which lead us to assert that scientists should advertise less charismatic species and develop societal initiatives (e.g. citizen science) that specifically target neglected organisms. Ensuring that biodiversity is representatively sampled while this is still possible is an urgent prerequisite for achieving efficient conservation plans and a global understanding of our surrounding environment.","container-title":"Scientific Reports","DOI":"10.1038/s41598-017-09084-6","ISSN":"2045-2322","issue":"1","journalAbbreviation":"Sci Rep","language":"en","license":"2017 The Author(s)","note":"number: 1\npublisher: Nature Publishing Group","page":"9132","source":"www.nature.com","title":"Taxonomic bias in biodiversity data and societal preferences","volume":"7","author":[{"family":"Troudet","given":"Julien"},{"family":"Grandcolas","given":"Philippe"},{"family":"Blin","given":"Amandine"},{"family":"Vignes-Lebbe","given":"Régine"},{"family":"Legendre","given":"Frédéric"}],"issued":{"date-parts":[["2017",8,22]]}}}],"schema":"https://github.com/citation-style-language/schema/raw/master/csl-citation.json"} </w:instrText>
      </w:r>
      <w:r w:rsidR="00E434AE">
        <w:rPr>
          <w:rFonts w:ascii="Times New Roman" w:eastAsia="Times New Roman" w:hAnsi="Times New Roman" w:cs="Times New Roman"/>
        </w:rPr>
        <w:fldChar w:fldCharType="separate"/>
      </w:r>
      <w:r w:rsidR="00E434AE">
        <w:rPr>
          <w:rFonts w:ascii="Times New Roman" w:eastAsia="Times New Roman" w:hAnsi="Times New Roman" w:cs="Times New Roman"/>
          <w:noProof/>
        </w:rPr>
        <w:t>(Troudet et al., 2017)</w:t>
      </w:r>
      <w:r w:rsidR="00E434AE">
        <w:rPr>
          <w:rFonts w:ascii="Times New Roman" w:eastAsia="Times New Roman" w:hAnsi="Times New Roman" w:cs="Times New Roman"/>
        </w:rPr>
        <w:fldChar w:fldCharType="end"/>
      </w:r>
      <w:r w:rsidR="00E434AE">
        <w:rPr>
          <w:rFonts w:ascii="Times New Roman" w:eastAsia="Times New Roman" w:hAnsi="Times New Roman" w:cs="Times New Roman"/>
        </w:rPr>
        <w:t xml:space="preserve">, </w:t>
      </w:r>
      <w:r>
        <w:rPr>
          <w:rFonts w:ascii="Times New Roman" w:eastAsia="Times New Roman" w:hAnsi="Times New Roman" w:cs="Times New Roman"/>
        </w:rPr>
        <w:t xml:space="preserve">but it may be that collectors are targeting smaller, rarer bees rather than larger, more abundant bee species. </w:t>
      </w:r>
    </w:p>
    <w:p w14:paraId="6B5B3758"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5672794"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Finally, when we aggregated flower color to yellow and non-yellow, we did not find that yellow flowers were more likely to be visited and were not more generalized than non-yellow flowers. Similarly, when we aggregated flower shape to bowl and non-bowl flowers, we did not find that bowl-shaped flowers were more likely to be visited and were not more generalized than non-bowl flowers. These patterns may be due to the coarseness of the scale of our analysis. If we had a larger sample size, we would have parsed out flower color to all the different colors, and we would have included a larger variety of flower shapes. However, </w:t>
      </w:r>
      <w:r>
        <w:rPr>
          <w:rFonts w:ascii="Times New Roman" w:eastAsia="Times New Roman" w:hAnsi="Times New Roman" w:cs="Times New Roman"/>
        </w:rPr>
        <w:lastRenderedPageBreak/>
        <w:t>given the sample size of our dataset, we did not feel comfortable adding a large number of covariates to the model.</w:t>
      </w:r>
    </w:p>
    <w:p w14:paraId="01660EF1" w14:textId="77777777" w:rsidR="00413978" w:rsidRDefault="00413978">
      <w:pPr>
        <w:rPr>
          <w:rFonts w:ascii="Times New Roman" w:eastAsia="Times New Roman" w:hAnsi="Times New Roman" w:cs="Times New Roman"/>
        </w:rPr>
      </w:pPr>
    </w:p>
    <w:p w14:paraId="4357F38A"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&lt;BIPARTITE NETWORKS&gt;</w:t>
      </w:r>
    </w:p>
    <w:p w14:paraId="2026D39F"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As we expected, model predicted interactions were much more even than in the raw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Additional phenology and trait data revealed possible interactions unobserved by collectors for reasons that may relate to interaction or species rarity or observer biases. This was confirmed with our null networks that showed our modeled interactions were significantly even while our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interactions were not. Thus, our modeled network may reveal a much richer set of interactions for each of our bee species that are not as easily observed in situ.</w:t>
      </w:r>
    </w:p>
    <w:p w14:paraId="0C913B94" w14:textId="77777777" w:rsidR="00413978" w:rsidRDefault="00413978">
      <w:pPr>
        <w:rPr>
          <w:rFonts w:ascii="Times New Roman" w:eastAsia="Times New Roman" w:hAnsi="Times New Roman" w:cs="Times New Roman"/>
        </w:rPr>
      </w:pPr>
    </w:p>
    <w:p w14:paraId="3AA754D0" w14:textId="39020865"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Contrary to our expectations, we found that the modeled network was more nested than our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and was significantly nested relative to our null models. This pattern is likely driven by the increase in predicted interactions for a subset of species including all Bombus species which may reflect the reality of the behavior of th</w:t>
      </w:r>
      <w:r w:rsidR="00E444CE">
        <w:rPr>
          <w:rFonts w:ascii="Times New Roman" w:eastAsia="Times New Roman" w:hAnsi="Times New Roman" w:cs="Times New Roman"/>
        </w:rPr>
        <w:t xml:space="preserve">is genus which is known to be quite generalized relative to other </w:t>
      </w:r>
      <w:r w:rsidR="00891DA4">
        <w:rPr>
          <w:rFonts w:ascii="Times New Roman" w:eastAsia="Times New Roman" w:hAnsi="Times New Roman" w:cs="Times New Roman"/>
        </w:rPr>
        <w:t xml:space="preserve">bee </w:t>
      </w:r>
      <w:r w:rsidR="00E444CE">
        <w:rPr>
          <w:rFonts w:ascii="Times New Roman" w:eastAsia="Times New Roman" w:hAnsi="Times New Roman" w:cs="Times New Roman"/>
        </w:rPr>
        <w:t>genera</w:t>
      </w:r>
      <w:r w:rsidR="00891DA4">
        <w:rPr>
          <w:rFonts w:ascii="Times New Roman" w:eastAsia="Times New Roman" w:hAnsi="Times New Roman" w:cs="Times New Roman"/>
        </w:rPr>
        <w:t xml:space="preserve"> due to body size and sociality</w:t>
      </w:r>
      <w:r w:rsidR="00E444CE">
        <w:rPr>
          <w:rFonts w:ascii="Times New Roman" w:eastAsia="Times New Roman" w:hAnsi="Times New Roman" w:cs="Times New Roman"/>
        </w:rPr>
        <w:t>.</w:t>
      </w:r>
      <w:r>
        <w:rPr>
          <w:rFonts w:ascii="Times New Roman" w:eastAsia="Times New Roman" w:hAnsi="Times New Roman" w:cs="Times New Roman"/>
        </w:rPr>
        <w:t xml:space="preserve"> Thus, by leveraging information about phenology and trait matching, the model network is able to supplement our understanding of these species interactions and the structure of networks as a whole.</w:t>
      </w:r>
    </w:p>
    <w:p w14:paraId="406D844F" w14:textId="77777777" w:rsidR="00413978" w:rsidRDefault="00413978">
      <w:pPr>
        <w:rPr>
          <w:rFonts w:ascii="Times New Roman" w:eastAsia="Times New Roman" w:hAnsi="Times New Roman" w:cs="Times New Roman"/>
        </w:rPr>
      </w:pPr>
    </w:p>
    <w:p w14:paraId="44798EE2" w14:textId="413852A5"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Finally, we observed that network reciprocal specialization (H2’) was significant for both the modeled and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networks. Moreover, our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was more specialized than the modeled network. This may be a result of a few species like </w:t>
      </w:r>
      <w:r w:rsidR="00E444CE" w:rsidRPr="00891DA4">
        <w:rPr>
          <w:rFonts w:ascii="Times New Roman" w:eastAsia="Times New Roman" w:hAnsi="Times New Roman" w:cs="Times New Roman"/>
        </w:rPr>
        <w:t>Bombus and Asteraceae</w:t>
      </w:r>
      <w:r w:rsidRPr="00891DA4">
        <w:rPr>
          <w:rFonts w:ascii="Times New Roman" w:eastAsia="Times New Roman" w:hAnsi="Times New Roman" w:cs="Times New Roman"/>
        </w:rPr>
        <w:t xml:space="preserve"> that are </w:t>
      </w:r>
      <w:r w:rsidR="00E444CE">
        <w:rPr>
          <w:rFonts w:ascii="Times New Roman" w:eastAsia="Times New Roman" w:hAnsi="Times New Roman" w:cs="Times New Roman"/>
        </w:rPr>
        <w:t xml:space="preserve">most likely to interact with each </w:t>
      </w:r>
      <w:r>
        <w:rPr>
          <w:rFonts w:ascii="Times New Roman" w:eastAsia="Times New Roman" w:hAnsi="Times New Roman" w:cs="Times New Roman"/>
        </w:rPr>
        <w:t>other. We see that our modeled network becomes slightly less specialized, such that additional species interactions increase the overall generalization of our system.</w:t>
      </w:r>
    </w:p>
    <w:p w14:paraId="066B592F" w14:textId="77777777" w:rsidR="00413978" w:rsidRDefault="00413978">
      <w:pPr>
        <w:rPr>
          <w:rFonts w:ascii="Times New Roman" w:eastAsia="Times New Roman" w:hAnsi="Times New Roman" w:cs="Times New Roman"/>
        </w:rPr>
      </w:pPr>
    </w:p>
    <w:p w14:paraId="5F4914D2" w14:textId="66AD5EEF"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With additional predicted networks, we see </w:t>
      </w:r>
      <w:r w:rsidR="00443FE7">
        <w:rPr>
          <w:rFonts w:ascii="Times New Roman" w:eastAsia="Times New Roman" w:hAnsi="Times New Roman" w:cs="Times New Roman"/>
        </w:rPr>
        <w:t>that</w:t>
      </w:r>
      <w:r>
        <w:rPr>
          <w:rFonts w:ascii="Times New Roman" w:eastAsia="Times New Roman" w:hAnsi="Times New Roman" w:cs="Times New Roman"/>
        </w:rPr>
        <w:t xml:space="preserve"> while our networks are more nested, they may also be more generalized and even than we would predict with only observed interactions. As greater </w:t>
      </w:r>
      <w:proofErr w:type="spellStart"/>
      <w:r>
        <w:rPr>
          <w:rFonts w:ascii="Times New Roman" w:eastAsia="Times New Roman" w:hAnsi="Times New Roman" w:cs="Times New Roman"/>
        </w:rPr>
        <w:t>nestedness</w:t>
      </w:r>
      <w:proofErr w:type="spellEnd"/>
      <w:r>
        <w:rPr>
          <w:rFonts w:ascii="Times New Roman" w:eastAsia="Times New Roman" w:hAnsi="Times New Roman" w:cs="Times New Roman"/>
        </w:rPr>
        <w:t>, generalization, and evenness reflect greater network stability in the context of environmental perturbations and species loss, supplemented interactions from modeled networks may reflect a more realistic and robust structure of species interactions.</w:t>
      </w:r>
    </w:p>
    <w:p w14:paraId="11B0B7B3" w14:textId="77777777" w:rsidR="00413978" w:rsidRDefault="00413978">
      <w:pPr>
        <w:rPr>
          <w:rFonts w:ascii="Times New Roman" w:eastAsia="Times New Roman" w:hAnsi="Times New Roman" w:cs="Times New Roman"/>
        </w:rPr>
      </w:pPr>
    </w:p>
    <w:p w14:paraId="32A94D16" w14:textId="4AF4D9AB"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While many of our results at the ecological and detection levels were unexpected, and in fact counterintuitive to what we had expected to find, we acknowledge that there are many caveats to utilizing our dataset and methodologies. For instance, when selecting the geographic region of our study to Santa Cruz Island, we included observations from the surrounding mainland to increase the overall count of interactions for our dataset. While we made this decision based on the surrounding similarity of climate and vegetation, </w:t>
      </w:r>
      <w:r w:rsidR="00F9792A">
        <w:rPr>
          <w:rFonts w:ascii="Times New Roman" w:eastAsia="Times New Roman" w:hAnsi="Times New Roman" w:cs="Times New Roman"/>
        </w:rPr>
        <w:t>mainland interaction observations may have other interaction partners and undergo other ecological processes outside of the context of the island system.</w:t>
      </w:r>
      <w:commentRangeStart w:id="16"/>
      <w:commentRangeEnd w:id="16"/>
      <w:r>
        <w:commentReference w:id="16"/>
      </w:r>
    </w:p>
    <w:p w14:paraId="0F81C6AB" w14:textId="77777777" w:rsidR="00413978" w:rsidRDefault="00413978">
      <w:pPr>
        <w:rPr>
          <w:rFonts w:ascii="Times New Roman" w:eastAsia="Times New Roman" w:hAnsi="Times New Roman" w:cs="Times New Roman"/>
        </w:rPr>
      </w:pPr>
    </w:p>
    <w:p w14:paraId="5FD02C9B"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Throughout this course work, we discovered multiple avenues in which the study of interactions using both occupancy modeling and aggregated datasets can be improved to better predict ecological and detection approximations. Most prominently, we found that aggregated datasets can be improved with more open, discoverable, and re-usable data. The majority of our data, after filtering for necessary attributes, were largely made up of museum collections and community science observations, leaving a number of publications of recorded interactions out of our analyses. Thus, to create more re-usable data, we recommend </w:t>
      </w:r>
      <w:r>
        <w:rPr>
          <w:rFonts w:ascii="Times New Roman" w:eastAsia="Times New Roman" w:hAnsi="Times New Roman" w:cs="Times New Roman"/>
        </w:rPr>
        <w:lastRenderedPageBreak/>
        <w:t xml:space="preserve">that published records of species interactions include </w:t>
      </w:r>
      <w:proofErr w:type="spellStart"/>
      <w:r>
        <w:rPr>
          <w:rFonts w:ascii="Times New Roman" w:eastAsia="Times New Roman" w:hAnsi="Times New Roman" w:cs="Times New Roman"/>
        </w:rPr>
        <w:t>geolocality</w:t>
      </w:r>
      <w:proofErr w:type="spellEnd"/>
      <w:r>
        <w:rPr>
          <w:rFonts w:ascii="Times New Roman" w:eastAsia="Times New Roman" w:hAnsi="Times New Roman" w:cs="Times New Roman"/>
        </w:rPr>
        <w:t xml:space="preserve"> information and individual observations rather than collective or refined observations. A lack of these associated metadata resulted in these interactions being removed from our analysis, losing thousands of interactions from the dataset.</w:t>
      </w:r>
    </w:p>
    <w:p w14:paraId="504C0FC6" w14:textId="77777777" w:rsidR="00413978" w:rsidRDefault="00413978">
      <w:pPr>
        <w:rPr>
          <w:rFonts w:ascii="Times New Roman" w:eastAsia="Times New Roman" w:hAnsi="Times New Roman" w:cs="Times New Roman"/>
        </w:rPr>
      </w:pPr>
    </w:p>
    <w:p w14:paraId="1105FF97"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Adding covariates to our ecological and detection models greatly added to our understanding of both ecological and collection processes. Future studies could work toward improving these covariates, potentially leveraging valuable data regarding bee </w:t>
      </w:r>
      <w:proofErr w:type="spellStart"/>
      <w:r>
        <w:rPr>
          <w:rFonts w:ascii="Times New Roman" w:eastAsia="Times New Roman" w:hAnsi="Times New Roman" w:cs="Times New Roman"/>
        </w:rPr>
        <w:t>lecty</w:t>
      </w:r>
      <w:proofErr w:type="spellEnd"/>
      <w:r>
        <w:rPr>
          <w:rFonts w:ascii="Times New Roman" w:eastAsia="Times New Roman" w:hAnsi="Times New Roman" w:cs="Times New Roman"/>
        </w:rPr>
        <w:t xml:space="preserve"> or specialization to add specific probability scores to each species interaction and to remove other potential forbidden links.</w:t>
      </w:r>
    </w:p>
    <w:p w14:paraId="2E2B0379" w14:textId="77777777" w:rsidR="00413978" w:rsidRDefault="00413978">
      <w:pPr>
        <w:rPr>
          <w:rFonts w:ascii="Times New Roman" w:eastAsia="Times New Roman" w:hAnsi="Times New Roman" w:cs="Times New Roman"/>
        </w:rPr>
      </w:pPr>
    </w:p>
    <w:p w14:paraId="4330F49A" w14:textId="77777777" w:rsidR="00413978" w:rsidRDefault="00000000">
      <w:pPr>
        <w:rPr>
          <w:rFonts w:ascii="Times New Roman" w:eastAsia="Times New Roman" w:hAnsi="Times New Roman" w:cs="Times New Roman"/>
        </w:rPr>
      </w:pPr>
      <w:commentRangeStart w:id="17"/>
      <w:r>
        <w:rPr>
          <w:rFonts w:ascii="Times New Roman" w:eastAsia="Times New Roman" w:hAnsi="Times New Roman" w:cs="Times New Roman"/>
        </w:rPr>
        <w:t>&lt;IMPORTANCE OF UTILIZING CHECKLISTS IN ECOLOGICAL STUDIES&gt;</w:t>
      </w:r>
      <w:commentRangeEnd w:id="17"/>
      <w:r>
        <w:commentReference w:id="17"/>
      </w:r>
    </w:p>
    <w:p w14:paraId="482481E6"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Our work also highlights the value of species checklists that leverage both the expertise and time of professional collectors and taxonomists. </w:t>
      </w:r>
    </w:p>
    <w:p w14:paraId="3B98391C" w14:textId="29227293" w:rsidR="004139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Taxonomic identification and observation of rare species can be difficult </w:t>
      </w:r>
      <w:r w:rsidR="00013EEE">
        <w:rPr>
          <w:rFonts w:ascii="Times New Roman" w:eastAsia="Times New Roman" w:hAnsi="Times New Roman" w:cs="Times New Roman"/>
        </w:rPr>
        <w:fldChar w:fldCharType="begin"/>
      </w:r>
      <w:r w:rsidR="00013EEE">
        <w:rPr>
          <w:rFonts w:ascii="Times New Roman" w:eastAsia="Times New Roman" w:hAnsi="Times New Roman" w:cs="Times New Roman"/>
        </w:rPr>
        <w:instrText xml:space="preserve"> ADDIN ZOTERO_ITEM CSL_CITATION {"citationID":"8qfW5gw7","properties":{"formattedCitation":"(Meiners et al., 2019)","plainCitation":"(Meiners et al., 2019)","noteIndex":0},"citationItems":[{"id":1618,"uris":["http://zotero.org/groups/4699449/items/RRC245ZA"],"itemData":{"id":1618,"type":"article-journal","abstract":"Thousands of species of bees are in global decline, yet research addressing the ecology and status of these wild pollinators lags far behind work being done to address similar impacts on the managed honey bee. This knowledge gap is especially glaring in natural areas, despite knowledge that protected habitats harbor and export diverse bee communities into nearby croplands where their pollination services have been valued at over $3 billion per year. Surrounded by ranches and farmlands, Pinnacles National Park in the Inner South Coast Range of California contains intact Mediterranean chaparral shrubland. This habitat type is among the most valuable for bee biodiversity worldwide, as well as one of the most vulnerable to agricultural conversion, urbanization and climate change. Pinnacles National Park is also one of a very few locations where extensive native bee inventory efforts have been repeated over time. This park thus presents a valuable and rare opportunity to monitor long-term trends and baseline variability of native bees in natural habitats. Fifteen years after a species inventory marked Pinnacles as a biodiversity hotspot for native bees, we resurveyed these native bee communities over two flowering seasons using a systematic, plot-based design. Combining results, we report a total of 450 bee species within this 109km2 natural area of California, including 48 new species records as of 2012 and 95 species not seen since 1999. As far as we are aware, this species richness marks Pinnacles National Park as one of the most densely diverse places known for native bees. We explore patterns of bee diversity across this protected landscape, compare results to other surveyed natural areas, and highlight the need for additional repeated inventories in protected areas over time amid widespread concerns of bee declines.","container-title":"PLOS ONE","DOI":"10.1371/journal.pone.0207566","ISSN":"1932-6203","issue":"1","journalAbbreviation":"PLOS ONE","language":"en","note":"publisher: Public Library of Science","page":"e0207566","source":"PLoS Journals","title":"Decades of native bee biodiversity surveys at Pinnacles National Park highlight the importance of monitoring natural areas over time","volume":"14","author":[{"family":"Meiners","given":"Joan M."},{"family":"Griswold","given":"Terry L."},{"family":"Carril","given":"Olivia Messinger"}],"issued":{"date-parts":[["2019",1,17]]}}}],"schema":"https://github.com/citation-style-language/schema/raw/master/csl-citation.json"} </w:instrText>
      </w:r>
      <w:r w:rsidR="00013EEE">
        <w:rPr>
          <w:rFonts w:ascii="Times New Roman" w:eastAsia="Times New Roman" w:hAnsi="Times New Roman" w:cs="Times New Roman"/>
        </w:rPr>
        <w:fldChar w:fldCharType="separate"/>
      </w:r>
      <w:r w:rsidR="00013EEE">
        <w:rPr>
          <w:rFonts w:ascii="Times New Roman" w:eastAsia="Times New Roman" w:hAnsi="Times New Roman" w:cs="Times New Roman"/>
          <w:noProof/>
        </w:rPr>
        <w:t>(Meiners et al., 2019)</w:t>
      </w:r>
      <w:r w:rsidR="00013EEE">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3B7DE" w14:textId="77777777" w:rsidR="004139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Taxonomic names require consideration</w:t>
      </w:r>
    </w:p>
    <w:p w14:paraId="2A41B18B" w14:textId="77777777" w:rsidR="004139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Checklists can be found in </w:t>
      </w:r>
      <w:proofErr w:type="spellStart"/>
      <w:r>
        <w:rPr>
          <w:rFonts w:ascii="Times New Roman" w:eastAsia="Times New Roman" w:hAnsi="Times New Roman" w:cs="Times New Roman"/>
        </w:rPr>
        <w:t>journtals</w:t>
      </w:r>
      <w:proofErr w:type="spellEnd"/>
      <w:r>
        <w:rPr>
          <w:rFonts w:ascii="Times New Roman" w:eastAsia="Times New Roman" w:hAnsi="Times New Roman" w:cs="Times New Roman"/>
        </w:rPr>
        <w:t>, and via GBIF</w:t>
      </w:r>
    </w:p>
    <w:p w14:paraId="3544D892" w14:textId="77777777" w:rsidR="004139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Checklists should be cited as independent research</w:t>
      </w:r>
    </w:p>
    <w:p w14:paraId="2D351FEC" w14:textId="77777777" w:rsidR="00413978" w:rsidRDefault="00413978">
      <w:pPr>
        <w:rPr>
          <w:rFonts w:ascii="Times New Roman" w:eastAsia="Times New Roman" w:hAnsi="Times New Roman" w:cs="Times New Roman"/>
        </w:rPr>
      </w:pPr>
    </w:p>
    <w:p w14:paraId="7A71F631"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Observations of species interactions dictate our ability to both predict and protect ecosystem structure and function. Indeed, bee-plant interactions–specifically pollination–provide great service to whole ecosystems through the ensured persistence of plant populations that create habitat and food resources for all trophic levels. These interactions are increasingly endangered and researchers' ability to understand our own biases that shape our understanding of these interactions will prove vital in our pursuit of conservation action. </w:t>
      </w:r>
    </w:p>
    <w:p w14:paraId="00FEBEB3" w14:textId="77777777" w:rsidR="00413978" w:rsidRDefault="00413978">
      <w:pPr>
        <w:rPr>
          <w:rFonts w:ascii="Times New Roman" w:eastAsia="Times New Roman" w:hAnsi="Times New Roman" w:cs="Times New Roman"/>
        </w:rPr>
      </w:pPr>
    </w:p>
    <w:p w14:paraId="47E6871C" w14:textId="412626DB"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Our study is the first of its kind to utilize occupancy modeling to better understand species interactions, leveraging both aggregated, </w:t>
      </w:r>
      <w:r w:rsidR="00931AF4">
        <w:rPr>
          <w:rFonts w:ascii="Times New Roman" w:eastAsia="Times New Roman" w:hAnsi="Times New Roman" w:cs="Times New Roman"/>
        </w:rPr>
        <w:t>open-source</w:t>
      </w:r>
      <w:r>
        <w:rPr>
          <w:rFonts w:ascii="Times New Roman" w:eastAsia="Times New Roman" w:hAnsi="Times New Roman" w:cs="Times New Roman"/>
        </w:rPr>
        <w:t xml:space="preserve"> databases and expert checklists. Our findings, while largely counterintuitive, stress the importance of investigating the effect of detection and collection biases on our understanding of ecological processes. Our work highlights the possibilities of using these newly populated databases and methods.</w:t>
      </w:r>
    </w:p>
    <w:p w14:paraId="71DA0BD8" w14:textId="77777777" w:rsidR="00413978" w:rsidRDefault="00413978">
      <w:pPr>
        <w:rPr>
          <w:rFonts w:ascii="Times New Roman" w:eastAsia="Times New Roman" w:hAnsi="Times New Roman" w:cs="Times New Roman"/>
        </w:rPr>
      </w:pPr>
    </w:p>
    <w:p w14:paraId="55055E7F" w14:textId="77777777" w:rsidR="00413978" w:rsidRDefault="00413978">
      <w:pPr>
        <w:rPr>
          <w:rFonts w:ascii="Times New Roman" w:eastAsia="Times New Roman" w:hAnsi="Times New Roman" w:cs="Times New Roman"/>
        </w:rPr>
      </w:pPr>
    </w:p>
    <w:p w14:paraId="4A06FFE2" w14:textId="77777777" w:rsidR="00413978" w:rsidRDefault="00413978">
      <w:pPr>
        <w:rPr>
          <w:rFonts w:ascii="Times New Roman" w:eastAsia="Times New Roman" w:hAnsi="Times New Roman" w:cs="Times New Roman"/>
        </w:rPr>
      </w:pPr>
    </w:p>
    <w:p w14:paraId="09936177" w14:textId="77777777" w:rsidR="00413978" w:rsidRDefault="00413978">
      <w:pPr>
        <w:rPr>
          <w:rFonts w:ascii="Times New Roman" w:eastAsia="Times New Roman" w:hAnsi="Times New Roman" w:cs="Times New Roman"/>
        </w:rPr>
      </w:pPr>
    </w:p>
    <w:p w14:paraId="760EB5F8" w14:textId="77777777" w:rsidR="00413978" w:rsidRDefault="00413978">
      <w:pPr>
        <w:rPr>
          <w:rFonts w:ascii="Times New Roman" w:eastAsia="Times New Roman" w:hAnsi="Times New Roman" w:cs="Times New Roman"/>
        </w:rPr>
      </w:pPr>
    </w:p>
    <w:p w14:paraId="2D67DD96" w14:textId="77777777" w:rsidR="00413978" w:rsidRDefault="00000000">
      <w:pPr>
        <w:rPr>
          <w:rFonts w:ascii="Times New Roman" w:eastAsia="Times New Roman" w:hAnsi="Times New Roman" w:cs="Times New Roman"/>
        </w:rPr>
      </w:pPr>
      <w:r>
        <w:br w:type="page"/>
      </w:r>
    </w:p>
    <w:p w14:paraId="04AC8BF4" w14:textId="77777777" w:rsidR="00413978" w:rsidRDefault="00413978">
      <w:pPr>
        <w:rPr>
          <w:rFonts w:ascii="Times New Roman" w:eastAsia="Times New Roman" w:hAnsi="Times New Roman" w:cs="Times New Roman"/>
        </w:rPr>
      </w:pPr>
    </w:p>
    <w:p w14:paraId="6A81B58D" w14:textId="77777777" w:rsidR="00413978" w:rsidRDefault="00000000">
      <w:pPr>
        <w:pBdr>
          <w:top w:val="nil"/>
          <w:left w:val="nil"/>
          <w:bottom w:val="nil"/>
          <w:right w:val="nil"/>
          <w:between w:val="nil"/>
        </w:pBdr>
        <w:rPr>
          <w:rFonts w:ascii="Times New Roman" w:eastAsia="Times New Roman" w:hAnsi="Times New Roman" w:cs="Times New Roman"/>
          <w:smallCaps/>
          <w:color w:val="000000"/>
        </w:rPr>
      </w:pPr>
      <w:r>
        <w:rPr>
          <w:rFonts w:ascii="Times New Roman" w:eastAsia="Times New Roman" w:hAnsi="Times New Roman" w:cs="Times New Roman"/>
          <w:b/>
          <w:smallCaps/>
          <w:color w:val="000000"/>
        </w:rPr>
        <w:t>Acknowledgments</w:t>
      </w:r>
    </w:p>
    <w:p w14:paraId="0D1EDEFB" w14:textId="77777777" w:rsidR="00413978" w:rsidRDefault="00000000">
      <w:pPr>
        <w:pBdr>
          <w:top w:val="nil"/>
          <w:left w:val="nil"/>
          <w:bottom w:val="nil"/>
          <w:right w:val="nil"/>
          <w:between w:val="nil"/>
        </w:pBdr>
        <w:rPr>
          <w:rFonts w:ascii="Times New Roman" w:eastAsia="Times New Roman" w:hAnsi="Times New Roman" w:cs="Times New Roman"/>
          <w:color w:val="000000"/>
          <w:highlight w:val="white"/>
        </w:rPr>
      </w:pPr>
      <w:r>
        <w:rPr>
          <w:rFonts w:ascii="Times New Roman" w:eastAsia="Times New Roman" w:hAnsi="Times New Roman" w:cs="Times New Roman"/>
          <w:color w:val="000000"/>
        </w:rPr>
        <w:t>Any use of trade, firm, or product names is for descriptive purposes only and does not imply endorsement by the U.S. Government.</w:t>
      </w:r>
      <w:r>
        <w:rPr>
          <w:rFonts w:ascii="Times New Roman" w:eastAsia="Times New Roman" w:hAnsi="Times New Roman" w:cs="Times New Roman"/>
          <w:b/>
          <w:color w:val="000000"/>
        </w:rPr>
        <w:t xml:space="preserve"> </w:t>
      </w:r>
    </w:p>
    <w:p w14:paraId="745D0737" w14:textId="77777777" w:rsidR="00413978" w:rsidRDefault="00000000">
      <w:pPr>
        <w:pBdr>
          <w:top w:val="nil"/>
          <w:left w:val="nil"/>
          <w:bottom w:val="nil"/>
          <w:right w:val="nil"/>
          <w:between w:val="nil"/>
        </w:pBd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*should include the capstone students who wrote the first version of the </w:t>
      </w:r>
      <w:proofErr w:type="spellStart"/>
      <w:r>
        <w:rPr>
          <w:rFonts w:ascii="Times New Roman" w:eastAsia="Times New Roman" w:hAnsi="Times New Roman" w:cs="Times New Roman"/>
          <w:highlight w:val="yellow"/>
        </w:rPr>
        <w:t>GloBI</w:t>
      </w:r>
      <w:proofErr w:type="spellEnd"/>
      <w:r>
        <w:rPr>
          <w:rFonts w:ascii="Times New Roman" w:eastAsia="Times New Roman" w:hAnsi="Times New Roman" w:cs="Times New Roman"/>
          <w:highlight w:val="yellow"/>
        </w:rPr>
        <w:t xml:space="preserve"> cleaning code?</w:t>
      </w:r>
    </w:p>
    <w:p w14:paraId="2FEAC67D" w14:textId="77777777" w:rsidR="00413978" w:rsidRDefault="00000000">
      <w:pPr>
        <w:pBdr>
          <w:top w:val="nil"/>
          <w:left w:val="nil"/>
          <w:bottom w:val="nil"/>
          <w:right w:val="nil"/>
          <w:between w:val="nil"/>
        </w:pBdr>
        <w:rPr>
          <w:rFonts w:ascii="Times New Roman" w:eastAsia="Times New Roman" w:hAnsi="Times New Roman" w:cs="Times New Roman"/>
          <w:highlight w:val="yellow"/>
        </w:rPr>
      </w:pPr>
      <w:r>
        <w:rPr>
          <w:rFonts w:ascii="Times New Roman" w:eastAsia="Times New Roman" w:hAnsi="Times New Roman" w:cs="Times New Roman"/>
          <w:highlight w:val="yellow"/>
        </w:rPr>
        <w:t>*institutions who assembled the checklists?</w:t>
      </w:r>
    </w:p>
    <w:p w14:paraId="5CCD667A" w14:textId="77777777" w:rsidR="00413978" w:rsidRDefault="00413978">
      <w:pPr>
        <w:pBdr>
          <w:top w:val="nil"/>
          <w:left w:val="nil"/>
          <w:bottom w:val="nil"/>
          <w:right w:val="nil"/>
          <w:between w:val="nil"/>
        </w:pBdr>
        <w:rPr>
          <w:rFonts w:ascii="Times New Roman" w:eastAsia="Times New Roman" w:hAnsi="Times New Roman" w:cs="Times New Roman"/>
          <w:highlight w:val="white"/>
        </w:rPr>
      </w:pPr>
    </w:p>
    <w:p w14:paraId="4EE13195" w14:textId="77777777" w:rsidR="00413978" w:rsidRDefault="00000000">
      <w:pPr>
        <w:pBdr>
          <w:top w:val="nil"/>
          <w:left w:val="nil"/>
          <w:bottom w:val="nil"/>
          <w:right w:val="nil"/>
          <w:between w:val="nil"/>
        </w:pBdr>
        <w:rPr>
          <w:rFonts w:ascii="Times New Roman" w:eastAsia="Times New Roman" w:hAnsi="Times New Roman" w:cs="Times New Roman"/>
          <w:b/>
          <w:smallCaps/>
          <w:color w:val="000000"/>
        </w:rPr>
      </w:pPr>
      <w:r>
        <w:rPr>
          <w:rFonts w:ascii="Times New Roman" w:eastAsia="Times New Roman" w:hAnsi="Times New Roman" w:cs="Times New Roman"/>
          <w:b/>
          <w:smallCaps/>
          <w:color w:val="000000"/>
        </w:rPr>
        <w:t>Author contributions</w:t>
      </w:r>
    </w:p>
    <w:p w14:paraId="3038041C" w14:textId="77777777" w:rsidR="00413978" w:rsidRDefault="00413978">
      <w:pPr>
        <w:pBdr>
          <w:top w:val="nil"/>
          <w:left w:val="nil"/>
          <w:bottom w:val="nil"/>
          <w:right w:val="nil"/>
          <w:between w:val="nil"/>
        </w:pBdr>
        <w:rPr>
          <w:rFonts w:ascii="Times New Roman" w:eastAsia="Times New Roman" w:hAnsi="Times New Roman" w:cs="Times New Roman"/>
          <w:color w:val="000000"/>
        </w:rPr>
      </w:pPr>
    </w:p>
    <w:p w14:paraId="70027DFC" w14:textId="1190FDCF"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MJL</w:t>
      </w:r>
      <w:r>
        <w:rPr>
          <w:rFonts w:ascii="Times New Roman" w:eastAsia="Times New Roman" w:hAnsi="Times New Roman" w:cs="Times New Roman"/>
          <w:color w:val="000000"/>
        </w:rPr>
        <w:t xml:space="preserve"> contributed to project </w:t>
      </w:r>
      <w:r w:rsidR="00C86E6B">
        <w:rPr>
          <w:rFonts w:ascii="Times New Roman" w:eastAsia="Times New Roman" w:hAnsi="Times New Roman" w:cs="Times New Roman"/>
          <w:color w:val="000000"/>
        </w:rPr>
        <w:t xml:space="preserve">and model </w:t>
      </w:r>
      <w:r>
        <w:rPr>
          <w:rFonts w:ascii="Times New Roman" w:eastAsia="Times New Roman" w:hAnsi="Times New Roman" w:cs="Times New Roman"/>
          <w:color w:val="000000"/>
        </w:rPr>
        <w:t>development, wor</w:t>
      </w:r>
      <w:r>
        <w:rPr>
          <w:rFonts w:ascii="Times New Roman" w:eastAsia="Times New Roman" w:hAnsi="Times New Roman" w:cs="Times New Roman"/>
        </w:rPr>
        <w:t xml:space="preserve">ked on data formatting and cleaning, did the bi-partite analysis, </w:t>
      </w:r>
      <w:r>
        <w:rPr>
          <w:rFonts w:ascii="Times New Roman" w:eastAsia="Times New Roman" w:hAnsi="Times New Roman" w:cs="Times New Roman"/>
          <w:color w:val="000000"/>
        </w:rPr>
        <w:t xml:space="preserve">and </w:t>
      </w:r>
      <w:r>
        <w:rPr>
          <w:rFonts w:ascii="Times New Roman" w:eastAsia="Times New Roman" w:hAnsi="Times New Roman" w:cs="Times New Roman"/>
        </w:rPr>
        <w:t>wrote the first draft of the paper</w:t>
      </w:r>
      <w:r>
        <w:rPr>
          <w:rFonts w:ascii="Times New Roman" w:eastAsia="Times New Roman" w:hAnsi="Times New Roman" w:cs="Times New Roman"/>
          <w:color w:val="000000"/>
        </w:rPr>
        <w:t>.</w:t>
      </w:r>
    </w:p>
    <w:p w14:paraId="2AA82841" w14:textId="77777777" w:rsidR="00413978"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smallCaps/>
        </w:rPr>
        <w:t xml:space="preserve">GVD </w:t>
      </w:r>
      <w:r>
        <w:rPr>
          <w:rFonts w:ascii="Times New Roman" w:eastAsia="Times New Roman" w:hAnsi="Times New Roman" w:cs="Times New Roman"/>
        </w:rPr>
        <w:t>contributed to project development, worked on data formatting and cleaning, wrote the model, analyzed the data, and contributed to editing the paper.</w:t>
      </w:r>
    </w:p>
    <w:p w14:paraId="101D1B42" w14:textId="77777777"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highlight w:val="yellow"/>
        </w:rPr>
        <w:t>YD</w:t>
      </w:r>
      <w:r>
        <w:rPr>
          <w:rFonts w:ascii="Times New Roman" w:eastAsia="Times New Roman" w:hAnsi="Times New Roman" w:cs="Times New Roman"/>
          <w:color w:val="000000"/>
          <w:highlight w:val="yellow"/>
        </w:rPr>
        <w:t xml:space="preserve"> </w:t>
      </w:r>
      <w:r>
        <w:rPr>
          <w:rFonts w:ascii="Times New Roman" w:eastAsia="Times New Roman" w:hAnsi="Times New Roman" w:cs="Times New Roman"/>
          <w:color w:val="000000"/>
        </w:rPr>
        <w:t>contributed to project and model development.</w:t>
      </w:r>
    </w:p>
    <w:p w14:paraId="47AB7E0E" w14:textId="77777777" w:rsidR="00413978" w:rsidRDefault="00000000">
      <w:pPr>
        <w:rPr>
          <w:rFonts w:ascii="Times New Roman" w:eastAsia="Times New Roman" w:hAnsi="Times New Roman" w:cs="Times New Roman"/>
        </w:rPr>
      </w:pPr>
      <w:r>
        <w:rPr>
          <w:rFonts w:ascii="Times New Roman" w:eastAsia="Times New Roman" w:hAnsi="Times New Roman" w:cs="Times New Roman"/>
          <w:highlight w:val="yellow"/>
        </w:rPr>
        <w:t xml:space="preserve">KS </w:t>
      </w:r>
      <w:r>
        <w:rPr>
          <w:rFonts w:ascii="Times New Roman" w:eastAsia="Times New Roman" w:hAnsi="Times New Roman" w:cs="Times New Roman"/>
        </w:rPr>
        <w:t>contributed to project and model development.</w:t>
      </w:r>
    </w:p>
    <w:p w14:paraId="190FB914" w14:textId="77777777" w:rsidR="00413978"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All co-authors edited the manuscript.</w:t>
      </w:r>
    </w:p>
    <w:p w14:paraId="0B3BED84" w14:textId="77777777" w:rsidR="00413978" w:rsidRDefault="00413978">
      <w:pPr>
        <w:pBdr>
          <w:top w:val="nil"/>
          <w:left w:val="nil"/>
          <w:bottom w:val="nil"/>
          <w:right w:val="nil"/>
          <w:between w:val="nil"/>
        </w:pBdr>
        <w:rPr>
          <w:rFonts w:ascii="Times New Roman" w:eastAsia="Times New Roman" w:hAnsi="Times New Roman" w:cs="Times New Roman"/>
          <w:smallCaps/>
          <w:color w:val="000000"/>
        </w:rPr>
      </w:pPr>
    </w:p>
    <w:p w14:paraId="15138BBD" w14:textId="77777777" w:rsidR="00413978" w:rsidRDefault="00000000">
      <w:pPr>
        <w:pBdr>
          <w:top w:val="nil"/>
          <w:left w:val="nil"/>
          <w:bottom w:val="nil"/>
          <w:right w:val="nil"/>
          <w:between w:val="nil"/>
        </w:pBdr>
        <w:rPr>
          <w:rFonts w:ascii="Times New Roman" w:eastAsia="Times New Roman" w:hAnsi="Times New Roman" w:cs="Times New Roman"/>
          <w:b/>
          <w:smallCaps/>
          <w:color w:val="000000"/>
        </w:rPr>
      </w:pPr>
      <w:r>
        <w:rPr>
          <w:rFonts w:ascii="Times New Roman" w:eastAsia="Times New Roman" w:hAnsi="Times New Roman" w:cs="Times New Roman"/>
          <w:b/>
          <w:smallCaps/>
          <w:color w:val="000000"/>
        </w:rPr>
        <w:t>Data Accessibility</w:t>
      </w:r>
    </w:p>
    <w:p w14:paraId="29E4A0A3"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data and code for analyses can be reproduced and accessed at either the </w:t>
      </w:r>
      <w:commentRangeStart w:id="18"/>
      <w:commentRangeStart w:id="19"/>
      <w:proofErr w:type="spellStart"/>
      <w:r>
        <w:rPr>
          <w:rFonts w:ascii="Times New Roman" w:eastAsia="Times New Roman" w:hAnsi="Times New Roman" w:cs="Times New Roman"/>
          <w:color w:val="000000"/>
        </w:rPr>
        <w:t>github</w:t>
      </w:r>
      <w:proofErr w:type="spellEnd"/>
      <w:r>
        <w:rPr>
          <w:rFonts w:ascii="Times New Roman" w:eastAsia="Times New Roman" w:hAnsi="Times New Roman" w:cs="Times New Roman"/>
          <w:color w:val="000000"/>
        </w:rPr>
        <w:t xml:space="preserve"> repository</w:t>
      </w:r>
      <w:commentRangeEnd w:id="18"/>
      <w:r w:rsidR="00013EEE">
        <w:rPr>
          <w:rStyle w:val="CommentReference"/>
        </w:rPr>
        <w:commentReference w:id="18"/>
      </w:r>
      <w:commentRangeEnd w:id="19"/>
      <w:r w:rsidR="009F7BA5">
        <w:rPr>
          <w:rStyle w:val="CommentReference"/>
        </w:rPr>
        <w:commentReference w:id="19"/>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highlight w:val="yellow"/>
        </w:rPr>
        <w:t>XXXX</w:t>
      </w:r>
      <w:r>
        <w:rPr>
          <w:rFonts w:ascii="Times New Roman" w:eastAsia="Times New Roman" w:hAnsi="Times New Roman" w:cs="Times New Roman"/>
          <w:color w:val="000000"/>
        </w:rPr>
        <w:t xml:space="preserve"> or a USGS server following publication.</w:t>
      </w:r>
    </w:p>
    <w:p w14:paraId="42F351ED" w14:textId="77777777" w:rsidR="00413978" w:rsidRDefault="00413978">
      <w:pPr>
        <w:rPr>
          <w:rFonts w:ascii="Times New Roman" w:eastAsia="Times New Roman" w:hAnsi="Times New Roman" w:cs="Times New Roman"/>
          <w:color w:val="000000"/>
          <w:u w:val="single"/>
        </w:rPr>
      </w:pPr>
    </w:p>
    <w:p w14:paraId="0B9ABA3B" w14:textId="77777777" w:rsidR="00413978" w:rsidRDefault="00000000">
      <w:pPr>
        <w:ind w:left="720" w:hanging="720"/>
        <w:rPr>
          <w:rFonts w:ascii="Times New Roman" w:eastAsia="Times New Roman" w:hAnsi="Times New Roman" w:cs="Times New Roman"/>
          <w:b/>
          <w:smallCaps/>
        </w:rPr>
      </w:pPr>
      <w:r>
        <w:rPr>
          <w:rFonts w:ascii="Times New Roman" w:eastAsia="Times New Roman" w:hAnsi="Times New Roman" w:cs="Times New Roman"/>
          <w:b/>
          <w:smallCaps/>
        </w:rPr>
        <w:t>References</w:t>
      </w:r>
    </w:p>
    <w:p w14:paraId="5112934E" w14:textId="77777777" w:rsidR="00513513" w:rsidRPr="00513513" w:rsidRDefault="00513513" w:rsidP="00513513">
      <w:pPr>
        <w:pStyle w:val="Bibliography"/>
        <w:spacing w:line="240" w:lineRule="auto"/>
        <w:rPr>
          <w:rFonts w:ascii="Times" w:hAnsi="Times"/>
          <w:sz w:val="22"/>
          <w:szCs w:val="22"/>
        </w:rPr>
      </w:pPr>
      <w:r w:rsidRPr="00513513">
        <w:rPr>
          <w:rFonts w:ascii="Times" w:eastAsia="Roboto" w:hAnsi="Times" w:cs="Roboto"/>
          <w:sz w:val="22"/>
          <w:szCs w:val="22"/>
          <w:highlight w:val="white"/>
        </w:rPr>
        <w:fldChar w:fldCharType="begin"/>
      </w:r>
      <w:r w:rsidRPr="00513513">
        <w:rPr>
          <w:rFonts w:ascii="Times" w:eastAsia="Roboto" w:hAnsi="Times" w:cs="Roboto"/>
          <w:sz w:val="22"/>
          <w:szCs w:val="22"/>
          <w:highlight w:val="white"/>
        </w:rPr>
        <w:instrText xml:space="preserve"> ADDIN ZOTERO_BIBL {"uncited":[],"omitted":[],"custom":[]} CSL_BIBLIOGRAPHY </w:instrText>
      </w:r>
      <w:r w:rsidRPr="00513513">
        <w:rPr>
          <w:rFonts w:ascii="Times" w:eastAsia="Roboto" w:hAnsi="Times" w:cs="Roboto"/>
          <w:sz w:val="22"/>
          <w:szCs w:val="22"/>
          <w:highlight w:val="white"/>
        </w:rPr>
        <w:fldChar w:fldCharType="separate"/>
      </w:r>
      <w:r w:rsidRPr="00513513">
        <w:rPr>
          <w:rFonts w:ascii="Times" w:hAnsi="Times"/>
          <w:sz w:val="22"/>
          <w:szCs w:val="22"/>
        </w:rPr>
        <w:t xml:space="preserve">Adamo, M., </w:t>
      </w:r>
      <w:proofErr w:type="spellStart"/>
      <w:r w:rsidRPr="00513513">
        <w:rPr>
          <w:rFonts w:ascii="Times" w:hAnsi="Times"/>
          <w:sz w:val="22"/>
          <w:szCs w:val="22"/>
        </w:rPr>
        <w:t>Chialva</w:t>
      </w:r>
      <w:proofErr w:type="spellEnd"/>
      <w:r w:rsidRPr="00513513">
        <w:rPr>
          <w:rFonts w:ascii="Times" w:hAnsi="Times"/>
          <w:sz w:val="22"/>
          <w:szCs w:val="22"/>
        </w:rPr>
        <w:t xml:space="preserve">, M., </w:t>
      </w:r>
      <w:proofErr w:type="spellStart"/>
      <w:r w:rsidRPr="00513513">
        <w:rPr>
          <w:rFonts w:ascii="Times" w:hAnsi="Times"/>
          <w:sz w:val="22"/>
          <w:szCs w:val="22"/>
        </w:rPr>
        <w:t>Calevo</w:t>
      </w:r>
      <w:proofErr w:type="spellEnd"/>
      <w:r w:rsidRPr="00513513">
        <w:rPr>
          <w:rFonts w:ascii="Times" w:hAnsi="Times"/>
          <w:sz w:val="22"/>
          <w:szCs w:val="22"/>
        </w:rPr>
        <w:t xml:space="preserve">, J., </w:t>
      </w:r>
      <w:proofErr w:type="spellStart"/>
      <w:r w:rsidRPr="00513513">
        <w:rPr>
          <w:rFonts w:ascii="Times" w:hAnsi="Times"/>
          <w:sz w:val="22"/>
          <w:szCs w:val="22"/>
        </w:rPr>
        <w:t>Bertoni</w:t>
      </w:r>
      <w:proofErr w:type="spellEnd"/>
      <w:r w:rsidRPr="00513513">
        <w:rPr>
          <w:rFonts w:ascii="Times" w:hAnsi="Times"/>
          <w:sz w:val="22"/>
          <w:szCs w:val="22"/>
        </w:rPr>
        <w:t xml:space="preserve">, F., Dixon, K., &amp; </w:t>
      </w:r>
      <w:proofErr w:type="spellStart"/>
      <w:r w:rsidRPr="00513513">
        <w:rPr>
          <w:rFonts w:ascii="Times" w:hAnsi="Times"/>
          <w:sz w:val="22"/>
          <w:szCs w:val="22"/>
        </w:rPr>
        <w:t>Mammola</w:t>
      </w:r>
      <w:proofErr w:type="spellEnd"/>
      <w:r w:rsidRPr="00513513">
        <w:rPr>
          <w:rFonts w:ascii="Times" w:hAnsi="Times"/>
          <w:sz w:val="22"/>
          <w:szCs w:val="22"/>
        </w:rPr>
        <w:t xml:space="preserve">, S. (2021). Plant scientists’ research attention is skewed towards </w:t>
      </w:r>
      <w:proofErr w:type="spellStart"/>
      <w:r w:rsidRPr="00513513">
        <w:rPr>
          <w:rFonts w:ascii="Times" w:hAnsi="Times"/>
          <w:sz w:val="22"/>
          <w:szCs w:val="22"/>
        </w:rPr>
        <w:t>colourful</w:t>
      </w:r>
      <w:proofErr w:type="spellEnd"/>
      <w:r w:rsidRPr="00513513">
        <w:rPr>
          <w:rFonts w:ascii="Times" w:hAnsi="Times"/>
          <w:sz w:val="22"/>
          <w:szCs w:val="22"/>
        </w:rPr>
        <w:t xml:space="preserve">, conspicuous and broadly distributed flowers. </w:t>
      </w:r>
      <w:r w:rsidRPr="00513513">
        <w:rPr>
          <w:rFonts w:ascii="Times" w:hAnsi="Times"/>
          <w:i/>
          <w:iCs/>
          <w:sz w:val="22"/>
          <w:szCs w:val="22"/>
        </w:rPr>
        <w:t>Nature Plants</w:t>
      </w:r>
      <w:r w:rsidRPr="00513513">
        <w:rPr>
          <w:rFonts w:ascii="Times" w:hAnsi="Times"/>
          <w:sz w:val="22"/>
          <w:szCs w:val="22"/>
        </w:rPr>
        <w:t xml:space="preserve">, </w:t>
      </w:r>
      <w:r w:rsidRPr="00513513">
        <w:rPr>
          <w:rFonts w:ascii="Times" w:hAnsi="Times"/>
          <w:i/>
          <w:iCs/>
          <w:sz w:val="22"/>
          <w:szCs w:val="22"/>
        </w:rPr>
        <w:t>7</w:t>
      </w:r>
      <w:r w:rsidRPr="00513513">
        <w:rPr>
          <w:rFonts w:ascii="Times" w:hAnsi="Times"/>
          <w:sz w:val="22"/>
          <w:szCs w:val="22"/>
        </w:rPr>
        <w:t>(5), Article 5. https://doi.org/10.1038/s41477-021-00912-2</w:t>
      </w:r>
    </w:p>
    <w:p w14:paraId="50A9F43F"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Adamo, M., Sousa, R., Wipf, S., Correia, R. A., Lumia, A., </w:t>
      </w:r>
      <w:proofErr w:type="spellStart"/>
      <w:r w:rsidRPr="00513513">
        <w:rPr>
          <w:rFonts w:ascii="Times" w:hAnsi="Times"/>
          <w:sz w:val="22"/>
          <w:szCs w:val="22"/>
        </w:rPr>
        <w:t>Mucciarelli</w:t>
      </w:r>
      <w:proofErr w:type="spellEnd"/>
      <w:r w:rsidRPr="00513513">
        <w:rPr>
          <w:rFonts w:ascii="Times" w:hAnsi="Times"/>
          <w:sz w:val="22"/>
          <w:szCs w:val="22"/>
        </w:rPr>
        <w:t xml:space="preserve">, M., &amp; </w:t>
      </w:r>
      <w:proofErr w:type="spellStart"/>
      <w:r w:rsidRPr="00513513">
        <w:rPr>
          <w:rFonts w:ascii="Times" w:hAnsi="Times"/>
          <w:sz w:val="22"/>
          <w:szCs w:val="22"/>
        </w:rPr>
        <w:t>Mammola</w:t>
      </w:r>
      <w:proofErr w:type="spellEnd"/>
      <w:r w:rsidRPr="00513513">
        <w:rPr>
          <w:rFonts w:ascii="Times" w:hAnsi="Times"/>
          <w:sz w:val="22"/>
          <w:szCs w:val="22"/>
        </w:rPr>
        <w:t xml:space="preserve">, S. (2022). Dimension and impact of biases in funding for species and habitat conservation. </w:t>
      </w:r>
      <w:r w:rsidRPr="00513513">
        <w:rPr>
          <w:rFonts w:ascii="Times" w:hAnsi="Times"/>
          <w:i/>
          <w:iCs/>
          <w:sz w:val="22"/>
          <w:szCs w:val="22"/>
        </w:rPr>
        <w:t>Biological Conservation</w:t>
      </w:r>
      <w:r w:rsidRPr="00513513">
        <w:rPr>
          <w:rFonts w:ascii="Times" w:hAnsi="Times"/>
          <w:sz w:val="22"/>
          <w:szCs w:val="22"/>
        </w:rPr>
        <w:t xml:space="preserve">, </w:t>
      </w:r>
      <w:r w:rsidRPr="00513513">
        <w:rPr>
          <w:rFonts w:ascii="Times" w:hAnsi="Times"/>
          <w:i/>
          <w:iCs/>
          <w:sz w:val="22"/>
          <w:szCs w:val="22"/>
        </w:rPr>
        <w:t>272</w:t>
      </w:r>
      <w:r w:rsidRPr="00513513">
        <w:rPr>
          <w:rFonts w:ascii="Times" w:hAnsi="Times"/>
          <w:sz w:val="22"/>
          <w:szCs w:val="22"/>
        </w:rPr>
        <w:t>, 109636. https://doi.org/10.1016/j.biocon.2022.109636</w:t>
      </w:r>
    </w:p>
    <w:p w14:paraId="230BF7B8"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Araújo, T. N., Pires, L. P., </w:t>
      </w:r>
      <w:proofErr w:type="spellStart"/>
      <w:r w:rsidRPr="00513513">
        <w:rPr>
          <w:rFonts w:ascii="Times" w:hAnsi="Times"/>
          <w:sz w:val="22"/>
          <w:szCs w:val="22"/>
        </w:rPr>
        <w:t>Meireles</w:t>
      </w:r>
      <w:proofErr w:type="spellEnd"/>
      <w:r w:rsidRPr="00513513">
        <w:rPr>
          <w:rFonts w:ascii="Times" w:hAnsi="Times"/>
          <w:sz w:val="22"/>
          <w:szCs w:val="22"/>
        </w:rPr>
        <w:t xml:space="preserve">, D. A. L., &amp; Augusto, S. C. (2021). Individual-resource network between Xylocopa bees and plant resources: Generalist species, specialist individuals? </w:t>
      </w:r>
      <w:r w:rsidRPr="00513513">
        <w:rPr>
          <w:rFonts w:ascii="Times" w:hAnsi="Times"/>
          <w:i/>
          <w:iCs/>
          <w:sz w:val="22"/>
          <w:szCs w:val="22"/>
        </w:rPr>
        <w:t>Ecological Entomology</w:t>
      </w:r>
      <w:r w:rsidRPr="00513513">
        <w:rPr>
          <w:rFonts w:ascii="Times" w:hAnsi="Times"/>
          <w:sz w:val="22"/>
          <w:szCs w:val="22"/>
        </w:rPr>
        <w:t xml:space="preserve">, </w:t>
      </w:r>
      <w:r w:rsidRPr="00513513">
        <w:rPr>
          <w:rFonts w:ascii="Times" w:hAnsi="Times"/>
          <w:i/>
          <w:iCs/>
          <w:sz w:val="22"/>
          <w:szCs w:val="22"/>
        </w:rPr>
        <w:t>46</w:t>
      </w:r>
      <w:r w:rsidRPr="00513513">
        <w:rPr>
          <w:rFonts w:ascii="Times" w:hAnsi="Times"/>
          <w:sz w:val="22"/>
          <w:szCs w:val="22"/>
        </w:rPr>
        <w:t>(6), 1273–1282. https://doi.org/10.1111/een.13072</w:t>
      </w:r>
    </w:p>
    <w:p w14:paraId="1D2B17BA"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Ascher, J. S., &amp; Pickering, J. (2020). </w:t>
      </w:r>
      <w:r w:rsidRPr="00513513">
        <w:rPr>
          <w:rFonts w:ascii="Times" w:hAnsi="Times"/>
          <w:i/>
          <w:iCs/>
          <w:sz w:val="22"/>
          <w:szCs w:val="22"/>
        </w:rPr>
        <w:t xml:space="preserve">Discover Life bee species guide and world checklist (Hymenoptera: Apoidea: </w:t>
      </w:r>
      <w:proofErr w:type="spellStart"/>
      <w:r w:rsidRPr="00513513">
        <w:rPr>
          <w:rFonts w:ascii="Times" w:hAnsi="Times"/>
          <w:i/>
          <w:iCs/>
          <w:sz w:val="22"/>
          <w:szCs w:val="22"/>
        </w:rPr>
        <w:t>Anthophila</w:t>
      </w:r>
      <w:proofErr w:type="spellEnd"/>
      <w:r w:rsidRPr="00513513">
        <w:rPr>
          <w:rFonts w:ascii="Times" w:hAnsi="Times"/>
          <w:i/>
          <w:iCs/>
          <w:sz w:val="22"/>
          <w:szCs w:val="22"/>
        </w:rPr>
        <w:t>)</w:t>
      </w:r>
      <w:r w:rsidRPr="00513513">
        <w:rPr>
          <w:rFonts w:ascii="Times" w:hAnsi="Times"/>
          <w:sz w:val="22"/>
          <w:szCs w:val="22"/>
        </w:rPr>
        <w:t>. https://www.discoverlife.org/mp/20q?guide=Apoidea_species</w:t>
      </w:r>
    </w:p>
    <w:p w14:paraId="1939F1CC"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Bartomeus</w:t>
      </w:r>
      <w:proofErr w:type="spellEnd"/>
      <w:r w:rsidRPr="00513513">
        <w:rPr>
          <w:rFonts w:ascii="Times" w:hAnsi="Times"/>
          <w:sz w:val="22"/>
          <w:szCs w:val="22"/>
        </w:rPr>
        <w:t xml:space="preserve">, I. (2013). Understanding Linkage Rules in Plant-Pollinator Networks by Using Hierarchical Models That Incorporate Pollinator Detectability and Plant Traits. </w:t>
      </w:r>
      <w:proofErr w:type="spellStart"/>
      <w:r w:rsidRPr="00513513">
        <w:rPr>
          <w:rFonts w:ascii="Times" w:hAnsi="Times"/>
          <w:i/>
          <w:iCs/>
          <w:sz w:val="22"/>
          <w:szCs w:val="22"/>
        </w:rPr>
        <w:t>PLoS</w:t>
      </w:r>
      <w:proofErr w:type="spellEnd"/>
      <w:r w:rsidRPr="00513513">
        <w:rPr>
          <w:rFonts w:ascii="Times" w:hAnsi="Times"/>
          <w:i/>
          <w:iCs/>
          <w:sz w:val="22"/>
          <w:szCs w:val="22"/>
        </w:rPr>
        <w:t xml:space="preserve"> ONE</w:t>
      </w:r>
      <w:r w:rsidRPr="00513513">
        <w:rPr>
          <w:rFonts w:ascii="Times" w:hAnsi="Times"/>
          <w:sz w:val="22"/>
          <w:szCs w:val="22"/>
        </w:rPr>
        <w:t xml:space="preserve">, </w:t>
      </w:r>
      <w:r w:rsidRPr="00513513">
        <w:rPr>
          <w:rFonts w:ascii="Times" w:hAnsi="Times"/>
          <w:i/>
          <w:iCs/>
          <w:sz w:val="22"/>
          <w:szCs w:val="22"/>
        </w:rPr>
        <w:t>8</w:t>
      </w:r>
      <w:r w:rsidRPr="00513513">
        <w:rPr>
          <w:rFonts w:ascii="Times" w:hAnsi="Times"/>
          <w:sz w:val="22"/>
          <w:szCs w:val="22"/>
        </w:rPr>
        <w:t>(7), e69200. https://doi.org/10.1371/journal.pone.0069200</w:t>
      </w:r>
    </w:p>
    <w:p w14:paraId="5EFDCD90"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Bogusch, P., </w:t>
      </w:r>
      <w:proofErr w:type="spellStart"/>
      <w:r w:rsidRPr="00513513">
        <w:rPr>
          <w:rFonts w:ascii="Times" w:hAnsi="Times"/>
          <w:sz w:val="22"/>
          <w:szCs w:val="22"/>
        </w:rPr>
        <w:t>Kratochvíl</w:t>
      </w:r>
      <w:proofErr w:type="spellEnd"/>
      <w:r w:rsidRPr="00513513">
        <w:rPr>
          <w:rFonts w:ascii="Times" w:hAnsi="Times"/>
          <w:sz w:val="22"/>
          <w:szCs w:val="22"/>
        </w:rPr>
        <w:t xml:space="preserve">, L., &amp; </w:t>
      </w:r>
      <w:proofErr w:type="spellStart"/>
      <w:r w:rsidRPr="00513513">
        <w:rPr>
          <w:rFonts w:ascii="Times" w:hAnsi="Times"/>
          <w:sz w:val="22"/>
          <w:szCs w:val="22"/>
        </w:rPr>
        <w:t>Straka</w:t>
      </w:r>
      <w:proofErr w:type="spellEnd"/>
      <w:r w:rsidRPr="00513513">
        <w:rPr>
          <w:rFonts w:ascii="Times" w:hAnsi="Times"/>
          <w:sz w:val="22"/>
          <w:szCs w:val="22"/>
        </w:rPr>
        <w:t xml:space="preserve">, J. (2006). Generalist cuckoo bees (Hymenoptera: Apoidea: </w:t>
      </w:r>
      <w:proofErr w:type="spellStart"/>
      <w:r w:rsidRPr="00513513">
        <w:rPr>
          <w:rFonts w:ascii="Times" w:hAnsi="Times"/>
          <w:sz w:val="22"/>
          <w:szCs w:val="22"/>
        </w:rPr>
        <w:t>Sphecodes</w:t>
      </w:r>
      <w:proofErr w:type="spellEnd"/>
      <w:r w:rsidRPr="00513513">
        <w:rPr>
          <w:rFonts w:ascii="Times" w:hAnsi="Times"/>
          <w:sz w:val="22"/>
          <w:szCs w:val="22"/>
        </w:rPr>
        <w:t xml:space="preserve">) are species-specialist at the individual level. </w:t>
      </w:r>
      <w:r w:rsidRPr="00513513">
        <w:rPr>
          <w:rFonts w:ascii="Times" w:hAnsi="Times"/>
          <w:i/>
          <w:iCs/>
          <w:sz w:val="22"/>
          <w:szCs w:val="22"/>
        </w:rPr>
        <w:t>Behavioral Ecology and Sociobiology</w:t>
      </w:r>
      <w:r w:rsidRPr="00513513">
        <w:rPr>
          <w:rFonts w:ascii="Times" w:hAnsi="Times"/>
          <w:sz w:val="22"/>
          <w:szCs w:val="22"/>
        </w:rPr>
        <w:t xml:space="preserve">, </w:t>
      </w:r>
      <w:r w:rsidRPr="00513513">
        <w:rPr>
          <w:rFonts w:ascii="Times" w:hAnsi="Times"/>
          <w:i/>
          <w:iCs/>
          <w:sz w:val="22"/>
          <w:szCs w:val="22"/>
        </w:rPr>
        <w:t>60</w:t>
      </w:r>
      <w:r w:rsidRPr="00513513">
        <w:rPr>
          <w:rFonts w:ascii="Times" w:hAnsi="Times"/>
          <w:sz w:val="22"/>
          <w:szCs w:val="22"/>
        </w:rPr>
        <w:t>(3), 422–429. https://doi.org/10.1007/s00265-006-0182-4</w:t>
      </w:r>
    </w:p>
    <w:p w14:paraId="49C3FED4"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Bosch, J., </w:t>
      </w:r>
      <w:proofErr w:type="spellStart"/>
      <w:r w:rsidRPr="00513513">
        <w:rPr>
          <w:rFonts w:ascii="Times" w:hAnsi="Times"/>
          <w:sz w:val="22"/>
          <w:szCs w:val="22"/>
        </w:rPr>
        <w:t>Retana</w:t>
      </w:r>
      <w:proofErr w:type="spellEnd"/>
      <w:r w:rsidRPr="00513513">
        <w:rPr>
          <w:rFonts w:ascii="Times" w:hAnsi="Times"/>
          <w:sz w:val="22"/>
          <w:szCs w:val="22"/>
        </w:rPr>
        <w:t xml:space="preserve">, J., &amp; </w:t>
      </w:r>
      <w:proofErr w:type="spellStart"/>
      <w:r w:rsidRPr="00513513">
        <w:rPr>
          <w:rFonts w:ascii="Times" w:hAnsi="Times"/>
          <w:sz w:val="22"/>
          <w:szCs w:val="22"/>
        </w:rPr>
        <w:t>Cerdá</w:t>
      </w:r>
      <w:proofErr w:type="spellEnd"/>
      <w:r w:rsidRPr="00513513">
        <w:rPr>
          <w:rFonts w:ascii="Times" w:hAnsi="Times"/>
          <w:sz w:val="22"/>
          <w:szCs w:val="22"/>
        </w:rPr>
        <w:t xml:space="preserve">, X. (1997). Flowering phenology, floral traits and pollinator composition in a herbaceous Mediterranean plant community. </w:t>
      </w:r>
      <w:proofErr w:type="spellStart"/>
      <w:r w:rsidRPr="00513513">
        <w:rPr>
          <w:rFonts w:ascii="Times" w:hAnsi="Times"/>
          <w:i/>
          <w:iCs/>
          <w:sz w:val="22"/>
          <w:szCs w:val="22"/>
        </w:rPr>
        <w:t>Oecologia</w:t>
      </w:r>
      <w:proofErr w:type="spellEnd"/>
      <w:r w:rsidRPr="00513513">
        <w:rPr>
          <w:rFonts w:ascii="Times" w:hAnsi="Times"/>
          <w:sz w:val="22"/>
          <w:szCs w:val="22"/>
        </w:rPr>
        <w:t xml:space="preserve">, </w:t>
      </w:r>
      <w:r w:rsidRPr="00513513">
        <w:rPr>
          <w:rFonts w:ascii="Times" w:hAnsi="Times"/>
          <w:i/>
          <w:iCs/>
          <w:sz w:val="22"/>
          <w:szCs w:val="22"/>
        </w:rPr>
        <w:t>109</w:t>
      </w:r>
      <w:r w:rsidRPr="00513513">
        <w:rPr>
          <w:rFonts w:ascii="Times" w:hAnsi="Times"/>
          <w:sz w:val="22"/>
          <w:szCs w:val="22"/>
        </w:rPr>
        <w:t>(4), 583–591. https://doi.org/10.1007/s004420050120</w:t>
      </w:r>
    </w:p>
    <w:p w14:paraId="7F13EBF8"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Brooks, S. P., &amp; Gelman, A. (2022). </w:t>
      </w:r>
      <w:r w:rsidRPr="00513513">
        <w:rPr>
          <w:rFonts w:ascii="Times" w:hAnsi="Times"/>
          <w:i/>
          <w:iCs/>
          <w:sz w:val="22"/>
          <w:szCs w:val="22"/>
        </w:rPr>
        <w:t>General Methods for Monitoring Convergence of Iterative Simulations</w:t>
      </w:r>
      <w:r w:rsidRPr="00513513">
        <w:rPr>
          <w:rFonts w:ascii="Times" w:hAnsi="Times"/>
          <w:sz w:val="22"/>
          <w:szCs w:val="22"/>
        </w:rPr>
        <w:t>. 23.</w:t>
      </w:r>
    </w:p>
    <w:p w14:paraId="3A508AF2"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i/>
          <w:iCs/>
          <w:sz w:val="22"/>
          <w:szCs w:val="22"/>
        </w:rPr>
        <w:t>Calflora</w:t>
      </w:r>
      <w:proofErr w:type="spellEnd"/>
      <w:r w:rsidRPr="00513513">
        <w:rPr>
          <w:rFonts w:ascii="Times" w:hAnsi="Times"/>
          <w:i/>
          <w:iCs/>
          <w:sz w:val="22"/>
          <w:szCs w:val="22"/>
        </w:rPr>
        <w:t>: Information on California plants for education, research and conservation</w:t>
      </w:r>
      <w:r w:rsidRPr="00513513">
        <w:rPr>
          <w:rFonts w:ascii="Times" w:hAnsi="Times"/>
          <w:sz w:val="22"/>
          <w:szCs w:val="22"/>
        </w:rPr>
        <w:t xml:space="preserve">. (2022). Berkeley, California: The </w:t>
      </w:r>
      <w:proofErr w:type="spellStart"/>
      <w:r w:rsidRPr="00513513">
        <w:rPr>
          <w:rFonts w:ascii="Times" w:hAnsi="Times"/>
          <w:sz w:val="22"/>
          <w:szCs w:val="22"/>
        </w:rPr>
        <w:t>Calflora</w:t>
      </w:r>
      <w:proofErr w:type="spellEnd"/>
      <w:r w:rsidRPr="00513513">
        <w:rPr>
          <w:rFonts w:ascii="Times" w:hAnsi="Times"/>
          <w:sz w:val="22"/>
          <w:szCs w:val="22"/>
        </w:rPr>
        <w:t xml:space="preserve"> Database [a Non-Profit Organization]. https://www.calflora.org/</w:t>
      </w:r>
    </w:p>
    <w:p w14:paraId="3EEF3783"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Cayuela</w:t>
      </w:r>
      <w:proofErr w:type="spellEnd"/>
      <w:r w:rsidRPr="00513513">
        <w:rPr>
          <w:rFonts w:ascii="Times" w:hAnsi="Times"/>
          <w:sz w:val="22"/>
          <w:szCs w:val="22"/>
        </w:rPr>
        <w:t xml:space="preserve">, L., </w:t>
      </w:r>
      <w:proofErr w:type="spellStart"/>
      <w:r w:rsidRPr="00513513">
        <w:rPr>
          <w:rFonts w:ascii="Times" w:hAnsi="Times"/>
          <w:sz w:val="22"/>
          <w:szCs w:val="22"/>
        </w:rPr>
        <w:t>Macarro</w:t>
      </w:r>
      <w:proofErr w:type="spellEnd"/>
      <w:r w:rsidRPr="00513513">
        <w:rPr>
          <w:rFonts w:ascii="Times" w:hAnsi="Times"/>
          <w:sz w:val="22"/>
          <w:szCs w:val="22"/>
        </w:rPr>
        <w:t xml:space="preserve">, I., Stein, A., &amp; Oksanen, J. (2021). </w:t>
      </w:r>
      <w:proofErr w:type="spellStart"/>
      <w:r w:rsidRPr="00513513">
        <w:rPr>
          <w:rFonts w:ascii="Times" w:hAnsi="Times"/>
          <w:i/>
          <w:iCs/>
          <w:sz w:val="22"/>
          <w:szCs w:val="22"/>
        </w:rPr>
        <w:t>Taxonstand</w:t>
      </w:r>
      <w:proofErr w:type="spellEnd"/>
      <w:r w:rsidRPr="00513513">
        <w:rPr>
          <w:rFonts w:ascii="Times" w:hAnsi="Times"/>
          <w:i/>
          <w:iCs/>
          <w:sz w:val="22"/>
          <w:szCs w:val="22"/>
        </w:rPr>
        <w:t>: Taxonomic Standardization of Plant Species Names</w:t>
      </w:r>
      <w:r w:rsidRPr="00513513">
        <w:rPr>
          <w:rFonts w:ascii="Times" w:hAnsi="Times"/>
          <w:sz w:val="22"/>
          <w:szCs w:val="22"/>
        </w:rPr>
        <w:t>. https://CRAN.R-project.org/package=Taxonstand</w:t>
      </w:r>
    </w:p>
    <w:p w14:paraId="7A316F02"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lastRenderedPageBreak/>
        <w:t xml:space="preserve">Cullen, N., Xia, J., Wei, N., </w:t>
      </w:r>
      <w:proofErr w:type="spellStart"/>
      <w:r w:rsidRPr="00513513">
        <w:rPr>
          <w:rFonts w:ascii="Times" w:hAnsi="Times"/>
          <w:sz w:val="22"/>
          <w:szCs w:val="22"/>
        </w:rPr>
        <w:t>Kaczorowski</w:t>
      </w:r>
      <w:proofErr w:type="spellEnd"/>
      <w:r w:rsidRPr="00513513">
        <w:rPr>
          <w:rFonts w:ascii="Times" w:hAnsi="Times"/>
          <w:sz w:val="22"/>
          <w:szCs w:val="22"/>
        </w:rPr>
        <w:t xml:space="preserve">, R., </w:t>
      </w:r>
      <w:proofErr w:type="spellStart"/>
      <w:r w:rsidRPr="00513513">
        <w:rPr>
          <w:rFonts w:ascii="Times" w:hAnsi="Times"/>
          <w:sz w:val="22"/>
          <w:szCs w:val="22"/>
        </w:rPr>
        <w:t>Arceo</w:t>
      </w:r>
      <w:proofErr w:type="spellEnd"/>
      <w:r w:rsidRPr="00513513">
        <w:rPr>
          <w:rFonts w:ascii="Times" w:hAnsi="Times"/>
          <w:sz w:val="22"/>
          <w:szCs w:val="22"/>
        </w:rPr>
        <w:t xml:space="preserve">-Gómez, G., O’Neill, E., Hayes, R., &amp; Ashman, T.-L. (2021). Diversity and composition of pollen loads carried by pollinators are primarily driven by insect traits, not floral community characteristics. </w:t>
      </w:r>
      <w:proofErr w:type="spellStart"/>
      <w:r w:rsidRPr="00513513">
        <w:rPr>
          <w:rFonts w:ascii="Times" w:hAnsi="Times"/>
          <w:i/>
          <w:iCs/>
          <w:sz w:val="22"/>
          <w:szCs w:val="22"/>
        </w:rPr>
        <w:t>Oecologia</w:t>
      </w:r>
      <w:proofErr w:type="spellEnd"/>
      <w:r w:rsidRPr="00513513">
        <w:rPr>
          <w:rFonts w:ascii="Times" w:hAnsi="Times"/>
          <w:sz w:val="22"/>
          <w:szCs w:val="22"/>
        </w:rPr>
        <w:t xml:space="preserve">, </w:t>
      </w:r>
      <w:r w:rsidRPr="00513513">
        <w:rPr>
          <w:rFonts w:ascii="Times" w:hAnsi="Times"/>
          <w:i/>
          <w:iCs/>
          <w:sz w:val="22"/>
          <w:szCs w:val="22"/>
        </w:rPr>
        <w:t>196</w:t>
      </w:r>
      <w:r w:rsidRPr="00513513">
        <w:rPr>
          <w:rFonts w:ascii="Times" w:hAnsi="Times"/>
          <w:sz w:val="22"/>
          <w:szCs w:val="22"/>
        </w:rPr>
        <w:t>(1), 131–143. https://doi.org/10.1007/s00442-021-04911-0</w:t>
      </w:r>
    </w:p>
    <w:p w14:paraId="557C986F"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de </w:t>
      </w:r>
      <w:proofErr w:type="spellStart"/>
      <w:r w:rsidRPr="00513513">
        <w:rPr>
          <w:rFonts w:ascii="Times" w:hAnsi="Times"/>
          <w:sz w:val="22"/>
          <w:szCs w:val="22"/>
        </w:rPr>
        <w:t>Valpine</w:t>
      </w:r>
      <w:proofErr w:type="spellEnd"/>
      <w:r w:rsidRPr="00513513">
        <w:rPr>
          <w:rFonts w:ascii="Times" w:hAnsi="Times"/>
          <w:sz w:val="22"/>
          <w:szCs w:val="22"/>
        </w:rPr>
        <w:t xml:space="preserve">, P., </w:t>
      </w:r>
      <w:proofErr w:type="spellStart"/>
      <w:r w:rsidRPr="00513513">
        <w:rPr>
          <w:rFonts w:ascii="Times" w:hAnsi="Times"/>
          <w:sz w:val="22"/>
          <w:szCs w:val="22"/>
        </w:rPr>
        <w:t>Paciorek</w:t>
      </w:r>
      <w:proofErr w:type="spellEnd"/>
      <w:r w:rsidRPr="00513513">
        <w:rPr>
          <w:rFonts w:ascii="Times" w:hAnsi="Times"/>
          <w:sz w:val="22"/>
          <w:szCs w:val="22"/>
        </w:rPr>
        <w:t xml:space="preserve">, C., </w:t>
      </w:r>
      <w:proofErr w:type="spellStart"/>
      <w:r w:rsidRPr="00513513">
        <w:rPr>
          <w:rFonts w:ascii="Times" w:hAnsi="Times"/>
          <w:sz w:val="22"/>
          <w:szCs w:val="22"/>
        </w:rPr>
        <w:t>Turek</w:t>
      </w:r>
      <w:proofErr w:type="spellEnd"/>
      <w:r w:rsidRPr="00513513">
        <w:rPr>
          <w:rFonts w:ascii="Times" w:hAnsi="Times"/>
          <w:sz w:val="22"/>
          <w:szCs w:val="22"/>
        </w:rPr>
        <w:t xml:space="preserve">, D., Michaud, N., Anderson-Bergman, C., Obermeyer, F., Cortes, C. W., </w:t>
      </w:r>
      <w:proofErr w:type="spellStart"/>
      <w:r w:rsidRPr="00513513">
        <w:rPr>
          <w:rFonts w:ascii="Times" w:hAnsi="Times"/>
          <w:sz w:val="22"/>
          <w:szCs w:val="22"/>
        </w:rPr>
        <w:t>Rodrìguez</w:t>
      </w:r>
      <w:proofErr w:type="spellEnd"/>
      <w:r w:rsidRPr="00513513">
        <w:rPr>
          <w:rFonts w:ascii="Times" w:hAnsi="Times"/>
          <w:sz w:val="22"/>
          <w:szCs w:val="22"/>
        </w:rPr>
        <w:t xml:space="preserve">, A., Lang, D. T., &amp; </w:t>
      </w:r>
      <w:proofErr w:type="spellStart"/>
      <w:r w:rsidRPr="00513513">
        <w:rPr>
          <w:rFonts w:ascii="Times" w:hAnsi="Times"/>
          <w:sz w:val="22"/>
          <w:szCs w:val="22"/>
        </w:rPr>
        <w:t>Paganin</w:t>
      </w:r>
      <w:proofErr w:type="spellEnd"/>
      <w:r w:rsidRPr="00513513">
        <w:rPr>
          <w:rFonts w:ascii="Times" w:hAnsi="Times"/>
          <w:sz w:val="22"/>
          <w:szCs w:val="22"/>
        </w:rPr>
        <w:t xml:space="preserve">, S. (2022). </w:t>
      </w:r>
      <w:r w:rsidRPr="00513513">
        <w:rPr>
          <w:rFonts w:ascii="Times" w:hAnsi="Times"/>
          <w:i/>
          <w:iCs/>
          <w:sz w:val="22"/>
          <w:szCs w:val="22"/>
        </w:rPr>
        <w:t>NIMBLE: MCMC, Particle Filtering, and Programmable Hierarchical Modeling</w:t>
      </w:r>
      <w:r w:rsidRPr="00513513">
        <w:rPr>
          <w:rFonts w:ascii="Times" w:hAnsi="Times"/>
          <w:sz w:val="22"/>
          <w:szCs w:val="22"/>
        </w:rPr>
        <w:t xml:space="preserve"> (0.13.0) [Computer software]. https://doi.org/10.5281/zenodo.1211190</w:t>
      </w:r>
    </w:p>
    <w:p w14:paraId="27F0CC24"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de </w:t>
      </w:r>
      <w:proofErr w:type="spellStart"/>
      <w:r w:rsidRPr="00513513">
        <w:rPr>
          <w:rFonts w:ascii="Times" w:hAnsi="Times"/>
          <w:sz w:val="22"/>
          <w:szCs w:val="22"/>
        </w:rPr>
        <w:t>Valpine</w:t>
      </w:r>
      <w:proofErr w:type="spellEnd"/>
      <w:r w:rsidRPr="00513513">
        <w:rPr>
          <w:rFonts w:ascii="Times" w:hAnsi="Times"/>
          <w:sz w:val="22"/>
          <w:szCs w:val="22"/>
        </w:rPr>
        <w:t xml:space="preserve">, P., </w:t>
      </w:r>
      <w:proofErr w:type="spellStart"/>
      <w:r w:rsidRPr="00513513">
        <w:rPr>
          <w:rFonts w:ascii="Times" w:hAnsi="Times"/>
          <w:sz w:val="22"/>
          <w:szCs w:val="22"/>
        </w:rPr>
        <w:t>Turek</w:t>
      </w:r>
      <w:proofErr w:type="spellEnd"/>
      <w:r w:rsidRPr="00513513">
        <w:rPr>
          <w:rFonts w:ascii="Times" w:hAnsi="Times"/>
          <w:sz w:val="22"/>
          <w:szCs w:val="22"/>
        </w:rPr>
        <w:t xml:space="preserve">, D., </w:t>
      </w:r>
      <w:proofErr w:type="spellStart"/>
      <w:r w:rsidRPr="00513513">
        <w:rPr>
          <w:rFonts w:ascii="Times" w:hAnsi="Times"/>
          <w:sz w:val="22"/>
          <w:szCs w:val="22"/>
        </w:rPr>
        <w:t>Paciorek</w:t>
      </w:r>
      <w:proofErr w:type="spellEnd"/>
      <w:r w:rsidRPr="00513513">
        <w:rPr>
          <w:rFonts w:ascii="Times" w:hAnsi="Times"/>
          <w:sz w:val="22"/>
          <w:szCs w:val="22"/>
        </w:rPr>
        <w:t xml:space="preserve">, C. J., Anderson-Bergman, C., Lang, D. T., &amp; </w:t>
      </w:r>
      <w:proofErr w:type="spellStart"/>
      <w:r w:rsidRPr="00513513">
        <w:rPr>
          <w:rFonts w:ascii="Times" w:hAnsi="Times"/>
          <w:sz w:val="22"/>
          <w:szCs w:val="22"/>
        </w:rPr>
        <w:t>Bodik</w:t>
      </w:r>
      <w:proofErr w:type="spellEnd"/>
      <w:r w:rsidRPr="00513513">
        <w:rPr>
          <w:rFonts w:ascii="Times" w:hAnsi="Times"/>
          <w:sz w:val="22"/>
          <w:szCs w:val="22"/>
        </w:rPr>
        <w:t xml:space="preserve">, R. (2017). Programming With Models: Writing Statistical Algorithms for General Model Structures With NIMBLE. </w:t>
      </w:r>
      <w:r w:rsidRPr="00513513">
        <w:rPr>
          <w:rFonts w:ascii="Times" w:hAnsi="Times"/>
          <w:i/>
          <w:iCs/>
          <w:sz w:val="22"/>
          <w:szCs w:val="22"/>
        </w:rPr>
        <w:t>Journal of Computational and Graphical Statistics</w:t>
      </w:r>
      <w:r w:rsidRPr="00513513">
        <w:rPr>
          <w:rFonts w:ascii="Times" w:hAnsi="Times"/>
          <w:sz w:val="22"/>
          <w:szCs w:val="22"/>
        </w:rPr>
        <w:t xml:space="preserve">, </w:t>
      </w:r>
      <w:r w:rsidRPr="00513513">
        <w:rPr>
          <w:rFonts w:ascii="Times" w:hAnsi="Times"/>
          <w:i/>
          <w:iCs/>
          <w:sz w:val="22"/>
          <w:szCs w:val="22"/>
        </w:rPr>
        <w:t>26</w:t>
      </w:r>
      <w:r w:rsidRPr="00513513">
        <w:rPr>
          <w:rFonts w:ascii="Times" w:hAnsi="Times"/>
          <w:sz w:val="22"/>
          <w:szCs w:val="22"/>
        </w:rPr>
        <w:t>(2), 403–413. https://doi.org/10.1080/10618600.2016.1172487</w:t>
      </w:r>
    </w:p>
    <w:p w14:paraId="5BD4578B"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Dorazio</w:t>
      </w:r>
      <w:proofErr w:type="spellEnd"/>
      <w:r w:rsidRPr="00513513">
        <w:rPr>
          <w:rFonts w:ascii="Times" w:hAnsi="Times"/>
          <w:sz w:val="22"/>
          <w:szCs w:val="22"/>
        </w:rPr>
        <w:t xml:space="preserve">, R. M., </w:t>
      </w:r>
      <w:proofErr w:type="spellStart"/>
      <w:r w:rsidRPr="00513513">
        <w:rPr>
          <w:rFonts w:ascii="Times" w:hAnsi="Times"/>
          <w:sz w:val="22"/>
          <w:szCs w:val="22"/>
        </w:rPr>
        <w:t>Royle</w:t>
      </w:r>
      <w:proofErr w:type="spellEnd"/>
      <w:r w:rsidRPr="00513513">
        <w:rPr>
          <w:rFonts w:ascii="Times" w:hAnsi="Times"/>
          <w:sz w:val="22"/>
          <w:szCs w:val="22"/>
        </w:rPr>
        <w:t xml:space="preserve">, J. A., </w:t>
      </w:r>
      <w:proofErr w:type="spellStart"/>
      <w:r w:rsidRPr="00513513">
        <w:rPr>
          <w:rFonts w:ascii="Times" w:hAnsi="Times"/>
          <w:sz w:val="22"/>
          <w:szCs w:val="22"/>
        </w:rPr>
        <w:t>Söderström</w:t>
      </w:r>
      <w:proofErr w:type="spellEnd"/>
      <w:r w:rsidRPr="00513513">
        <w:rPr>
          <w:rFonts w:ascii="Times" w:hAnsi="Times"/>
          <w:sz w:val="22"/>
          <w:szCs w:val="22"/>
        </w:rPr>
        <w:t xml:space="preserve">, B., &amp; </w:t>
      </w:r>
      <w:proofErr w:type="spellStart"/>
      <w:r w:rsidRPr="00513513">
        <w:rPr>
          <w:rFonts w:ascii="Times" w:hAnsi="Times"/>
          <w:sz w:val="22"/>
          <w:szCs w:val="22"/>
        </w:rPr>
        <w:t>Glimskär</w:t>
      </w:r>
      <w:proofErr w:type="spellEnd"/>
      <w:r w:rsidRPr="00513513">
        <w:rPr>
          <w:rFonts w:ascii="Times" w:hAnsi="Times"/>
          <w:sz w:val="22"/>
          <w:szCs w:val="22"/>
        </w:rPr>
        <w:t xml:space="preserve">, A. (2006). ESTIMATING SPECIES RICHNESS AND ACCUMULATION BY MODELING SPECIES OCCURRENCE AND DETECTABILITY. </w:t>
      </w:r>
      <w:r w:rsidRPr="00513513">
        <w:rPr>
          <w:rFonts w:ascii="Times" w:hAnsi="Times"/>
          <w:i/>
          <w:iCs/>
          <w:sz w:val="22"/>
          <w:szCs w:val="22"/>
        </w:rPr>
        <w:t>Ecology</w:t>
      </w:r>
      <w:r w:rsidRPr="00513513">
        <w:rPr>
          <w:rFonts w:ascii="Times" w:hAnsi="Times"/>
          <w:sz w:val="22"/>
          <w:szCs w:val="22"/>
        </w:rPr>
        <w:t xml:space="preserve">, </w:t>
      </w:r>
      <w:r w:rsidRPr="00513513">
        <w:rPr>
          <w:rFonts w:ascii="Times" w:hAnsi="Times"/>
          <w:i/>
          <w:iCs/>
          <w:sz w:val="22"/>
          <w:szCs w:val="22"/>
        </w:rPr>
        <w:t>87</w:t>
      </w:r>
      <w:r w:rsidRPr="00513513">
        <w:rPr>
          <w:rFonts w:ascii="Times" w:hAnsi="Times"/>
          <w:sz w:val="22"/>
          <w:szCs w:val="22"/>
        </w:rPr>
        <w:t>(4), 842–854. https://doi.org/10.1890/0012-9658(2006)87[842:ESRAAB]2.0.CO;2</w:t>
      </w:r>
    </w:p>
    <w:p w14:paraId="7C2F60DC"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Dormann</w:t>
      </w:r>
      <w:proofErr w:type="spellEnd"/>
      <w:r w:rsidRPr="00513513">
        <w:rPr>
          <w:rFonts w:ascii="Times" w:hAnsi="Times"/>
          <w:sz w:val="22"/>
          <w:szCs w:val="22"/>
        </w:rPr>
        <w:t xml:space="preserve">, C. F., </w:t>
      </w:r>
      <w:proofErr w:type="spellStart"/>
      <w:r w:rsidRPr="00513513">
        <w:rPr>
          <w:rFonts w:ascii="Times" w:hAnsi="Times"/>
          <w:sz w:val="22"/>
          <w:szCs w:val="22"/>
        </w:rPr>
        <w:t>Frueund</w:t>
      </w:r>
      <w:proofErr w:type="spellEnd"/>
      <w:r w:rsidRPr="00513513">
        <w:rPr>
          <w:rFonts w:ascii="Times" w:hAnsi="Times"/>
          <w:sz w:val="22"/>
          <w:szCs w:val="22"/>
        </w:rPr>
        <w:t xml:space="preserve">, J., </w:t>
      </w:r>
      <w:proofErr w:type="spellStart"/>
      <w:r w:rsidRPr="00513513">
        <w:rPr>
          <w:rFonts w:ascii="Times" w:hAnsi="Times"/>
          <w:sz w:val="22"/>
          <w:szCs w:val="22"/>
        </w:rPr>
        <w:t>Bluethgen</w:t>
      </w:r>
      <w:proofErr w:type="spellEnd"/>
      <w:r w:rsidRPr="00513513">
        <w:rPr>
          <w:rFonts w:ascii="Times" w:hAnsi="Times"/>
          <w:sz w:val="22"/>
          <w:szCs w:val="22"/>
        </w:rPr>
        <w:t xml:space="preserve">, N., &amp; Gruber, B. (2009). Indices, graphs and null models: Analyzing bipartite ecological networks. </w:t>
      </w:r>
      <w:r w:rsidRPr="00513513">
        <w:rPr>
          <w:rFonts w:ascii="Times" w:hAnsi="Times"/>
          <w:i/>
          <w:iCs/>
          <w:sz w:val="22"/>
          <w:szCs w:val="22"/>
        </w:rPr>
        <w:t>The Open Ecology Journal</w:t>
      </w:r>
      <w:r w:rsidRPr="00513513">
        <w:rPr>
          <w:rFonts w:ascii="Times" w:hAnsi="Times"/>
          <w:sz w:val="22"/>
          <w:szCs w:val="22"/>
        </w:rPr>
        <w:t xml:space="preserve">, </w:t>
      </w:r>
      <w:r w:rsidRPr="00513513">
        <w:rPr>
          <w:rFonts w:ascii="Times" w:hAnsi="Times"/>
          <w:i/>
          <w:iCs/>
          <w:sz w:val="22"/>
          <w:szCs w:val="22"/>
        </w:rPr>
        <w:t>2</w:t>
      </w:r>
      <w:r w:rsidRPr="00513513">
        <w:rPr>
          <w:rFonts w:ascii="Times" w:hAnsi="Times"/>
          <w:sz w:val="22"/>
          <w:szCs w:val="22"/>
        </w:rPr>
        <w:t>, 7–24.</w:t>
      </w:r>
    </w:p>
    <w:p w14:paraId="40A3D14E"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George, E. I., &amp; McCulloch, R. E. (1993). Variable Selection Via Gibbs Sampling. </w:t>
      </w:r>
      <w:r w:rsidRPr="00513513">
        <w:rPr>
          <w:rFonts w:ascii="Times" w:hAnsi="Times"/>
          <w:i/>
          <w:iCs/>
          <w:sz w:val="22"/>
          <w:szCs w:val="22"/>
        </w:rPr>
        <w:t>Journal of the American Statistical Association</w:t>
      </w:r>
      <w:r w:rsidRPr="00513513">
        <w:rPr>
          <w:rFonts w:ascii="Times" w:hAnsi="Times"/>
          <w:sz w:val="22"/>
          <w:szCs w:val="22"/>
        </w:rPr>
        <w:t xml:space="preserve">, </w:t>
      </w:r>
      <w:r w:rsidRPr="00513513">
        <w:rPr>
          <w:rFonts w:ascii="Times" w:hAnsi="Times"/>
          <w:i/>
          <w:iCs/>
          <w:sz w:val="22"/>
          <w:szCs w:val="22"/>
        </w:rPr>
        <w:t>88</w:t>
      </w:r>
      <w:r w:rsidRPr="00513513">
        <w:rPr>
          <w:rFonts w:ascii="Times" w:hAnsi="Times"/>
          <w:sz w:val="22"/>
          <w:szCs w:val="22"/>
        </w:rPr>
        <w:t>(423), 10.</w:t>
      </w:r>
    </w:p>
    <w:p w14:paraId="67A18110"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Greenleaf, S. S., Williams, N. M., Winfree, R., &amp; </w:t>
      </w:r>
      <w:proofErr w:type="spellStart"/>
      <w:r w:rsidRPr="00513513">
        <w:rPr>
          <w:rFonts w:ascii="Times" w:hAnsi="Times"/>
          <w:sz w:val="22"/>
          <w:szCs w:val="22"/>
        </w:rPr>
        <w:t>Kremen</w:t>
      </w:r>
      <w:proofErr w:type="spellEnd"/>
      <w:r w:rsidRPr="00513513">
        <w:rPr>
          <w:rFonts w:ascii="Times" w:hAnsi="Times"/>
          <w:sz w:val="22"/>
          <w:szCs w:val="22"/>
        </w:rPr>
        <w:t xml:space="preserve">, C. (2007). Bee foraging ranges and their relationship to body size. </w:t>
      </w:r>
      <w:proofErr w:type="spellStart"/>
      <w:r w:rsidRPr="00513513">
        <w:rPr>
          <w:rFonts w:ascii="Times" w:hAnsi="Times"/>
          <w:i/>
          <w:iCs/>
          <w:sz w:val="22"/>
          <w:szCs w:val="22"/>
        </w:rPr>
        <w:t>Oecologia</w:t>
      </w:r>
      <w:proofErr w:type="spellEnd"/>
      <w:r w:rsidRPr="00513513">
        <w:rPr>
          <w:rFonts w:ascii="Times" w:hAnsi="Times"/>
          <w:sz w:val="22"/>
          <w:szCs w:val="22"/>
        </w:rPr>
        <w:t xml:space="preserve">, </w:t>
      </w:r>
      <w:r w:rsidRPr="00513513">
        <w:rPr>
          <w:rFonts w:ascii="Times" w:hAnsi="Times"/>
          <w:i/>
          <w:iCs/>
          <w:sz w:val="22"/>
          <w:szCs w:val="22"/>
        </w:rPr>
        <w:t>153</w:t>
      </w:r>
      <w:r w:rsidRPr="00513513">
        <w:rPr>
          <w:rFonts w:ascii="Times" w:hAnsi="Times"/>
          <w:sz w:val="22"/>
          <w:szCs w:val="22"/>
        </w:rPr>
        <w:t>(3), 589–596. https://doi.org/10.1007/s00442-007-0752-9</w:t>
      </w:r>
    </w:p>
    <w:p w14:paraId="39E139F3"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Guzman, L. M., Johnson, S. A., </w:t>
      </w:r>
      <w:proofErr w:type="spellStart"/>
      <w:r w:rsidRPr="00513513">
        <w:rPr>
          <w:rFonts w:ascii="Times" w:hAnsi="Times"/>
          <w:sz w:val="22"/>
          <w:szCs w:val="22"/>
        </w:rPr>
        <w:t>Mooers</w:t>
      </w:r>
      <w:proofErr w:type="spellEnd"/>
      <w:r w:rsidRPr="00513513">
        <w:rPr>
          <w:rFonts w:ascii="Times" w:hAnsi="Times"/>
          <w:sz w:val="22"/>
          <w:szCs w:val="22"/>
        </w:rPr>
        <w:t xml:space="preserve">, A. O., &amp; </w:t>
      </w:r>
      <w:proofErr w:type="spellStart"/>
      <w:r w:rsidRPr="00513513">
        <w:rPr>
          <w:rFonts w:ascii="Times" w:hAnsi="Times"/>
          <w:sz w:val="22"/>
          <w:szCs w:val="22"/>
        </w:rPr>
        <w:t>M’Gonigle</w:t>
      </w:r>
      <w:proofErr w:type="spellEnd"/>
      <w:r w:rsidRPr="00513513">
        <w:rPr>
          <w:rFonts w:ascii="Times" w:hAnsi="Times"/>
          <w:sz w:val="22"/>
          <w:szCs w:val="22"/>
        </w:rPr>
        <w:t xml:space="preserve">, L. K. (2021). Using historical data to estimate bumble bee occurrence: Variable trends across species provide little support for community-level declines. </w:t>
      </w:r>
      <w:r w:rsidRPr="00513513">
        <w:rPr>
          <w:rFonts w:ascii="Times" w:hAnsi="Times"/>
          <w:i/>
          <w:iCs/>
          <w:sz w:val="22"/>
          <w:szCs w:val="22"/>
        </w:rPr>
        <w:t>Biological Conservation</w:t>
      </w:r>
      <w:r w:rsidRPr="00513513">
        <w:rPr>
          <w:rFonts w:ascii="Times" w:hAnsi="Times"/>
          <w:sz w:val="22"/>
          <w:szCs w:val="22"/>
        </w:rPr>
        <w:t xml:space="preserve">, </w:t>
      </w:r>
      <w:r w:rsidRPr="00513513">
        <w:rPr>
          <w:rFonts w:ascii="Times" w:hAnsi="Times"/>
          <w:i/>
          <w:iCs/>
          <w:sz w:val="22"/>
          <w:szCs w:val="22"/>
        </w:rPr>
        <w:t>257</w:t>
      </w:r>
      <w:r w:rsidRPr="00513513">
        <w:rPr>
          <w:rFonts w:ascii="Times" w:hAnsi="Times"/>
          <w:sz w:val="22"/>
          <w:szCs w:val="22"/>
        </w:rPr>
        <w:t>, 109141. https://doi.org/10.1016/j.biocon.2021.109141</w:t>
      </w:r>
    </w:p>
    <w:p w14:paraId="1078F1C7"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Gwinn, N. E., &amp; Rinaldo, C. (2009). The Biodiversity Heritage Library: Sharing biodiversity literature with the world. </w:t>
      </w:r>
      <w:r w:rsidRPr="00513513">
        <w:rPr>
          <w:rFonts w:ascii="Times" w:hAnsi="Times"/>
          <w:i/>
          <w:iCs/>
          <w:sz w:val="22"/>
          <w:szCs w:val="22"/>
        </w:rPr>
        <w:t>IFLA Journal</w:t>
      </w:r>
      <w:r w:rsidRPr="00513513">
        <w:rPr>
          <w:rFonts w:ascii="Times" w:hAnsi="Times"/>
          <w:sz w:val="22"/>
          <w:szCs w:val="22"/>
        </w:rPr>
        <w:t xml:space="preserve">, </w:t>
      </w:r>
      <w:r w:rsidRPr="00513513">
        <w:rPr>
          <w:rFonts w:ascii="Times" w:hAnsi="Times"/>
          <w:i/>
          <w:iCs/>
          <w:sz w:val="22"/>
          <w:szCs w:val="22"/>
        </w:rPr>
        <w:t>35</w:t>
      </w:r>
      <w:r w:rsidRPr="00513513">
        <w:rPr>
          <w:rFonts w:ascii="Times" w:hAnsi="Times"/>
          <w:sz w:val="22"/>
          <w:szCs w:val="22"/>
        </w:rPr>
        <w:t>(1), 25–34. https://doi.org/10.1177/0340035208102032</w:t>
      </w:r>
    </w:p>
    <w:p w14:paraId="0AE0123F"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Hasenstab</w:t>
      </w:r>
      <w:proofErr w:type="spellEnd"/>
      <w:r w:rsidRPr="00513513">
        <w:rPr>
          <w:rFonts w:ascii="Times" w:hAnsi="Times"/>
          <w:sz w:val="22"/>
          <w:szCs w:val="22"/>
        </w:rPr>
        <w:t xml:space="preserve">-Lehman, K. E., </w:t>
      </w:r>
      <w:proofErr w:type="spellStart"/>
      <w:r w:rsidRPr="00513513">
        <w:rPr>
          <w:rFonts w:ascii="Times" w:hAnsi="Times"/>
          <w:sz w:val="22"/>
          <w:szCs w:val="22"/>
        </w:rPr>
        <w:t>Guilliams</w:t>
      </w:r>
      <w:proofErr w:type="spellEnd"/>
      <w:r w:rsidRPr="00513513">
        <w:rPr>
          <w:rFonts w:ascii="Times" w:hAnsi="Times"/>
          <w:sz w:val="22"/>
          <w:szCs w:val="22"/>
        </w:rPr>
        <w:t xml:space="preserve">, C. M., &amp; </w:t>
      </w:r>
      <w:proofErr w:type="spellStart"/>
      <w:r w:rsidRPr="00513513">
        <w:rPr>
          <w:rFonts w:ascii="Times" w:hAnsi="Times"/>
          <w:sz w:val="22"/>
          <w:szCs w:val="22"/>
        </w:rPr>
        <w:t>Junak</w:t>
      </w:r>
      <w:proofErr w:type="spellEnd"/>
      <w:r w:rsidRPr="00513513">
        <w:rPr>
          <w:rFonts w:ascii="Times" w:hAnsi="Times"/>
          <w:sz w:val="22"/>
          <w:szCs w:val="22"/>
        </w:rPr>
        <w:t xml:space="preserve">, S. A. (2022). </w:t>
      </w:r>
      <w:r w:rsidRPr="00513513">
        <w:rPr>
          <w:rFonts w:ascii="Times" w:hAnsi="Times"/>
          <w:i/>
          <w:iCs/>
          <w:sz w:val="22"/>
          <w:szCs w:val="22"/>
        </w:rPr>
        <w:t>Checklist of the Vascular Flora of Santa Cruz Island, California, Version 2</w:t>
      </w:r>
      <w:r w:rsidRPr="00513513">
        <w:rPr>
          <w:rFonts w:ascii="Times" w:hAnsi="Times"/>
          <w:sz w:val="22"/>
          <w:szCs w:val="22"/>
        </w:rPr>
        <w:t>.</w:t>
      </w:r>
    </w:p>
    <w:p w14:paraId="5128C225"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Heberling</w:t>
      </w:r>
      <w:proofErr w:type="spellEnd"/>
      <w:r w:rsidRPr="00513513">
        <w:rPr>
          <w:rFonts w:ascii="Times" w:hAnsi="Times"/>
          <w:sz w:val="22"/>
          <w:szCs w:val="22"/>
        </w:rPr>
        <w:t xml:space="preserve">, J. M., Miller, J. T., </w:t>
      </w:r>
      <w:proofErr w:type="spellStart"/>
      <w:r w:rsidRPr="00513513">
        <w:rPr>
          <w:rFonts w:ascii="Times" w:hAnsi="Times"/>
          <w:sz w:val="22"/>
          <w:szCs w:val="22"/>
        </w:rPr>
        <w:t>Noesgaard</w:t>
      </w:r>
      <w:proofErr w:type="spellEnd"/>
      <w:r w:rsidRPr="00513513">
        <w:rPr>
          <w:rFonts w:ascii="Times" w:hAnsi="Times"/>
          <w:sz w:val="22"/>
          <w:szCs w:val="22"/>
        </w:rPr>
        <w:t xml:space="preserve">, D., </w:t>
      </w:r>
      <w:proofErr w:type="spellStart"/>
      <w:r w:rsidRPr="00513513">
        <w:rPr>
          <w:rFonts w:ascii="Times" w:hAnsi="Times"/>
          <w:sz w:val="22"/>
          <w:szCs w:val="22"/>
        </w:rPr>
        <w:t>Weingart</w:t>
      </w:r>
      <w:proofErr w:type="spellEnd"/>
      <w:r w:rsidRPr="00513513">
        <w:rPr>
          <w:rFonts w:ascii="Times" w:hAnsi="Times"/>
          <w:sz w:val="22"/>
          <w:szCs w:val="22"/>
        </w:rPr>
        <w:t xml:space="preserve">, S. B., &amp; </w:t>
      </w:r>
      <w:proofErr w:type="spellStart"/>
      <w:r w:rsidRPr="00513513">
        <w:rPr>
          <w:rFonts w:ascii="Times" w:hAnsi="Times"/>
          <w:sz w:val="22"/>
          <w:szCs w:val="22"/>
        </w:rPr>
        <w:t>Schigel</w:t>
      </w:r>
      <w:proofErr w:type="spellEnd"/>
      <w:r w:rsidRPr="00513513">
        <w:rPr>
          <w:rFonts w:ascii="Times" w:hAnsi="Times"/>
          <w:sz w:val="22"/>
          <w:szCs w:val="22"/>
        </w:rPr>
        <w:t xml:space="preserve">, D. (2021). Data integration enables global biodiversity synthesis. </w:t>
      </w:r>
      <w:r w:rsidRPr="00513513">
        <w:rPr>
          <w:rFonts w:ascii="Times" w:hAnsi="Times"/>
          <w:i/>
          <w:iCs/>
          <w:sz w:val="22"/>
          <w:szCs w:val="22"/>
        </w:rPr>
        <w:t>Proceedings of the National Academy of Sciences</w:t>
      </w:r>
      <w:r w:rsidRPr="00513513">
        <w:rPr>
          <w:rFonts w:ascii="Times" w:hAnsi="Times"/>
          <w:sz w:val="22"/>
          <w:szCs w:val="22"/>
        </w:rPr>
        <w:t xml:space="preserve">, </w:t>
      </w:r>
      <w:r w:rsidRPr="00513513">
        <w:rPr>
          <w:rFonts w:ascii="Times" w:hAnsi="Times"/>
          <w:i/>
          <w:iCs/>
          <w:sz w:val="22"/>
          <w:szCs w:val="22"/>
        </w:rPr>
        <w:t>118</w:t>
      </w:r>
      <w:r w:rsidRPr="00513513">
        <w:rPr>
          <w:rFonts w:ascii="Times" w:hAnsi="Times"/>
          <w:sz w:val="22"/>
          <w:szCs w:val="22"/>
        </w:rPr>
        <w:t>(6), e2018093118. https://doi.org/10.1073/pnas.2018093118</w:t>
      </w:r>
    </w:p>
    <w:p w14:paraId="23ACD551"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Hooten, M. B., &amp; Hobbs, N. T. (2015). A guide to Bayesian model selection for ecologists. </w:t>
      </w:r>
      <w:r w:rsidRPr="00513513">
        <w:rPr>
          <w:rFonts w:ascii="Times" w:hAnsi="Times"/>
          <w:i/>
          <w:iCs/>
          <w:sz w:val="22"/>
          <w:szCs w:val="22"/>
        </w:rPr>
        <w:t>Ecological Monographs</w:t>
      </w:r>
      <w:r w:rsidRPr="00513513">
        <w:rPr>
          <w:rFonts w:ascii="Times" w:hAnsi="Times"/>
          <w:sz w:val="22"/>
          <w:szCs w:val="22"/>
        </w:rPr>
        <w:t xml:space="preserve">, </w:t>
      </w:r>
      <w:r w:rsidRPr="00513513">
        <w:rPr>
          <w:rFonts w:ascii="Times" w:hAnsi="Times"/>
          <w:i/>
          <w:iCs/>
          <w:sz w:val="22"/>
          <w:szCs w:val="22"/>
        </w:rPr>
        <w:t>85</w:t>
      </w:r>
      <w:r w:rsidRPr="00513513">
        <w:rPr>
          <w:rFonts w:ascii="Times" w:hAnsi="Times"/>
          <w:sz w:val="22"/>
          <w:szCs w:val="22"/>
        </w:rPr>
        <w:t>(1), 3–28. https://doi.org/10.1890/14-0661.1</w:t>
      </w:r>
    </w:p>
    <w:p w14:paraId="38805007"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Iknayan</w:t>
      </w:r>
      <w:proofErr w:type="spellEnd"/>
      <w:r w:rsidRPr="00513513">
        <w:rPr>
          <w:rFonts w:ascii="Times" w:hAnsi="Times"/>
          <w:sz w:val="22"/>
          <w:szCs w:val="22"/>
        </w:rPr>
        <w:t xml:space="preserve">, K. J., Tingley, M. W., Furnas, B. J., &amp; </w:t>
      </w:r>
      <w:proofErr w:type="spellStart"/>
      <w:r w:rsidRPr="00513513">
        <w:rPr>
          <w:rFonts w:ascii="Times" w:hAnsi="Times"/>
          <w:sz w:val="22"/>
          <w:szCs w:val="22"/>
        </w:rPr>
        <w:t>Beissinger</w:t>
      </w:r>
      <w:proofErr w:type="spellEnd"/>
      <w:r w:rsidRPr="00513513">
        <w:rPr>
          <w:rFonts w:ascii="Times" w:hAnsi="Times"/>
          <w:sz w:val="22"/>
          <w:szCs w:val="22"/>
        </w:rPr>
        <w:t xml:space="preserve">, S. R. (2014). Detecting diversity: Emerging methods to estimate species diversity. </w:t>
      </w:r>
      <w:r w:rsidRPr="00513513">
        <w:rPr>
          <w:rFonts w:ascii="Times" w:hAnsi="Times"/>
          <w:i/>
          <w:iCs/>
          <w:sz w:val="22"/>
          <w:szCs w:val="22"/>
        </w:rPr>
        <w:t>Trends in Ecology &amp; Evolution</w:t>
      </w:r>
      <w:r w:rsidRPr="00513513">
        <w:rPr>
          <w:rFonts w:ascii="Times" w:hAnsi="Times"/>
          <w:sz w:val="22"/>
          <w:szCs w:val="22"/>
        </w:rPr>
        <w:t xml:space="preserve">, </w:t>
      </w:r>
      <w:r w:rsidRPr="00513513">
        <w:rPr>
          <w:rFonts w:ascii="Times" w:hAnsi="Times"/>
          <w:i/>
          <w:iCs/>
          <w:sz w:val="22"/>
          <w:szCs w:val="22"/>
        </w:rPr>
        <w:t>29</w:t>
      </w:r>
      <w:r w:rsidRPr="00513513">
        <w:rPr>
          <w:rFonts w:ascii="Times" w:hAnsi="Times"/>
          <w:sz w:val="22"/>
          <w:szCs w:val="22"/>
        </w:rPr>
        <w:t>(2), 97–106. https://doi.org/10.1016/j.tree.2013.10.012</w:t>
      </w:r>
    </w:p>
    <w:p w14:paraId="2D8B00F3" w14:textId="77777777" w:rsidR="00513513" w:rsidRPr="00513513" w:rsidRDefault="00513513" w:rsidP="00513513">
      <w:pPr>
        <w:pStyle w:val="Bibliography"/>
        <w:spacing w:line="240" w:lineRule="auto"/>
        <w:rPr>
          <w:rFonts w:ascii="Times" w:hAnsi="Times"/>
          <w:sz w:val="22"/>
          <w:szCs w:val="22"/>
        </w:rPr>
      </w:pPr>
      <w:r w:rsidRPr="00513513">
        <w:rPr>
          <w:rFonts w:ascii="Times" w:hAnsi="Times"/>
          <w:i/>
          <w:iCs/>
          <w:sz w:val="22"/>
          <w:szCs w:val="22"/>
        </w:rPr>
        <w:t>Jepson Flora Project (eds.)</w:t>
      </w:r>
      <w:r w:rsidRPr="00513513">
        <w:rPr>
          <w:rFonts w:ascii="Times" w:hAnsi="Times"/>
          <w:sz w:val="22"/>
          <w:szCs w:val="22"/>
        </w:rPr>
        <w:t xml:space="preserve">. (2022). Jepson </w:t>
      </w:r>
      <w:proofErr w:type="spellStart"/>
      <w:r w:rsidRPr="00513513">
        <w:rPr>
          <w:rFonts w:ascii="Times" w:hAnsi="Times"/>
          <w:sz w:val="22"/>
          <w:szCs w:val="22"/>
        </w:rPr>
        <w:t>EFlora</w:t>
      </w:r>
      <w:proofErr w:type="spellEnd"/>
      <w:r w:rsidRPr="00513513">
        <w:rPr>
          <w:rFonts w:ascii="Times" w:hAnsi="Times"/>
          <w:sz w:val="22"/>
          <w:szCs w:val="22"/>
        </w:rPr>
        <w:t>. https://ucjeps.berkeley.edu/eflora/</w:t>
      </w:r>
    </w:p>
    <w:p w14:paraId="48B02D0A"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Johnson, B. A., </w:t>
      </w:r>
      <w:proofErr w:type="spellStart"/>
      <w:r w:rsidRPr="00513513">
        <w:rPr>
          <w:rFonts w:ascii="Times" w:hAnsi="Times"/>
          <w:sz w:val="22"/>
          <w:szCs w:val="22"/>
        </w:rPr>
        <w:t>Mader</w:t>
      </w:r>
      <w:proofErr w:type="spellEnd"/>
      <w:r w:rsidRPr="00513513">
        <w:rPr>
          <w:rFonts w:ascii="Times" w:hAnsi="Times"/>
          <w:sz w:val="22"/>
          <w:szCs w:val="22"/>
        </w:rPr>
        <w:t xml:space="preserve">, A. D., Dasgupta, R., &amp; Kumar, P. (2020). Citizen science and invasive alien species: An analysis of citizen science initiatives using information and communications technology (ICT) to collect invasive alien species observations. </w:t>
      </w:r>
      <w:r w:rsidRPr="00513513">
        <w:rPr>
          <w:rFonts w:ascii="Times" w:hAnsi="Times"/>
          <w:i/>
          <w:iCs/>
          <w:sz w:val="22"/>
          <w:szCs w:val="22"/>
        </w:rPr>
        <w:t>Global Ecology and Conservation</w:t>
      </w:r>
      <w:r w:rsidRPr="00513513">
        <w:rPr>
          <w:rFonts w:ascii="Times" w:hAnsi="Times"/>
          <w:sz w:val="22"/>
          <w:szCs w:val="22"/>
        </w:rPr>
        <w:t xml:space="preserve">, </w:t>
      </w:r>
      <w:r w:rsidRPr="00513513">
        <w:rPr>
          <w:rFonts w:ascii="Times" w:hAnsi="Times"/>
          <w:i/>
          <w:iCs/>
          <w:sz w:val="22"/>
          <w:szCs w:val="22"/>
        </w:rPr>
        <w:t>21</w:t>
      </w:r>
      <w:r w:rsidRPr="00513513">
        <w:rPr>
          <w:rFonts w:ascii="Times" w:hAnsi="Times"/>
          <w:sz w:val="22"/>
          <w:szCs w:val="22"/>
        </w:rPr>
        <w:t>, e00812. https://doi.org/10.1016/j.gecco.2019.e00812</w:t>
      </w:r>
    </w:p>
    <w:p w14:paraId="29BCAC68"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Kaluza, B. F., Wallace, H., Keller, A., Heard, T. A., Jeffers, B., Drescher, N., </w:t>
      </w:r>
      <w:proofErr w:type="spellStart"/>
      <w:r w:rsidRPr="00513513">
        <w:rPr>
          <w:rFonts w:ascii="Times" w:hAnsi="Times"/>
          <w:sz w:val="22"/>
          <w:szCs w:val="22"/>
        </w:rPr>
        <w:t>Blüthgen</w:t>
      </w:r>
      <w:proofErr w:type="spellEnd"/>
      <w:r w:rsidRPr="00513513">
        <w:rPr>
          <w:rFonts w:ascii="Times" w:hAnsi="Times"/>
          <w:sz w:val="22"/>
          <w:szCs w:val="22"/>
        </w:rPr>
        <w:t xml:space="preserve">, N., &amp; Leonhardt, S. D. (2017). Generalist social bees maximize diversity intake in plant species-rich and resource-abundant environments. </w:t>
      </w:r>
      <w:r w:rsidRPr="00513513">
        <w:rPr>
          <w:rFonts w:ascii="Times" w:hAnsi="Times"/>
          <w:i/>
          <w:iCs/>
          <w:sz w:val="22"/>
          <w:szCs w:val="22"/>
        </w:rPr>
        <w:t>Ecosphere</w:t>
      </w:r>
      <w:r w:rsidRPr="00513513">
        <w:rPr>
          <w:rFonts w:ascii="Times" w:hAnsi="Times"/>
          <w:sz w:val="22"/>
          <w:szCs w:val="22"/>
        </w:rPr>
        <w:t xml:space="preserve">, </w:t>
      </w:r>
      <w:r w:rsidRPr="00513513">
        <w:rPr>
          <w:rFonts w:ascii="Times" w:hAnsi="Times"/>
          <w:i/>
          <w:iCs/>
          <w:sz w:val="22"/>
          <w:szCs w:val="22"/>
        </w:rPr>
        <w:t>8</w:t>
      </w:r>
      <w:r w:rsidRPr="00513513">
        <w:rPr>
          <w:rFonts w:ascii="Times" w:hAnsi="Times"/>
          <w:sz w:val="22"/>
          <w:szCs w:val="22"/>
        </w:rPr>
        <w:t>(3), e01758. https://doi.org/10.1002/ecs2.1758</w:t>
      </w:r>
    </w:p>
    <w:p w14:paraId="462EC81B"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Kaluza, B. F., Wallace, H. M., Heard, T. A., Minden, V., Klein, A., &amp; Leonhardt, S. D. (2018). Social bees are fitter in more biodiverse environments. </w:t>
      </w:r>
      <w:r w:rsidRPr="00513513">
        <w:rPr>
          <w:rFonts w:ascii="Times" w:hAnsi="Times"/>
          <w:i/>
          <w:iCs/>
          <w:sz w:val="22"/>
          <w:szCs w:val="22"/>
        </w:rPr>
        <w:t>Scientific Reports</w:t>
      </w:r>
      <w:r w:rsidRPr="00513513">
        <w:rPr>
          <w:rFonts w:ascii="Times" w:hAnsi="Times"/>
          <w:sz w:val="22"/>
          <w:szCs w:val="22"/>
        </w:rPr>
        <w:t xml:space="preserve">, </w:t>
      </w:r>
      <w:r w:rsidRPr="00513513">
        <w:rPr>
          <w:rFonts w:ascii="Times" w:hAnsi="Times"/>
          <w:i/>
          <w:iCs/>
          <w:sz w:val="22"/>
          <w:szCs w:val="22"/>
        </w:rPr>
        <w:t>8</w:t>
      </w:r>
      <w:r w:rsidRPr="00513513">
        <w:rPr>
          <w:rFonts w:ascii="Times" w:hAnsi="Times"/>
          <w:sz w:val="22"/>
          <w:szCs w:val="22"/>
        </w:rPr>
        <w:t>, 12353. https://doi.org/10.1038/s41598-018-30126-0</w:t>
      </w:r>
    </w:p>
    <w:p w14:paraId="0BBF81BD"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lastRenderedPageBreak/>
        <w:t>Kéry</w:t>
      </w:r>
      <w:proofErr w:type="spellEnd"/>
      <w:r w:rsidRPr="00513513">
        <w:rPr>
          <w:rFonts w:ascii="Times" w:hAnsi="Times"/>
          <w:sz w:val="22"/>
          <w:szCs w:val="22"/>
        </w:rPr>
        <w:t xml:space="preserve">, M., &amp; </w:t>
      </w:r>
      <w:proofErr w:type="spellStart"/>
      <w:r w:rsidRPr="00513513">
        <w:rPr>
          <w:rFonts w:ascii="Times" w:hAnsi="Times"/>
          <w:sz w:val="22"/>
          <w:szCs w:val="22"/>
        </w:rPr>
        <w:t>Royle</w:t>
      </w:r>
      <w:proofErr w:type="spellEnd"/>
      <w:r w:rsidRPr="00513513">
        <w:rPr>
          <w:rFonts w:ascii="Times" w:hAnsi="Times"/>
          <w:sz w:val="22"/>
          <w:szCs w:val="22"/>
        </w:rPr>
        <w:t xml:space="preserve">, J. A. (2016). </w:t>
      </w:r>
      <w:r w:rsidRPr="00513513">
        <w:rPr>
          <w:rFonts w:ascii="Times" w:hAnsi="Times"/>
          <w:i/>
          <w:iCs/>
          <w:sz w:val="22"/>
          <w:szCs w:val="22"/>
        </w:rPr>
        <w:t>Applied Hierarchical Modeling in Ecology Analysis of distribution, abundance and species richness in R and BUGS: Volume 1: Prelude and Static Models</w:t>
      </w:r>
      <w:r w:rsidRPr="00513513">
        <w:rPr>
          <w:rFonts w:ascii="Times" w:hAnsi="Times"/>
          <w:sz w:val="22"/>
          <w:szCs w:val="22"/>
        </w:rPr>
        <w:t>. Academic Press.</w:t>
      </w:r>
    </w:p>
    <w:p w14:paraId="4CE0DF8A"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Kéry</w:t>
      </w:r>
      <w:proofErr w:type="spellEnd"/>
      <w:r w:rsidRPr="00513513">
        <w:rPr>
          <w:rFonts w:ascii="Times" w:hAnsi="Times"/>
          <w:sz w:val="22"/>
          <w:szCs w:val="22"/>
        </w:rPr>
        <w:t xml:space="preserve">, M., </w:t>
      </w:r>
      <w:proofErr w:type="spellStart"/>
      <w:r w:rsidRPr="00513513">
        <w:rPr>
          <w:rFonts w:ascii="Times" w:hAnsi="Times"/>
          <w:sz w:val="22"/>
          <w:szCs w:val="22"/>
        </w:rPr>
        <w:t>Royle</w:t>
      </w:r>
      <w:proofErr w:type="spellEnd"/>
      <w:r w:rsidRPr="00513513">
        <w:rPr>
          <w:rFonts w:ascii="Times" w:hAnsi="Times"/>
          <w:sz w:val="22"/>
          <w:szCs w:val="22"/>
        </w:rPr>
        <w:t xml:space="preserve">, J. A., Schmid, H., Schaub, M., Volet, B., </w:t>
      </w:r>
      <w:proofErr w:type="spellStart"/>
      <w:r w:rsidRPr="00513513">
        <w:rPr>
          <w:rFonts w:ascii="Times" w:hAnsi="Times"/>
          <w:sz w:val="22"/>
          <w:szCs w:val="22"/>
        </w:rPr>
        <w:t>Häfliger</w:t>
      </w:r>
      <w:proofErr w:type="spellEnd"/>
      <w:r w:rsidRPr="00513513">
        <w:rPr>
          <w:rFonts w:ascii="Times" w:hAnsi="Times"/>
          <w:sz w:val="22"/>
          <w:szCs w:val="22"/>
        </w:rPr>
        <w:t xml:space="preserve">, G., &amp; </w:t>
      </w:r>
      <w:proofErr w:type="spellStart"/>
      <w:r w:rsidRPr="00513513">
        <w:rPr>
          <w:rFonts w:ascii="Times" w:hAnsi="Times"/>
          <w:sz w:val="22"/>
          <w:szCs w:val="22"/>
        </w:rPr>
        <w:t>Zbinden</w:t>
      </w:r>
      <w:proofErr w:type="spellEnd"/>
      <w:r w:rsidRPr="00513513">
        <w:rPr>
          <w:rFonts w:ascii="Times" w:hAnsi="Times"/>
          <w:sz w:val="22"/>
          <w:szCs w:val="22"/>
        </w:rPr>
        <w:t xml:space="preserve">, N. (2010). Site-Occupancy Distribution Modeling to Correct Population-Trend Estimates Derived from Opportunistic Observations: Distribution Trends from Opportunistic Observations. </w:t>
      </w:r>
      <w:r w:rsidRPr="00513513">
        <w:rPr>
          <w:rFonts w:ascii="Times" w:hAnsi="Times"/>
          <w:i/>
          <w:iCs/>
          <w:sz w:val="22"/>
          <w:szCs w:val="22"/>
        </w:rPr>
        <w:t>Conservation Biology</w:t>
      </w:r>
      <w:r w:rsidRPr="00513513">
        <w:rPr>
          <w:rFonts w:ascii="Times" w:hAnsi="Times"/>
          <w:sz w:val="22"/>
          <w:szCs w:val="22"/>
        </w:rPr>
        <w:t xml:space="preserve">, </w:t>
      </w:r>
      <w:r w:rsidRPr="00513513">
        <w:rPr>
          <w:rFonts w:ascii="Times" w:hAnsi="Times"/>
          <w:i/>
          <w:iCs/>
          <w:sz w:val="22"/>
          <w:szCs w:val="22"/>
        </w:rPr>
        <w:t>24</w:t>
      </w:r>
      <w:r w:rsidRPr="00513513">
        <w:rPr>
          <w:rFonts w:ascii="Times" w:hAnsi="Times"/>
          <w:sz w:val="22"/>
          <w:szCs w:val="22"/>
        </w:rPr>
        <w:t>(5), 1388–1397. https://doi.org/10.1111/j.1523-1739.2010.01479.x</w:t>
      </w:r>
    </w:p>
    <w:p w14:paraId="69EC8D98"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Kosmala</w:t>
      </w:r>
      <w:proofErr w:type="spellEnd"/>
      <w:r w:rsidRPr="00513513">
        <w:rPr>
          <w:rFonts w:ascii="Times" w:hAnsi="Times"/>
          <w:sz w:val="22"/>
          <w:szCs w:val="22"/>
        </w:rPr>
        <w:t xml:space="preserve">, M., Wiggins, A., Swanson, A., &amp; Simmons, B. (2016). Assessing data quality in citizen science. </w:t>
      </w:r>
      <w:r w:rsidRPr="00513513">
        <w:rPr>
          <w:rFonts w:ascii="Times" w:hAnsi="Times"/>
          <w:i/>
          <w:iCs/>
          <w:sz w:val="22"/>
          <w:szCs w:val="22"/>
        </w:rPr>
        <w:t>Frontiers in Ecology and the Environment</w:t>
      </w:r>
      <w:r w:rsidRPr="00513513">
        <w:rPr>
          <w:rFonts w:ascii="Times" w:hAnsi="Times"/>
          <w:sz w:val="22"/>
          <w:szCs w:val="22"/>
        </w:rPr>
        <w:t xml:space="preserve">, </w:t>
      </w:r>
      <w:r w:rsidRPr="00513513">
        <w:rPr>
          <w:rFonts w:ascii="Times" w:hAnsi="Times"/>
          <w:i/>
          <w:iCs/>
          <w:sz w:val="22"/>
          <w:szCs w:val="22"/>
        </w:rPr>
        <w:t>14</w:t>
      </w:r>
      <w:r w:rsidRPr="00513513">
        <w:rPr>
          <w:rFonts w:ascii="Times" w:hAnsi="Times"/>
          <w:sz w:val="22"/>
          <w:szCs w:val="22"/>
        </w:rPr>
        <w:t>(10), 551–560. https://doi.org/10.1002/fee.1436</w:t>
      </w:r>
    </w:p>
    <w:p w14:paraId="3300DF9B"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Kremen</w:t>
      </w:r>
      <w:proofErr w:type="spellEnd"/>
      <w:r w:rsidRPr="00513513">
        <w:rPr>
          <w:rFonts w:ascii="Times" w:hAnsi="Times"/>
          <w:sz w:val="22"/>
          <w:szCs w:val="22"/>
        </w:rPr>
        <w:t xml:space="preserve">, C., Ullman, K. S., &amp; Thorp, R. W. (2011). Evaluating the Quality of Citizen-Scientist Data on Pollinator Communities. </w:t>
      </w:r>
      <w:r w:rsidRPr="00513513">
        <w:rPr>
          <w:rFonts w:ascii="Times" w:hAnsi="Times"/>
          <w:i/>
          <w:iCs/>
          <w:sz w:val="22"/>
          <w:szCs w:val="22"/>
        </w:rPr>
        <w:t>Conservation Biology</w:t>
      </w:r>
      <w:r w:rsidRPr="00513513">
        <w:rPr>
          <w:rFonts w:ascii="Times" w:hAnsi="Times"/>
          <w:sz w:val="22"/>
          <w:szCs w:val="22"/>
        </w:rPr>
        <w:t xml:space="preserve">, </w:t>
      </w:r>
      <w:r w:rsidRPr="00513513">
        <w:rPr>
          <w:rFonts w:ascii="Times" w:hAnsi="Times"/>
          <w:i/>
          <w:iCs/>
          <w:sz w:val="22"/>
          <w:szCs w:val="22"/>
        </w:rPr>
        <w:t>25</w:t>
      </w:r>
      <w:r w:rsidRPr="00513513">
        <w:rPr>
          <w:rFonts w:ascii="Times" w:hAnsi="Times"/>
          <w:sz w:val="22"/>
          <w:szCs w:val="22"/>
        </w:rPr>
        <w:t>(3), 607–617. https://doi.org/10.1111/j.1523-1739.2011.01657.x</w:t>
      </w:r>
    </w:p>
    <w:p w14:paraId="438EF98D"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Lunn, D., Jackson, C., Best, N., Thomas, A., &amp; </w:t>
      </w:r>
      <w:proofErr w:type="spellStart"/>
      <w:r w:rsidRPr="00513513">
        <w:rPr>
          <w:rFonts w:ascii="Times" w:hAnsi="Times"/>
          <w:sz w:val="22"/>
          <w:szCs w:val="22"/>
        </w:rPr>
        <w:t>Spiegelhalter</w:t>
      </w:r>
      <w:proofErr w:type="spellEnd"/>
      <w:r w:rsidRPr="00513513">
        <w:rPr>
          <w:rFonts w:ascii="Times" w:hAnsi="Times"/>
          <w:sz w:val="22"/>
          <w:szCs w:val="22"/>
        </w:rPr>
        <w:t xml:space="preserve">, D. (2012). </w:t>
      </w:r>
      <w:r w:rsidRPr="00513513">
        <w:rPr>
          <w:rFonts w:ascii="Times" w:hAnsi="Times"/>
          <w:i/>
          <w:iCs/>
          <w:sz w:val="22"/>
          <w:szCs w:val="22"/>
        </w:rPr>
        <w:t>The BUGS Book: A Practical Introduction to Bayesian Analysis</w:t>
      </w:r>
      <w:r w:rsidRPr="00513513">
        <w:rPr>
          <w:rFonts w:ascii="Times" w:hAnsi="Times"/>
          <w:sz w:val="22"/>
          <w:szCs w:val="22"/>
        </w:rPr>
        <w:t>. CRC, Boca Raton, FL.</w:t>
      </w:r>
    </w:p>
    <w:p w14:paraId="5F08718F"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Meineke, E. K., &amp; Daru, B. H. (2021). Bias assessments to expand research harnessing biological collections. </w:t>
      </w:r>
      <w:r w:rsidRPr="00513513">
        <w:rPr>
          <w:rFonts w:ascii="Times" w:hAnsi="Times"/>
          <w:i/>
          <w:iCs/>
          <w:sz w:val="22"/>
          <w:szCs w:val="22"/>
        </w:rPr>
        <w:t>Trends in Ecology &amp; Evolution</w:t>
      </w:r>
      <w:r w:rsidRPr="00513513">
        <w:rPr>
          <w:rFonts w:ascii="Times" w:hAnsi="Times"/>
          <w:sz w:val="22"/>
          <w:szCs w:val="22"/>
        </w:rPr>
        <w:t xml:space="preserve">, </w:t>
      </w:r>
      <w:r w:rsidRPr="00513513">
        <w:rPr>
          <w:rFonts w:ascii="Times" w:hAnsi="Times"/>
          <w:i/>
          <w:iCs/>
          <w:sz w:val="22"/>
          <w:szCs w:val="22"/>
        </w:rPr>
        <w:t>36</w:t>
      </w:r>
      <w:r w:rsidRPr="00513513">
        <w:rPr>
          <w:rFonts w:ascii="Times" w:hAnsi="Times"/>
          <w:sz w:val="22"/>
          <w:szCs w:val="22"/>
        </w:rPr>
        <w:t>(12), 1071–1082. https://doi.org/10.1016/j.tree.2021.08.003</w:t>
      </w:r>
    </w:p>
    <w:p w14:paraId="61F964E5"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Meiners, J. M., Griswold, T. L., &amp; </w:t>
      </w:r>
      <w:proofErr w:type="spellStart"/>
      <w:r w:rsidRPr="00513513">
        <w:rPr>
          <w:rFonts w:ascii="Times" w:hAnsi="Times"/>
          <w:sz w:val="22"/>
          <w:szCs w:val="22"/>
        </w:rPr>
        <w:t>Carril</w:t>
      </w:r>
      <w:proofErr w:type="spellEnd"/>
      <w:r w:rsidRPr="00513513">
        <w:rPr>
          <w:rFonts w:ascii="Times" w:hAnsi="Times"/>
          <w:sz w:val="22"/>
          <w:szCs w:val="22"/>
        </w:rPr>
        <w:t xml:space="preserve">, O. M. (2019). Decades of native bee biodiversity surveys at Pinnacles National Park highlight the importance of monitoring natural areas over time. </w:t>
      </w:r>
      <w:r w:rsidRPr="00513513">
        <w:rPr>
          <w:rFonts w:ascii="Times" w:hAnsi="Times"/>
          <w:i/>
          <w:iCs/>
          <w:sz w:val="22"/>
          <w:szCs w:val="22"/>
        </w:rPr>
        <w:t>PLOS ONE</w:t>
      </w:r>
      <w:r w:rsidRPr="00513513">
        <w:rPr>
          <w:rFonts w:ascii="Times" w:hAnsi="Times"/>
          <w:sz w:val="22"/>
          <w:szCs w:val="22"/>
        </w:rPr>
        <w:t xml:space="preserve">, </w:t>
      </w:r>
      <w:r w:rsidRPr="00513513">
        <w:rPr>
          <w:rFonts w:ascii="Times" w:hAnsi="Times"/>
          <w:i/>
          <w:iCs/>
          <w:sz w:val="22"/>
          <w:szCs w:val="22"/>
        </w:rPr>
        <w:t>14</w:t>
      </w:r>
      <w:r w:rsidRPr="00513513">
        <w:rPr>
          <w:rFonts w:ascii="Times" w:hAnsi="Times"/>
          <w:sz w:val="22"/>
          <w:szCs w:val="22"/>
        </w:rPr>
        <w:t>(1), e0207566. https://doi.org/10.1371/journal.pone.0207566</w:t>
      </w:r>
    </w:p>
    <w:p w14:paraId="37A09F40"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Minckley</w:t>
      </w:r>
      <w:proofErr w:type="spellEnd"/>
      <w:r w:rsidRPr="00513513">
        <w:rPr>
          <w:rFonts w:ascii="Times" w:hAnsi="Times"/>
          <w:sz w:val="22"/>
          <w:szCs w:val="22"/>
        </w:rPr>
        <w:t xml:space="preserve">, R. L., Roulston, T. H., &amp; Williams, N. M. (2013). Resource assurance predicts specialist and generalist bee activity in drought. </w:t>
      </w:r>
      <w:r w:rsidRPr="00513513">
        <w:rPr>
          <w:rFonts w:ascii="Times" w:hAnsi="Times"/>
          <w:i/>
          <w:iCs/>
          <w:sz w:val="22"/>
          <w:szCs w:val="22"/>
        </w:rPr>
        <w:t>Proceedings of the Royal Society B: Biological Sciences</w:t>
      </w:r>
      <w:r w:rsidRPr="00513513">
        <w:rPr>
          <w:rFonts w:ascii="Times" w:hAnsi="Times"/>
          <w:sz w:val="22"/>
          <w:szCs w:val="22"/>
        </w:rPr>
        <w:t xml:space="preserve">, </w:t>
      </w:r>
      <w:r w:rsidRPr="00513513">
        <w:rPr>
          <w:rFonts w:ascii="Times" w:hAnsi="Times"/>
          <w:i/>
          <w:iCs/>
          <w:sz w:val="22"/>
          <w:szCs w:val="22"/>
        </w:rPr>
        <w:t>280</w:t>
      </w:r>
      <w:r w:rsidRPr="00513513">
        <w:rPr>
          <w:rFonts w:ascii="Times" w:hAnsi="Times"/>
          <w:sz w:val="22"/>
          <w:szCs w:val="22"/>
        </w:rPr>
        <w:t>(1759), 20122703. https://doi.org/10.1098/rspb.2012.2703</w:t>
      </w:r>
    </w:p>
    <w:p w14:paraId="280A2FF8"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Olesen, J. M., </w:t>
      </w:r>
      <w:proofErr w:type="spellStart"/>
      <w:r w:rsidRPr="00513513">
        <w:rPr>
          <w:rFonts w:ascii="Times" w:hAnsi="Times"/>
          <w:sz w:val="22"/>
          <w:szCs w:val="22"/>
        </w:rPr>
        <w:t>Bascompte</w:t>
      </w:r>
      <w:proofErr w:type="spellEnd"/>
      <w:r w:rsidRPr="00513513">
        <w:rPr>
          <w:rFonts w:ascii="Times" w:hAnsi="Times"/>
          <w:sz w:val="22"/>
          <w:szCs w:val="22"/>
        </w:rPr>
        <w:t xml:space="preserve">, J., Dupont, Y. L., </w:t>
      </w:r>
      <w:proofErr w:type="spellStart"/>
      <w:r w:rsidRPr="00513513">
        <w:rPr>
          <w:rFonts w:ascii="Times" w:hAnsi="Times"/>
          <w:sz w:val="22"/>
          <w:szCs w:val="22"/>
        </w:rPr>
        <w:t>Elberling</w:t>
      </w:r>
      <w:proofErr w:type="spellEnd"/>
      <w:r w:rsidRPr="00513513">
        <w:rPr>
          <w:rFonts w:ascii="Times" w:hAnsi="Times"/>
          <w:sz w:val="22"/>
          <w:szCs w:val="22"/>
        </w:rPr>
        <w:t xml:space="preserve">, H., Rasmussen, C., &amp; </w:t>
      </w:r>
      <w:proofErr w:type="spellStart"/>
      <w:r w:rsidRPr="00513513">
        <w:rPr>
          <w:rFonts w:ascii="Times" w:hAnsi="Times"/>
          <w:sz w:val="22"/>
          <w:szCs w:val="22"/>
        </w:rPr>
        <w:t>Jordano</w:t>
      </w:r>
      <w:proofErr w:type="spellEnd"/>
      <w:r w:rsidRPr="00513513">
        <w:rPr>
          <w:rFonts w:ascii="Times" w:hAnsi="Times"/>
          <w:sz w:val="22"/>
          <w:szCs w:val="22"/>
        </w:rPr>
        <w:t xml:space="preserve">, P. (2011). Missing and forbidden links in mutualistic networks. </w:t>
      </w:r>
      <w:r w:rsidRPr="00513513">
        <w:rPr>
          <w:rFonts w:ascii="Times" w:hAnsi="Times"/>
          <w:i/>
          <w:iCs/>
          <w:sz w:val="22"/>
          <w:szCs w:val="22"/>
        </w:rPr>
        <w:t>Proceedings of the Royal Society B: Biological Sciences</w:t>
      </w:r>
      <w:r w:rsidRPr="00513513">
        <w:rPr>
          <w:rFonts w:ascii="Times" w:hAnsi="Times"/>
          <w:sz w:val="22"/>
          <w:szCs w:val="22"/>
        </w:rPr>
        <w:t xml:space="preserve">, </w:t>
      </w:r>
      <w:r w:rsidRPr="00513513">
        <w:rPr>
          <w:rFonts w:ascii="Times" w:hAnsi="Times"/>
          <w:i/>
          <w:iCs/>
          <w:sz w:val="22"/>
          <w:szCs w:val="22"/>
        </w:rPr>
        <w:t>278</w:t>
      </w:r>
      <w:r w:rsidRPr="00513513">
        <w:rPr>
          <w:rFonts w:ascii="Times" w:hAnsi="Times"/>
          <w:sz w:val="22"/>
          <w:szCs w:val="22"/>
        </w:rPr>
        <w:t>(1706), 725–732. https://doi.org/10.1098/rspb.2010.1371</w:t>
      </w:r>
    </w:p>
    <w:p w14:paraId="29DF0F24"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Poelen</w:t>
      </w:r>
      <w:proofErr w:type="spellEnd"/>
      <w:r w:rsidRPr="00513513">
        <w:rPr>
          <w:rFonts w:ascii="Times" w:hAnsi="Times"/>
          <w:sz w:val="22"/>
          <w:szCs w:val="22"/>
        </w:rPr>
        <w:t xml:space="preserve">, J. H., Simons, J. D., &amp; </w:t>
      </w:r>
      <w:proofErr w:type="spellStart"/>
      <w:r w:rsidRPr="00513513">
        <w:rPr>
          <w:rFonts w:ascii="Times" w:hAnsi="Times"/>
          <w:sz w:val="22"/>
          <w:szCs w:val="22"/>
        </w:rPr>
        <w:t>Mungall</w:t>
      </w:r>
      <w:proofErr w:type="spellEnd"/>
      <w:r w:rsidRPr="00513513">
        <w:rPr>
          <w:rFonts w:ascii="Times" w:hAnsi="Times"/>
          <w:sz w:val="22"/>
          <w:szCs w:val="22"/>
        </w:rPr>
        <w:t xml:space="preserve">, C. J. (2014). Global biotic interactions: An open infrastructure to share and analyze species-interaction datasets. </w:t>
      </w:r>
      <w:r w:rsidRPr="00513513">
        <w:rPr>
          <w:rFonts w:ascii="Times" w:hAnsi="Times"/>
          <w:i/>
          <w:iCs/>
          <w:sz w:val="22"/>
          <w:szCs w:val="22"/>
        </w:rPr>
        <w:t>Ecological Informatics</w:t>
      </w:r>
      <w:r w:rsidRPr="00513513">
        <w:rPr>
          <w:rFonts w:ascii="Times" w:hAnsi="Times"/>
          <w:sz w:val="22"/>
          <w:szCs w:val="22"/>
        </w:rPr>
        <w:t xml:space="preserve">, </w:t>
      </w:r>
      <w:r w:rsidRPr="00513513">
        <w:rPr>
          <w:rFonts w:ascii="Times" w:hAnsi="Times"/>
          <w:i/>
          <w:iCs/>
          <w:sz w:val="22"/>
          <w:szCs w:val="22"/>
        </w:rPr>
        <w:t>24</w:t>
      </w:r>
      <w:r w:rsidRPr="00513513">
        <w:rPr>
          <w:rFonts w:ascii="Times" w:hAnsi="Times"/>
          <w:sz w:val="22"/>
          <w:szCs w:val="22"/>
        </w:rPr>
        <w:t>, 148–159. https://doi.org/10.1016/j.ecoinf.2014.08.005</w:t>
      </w:r>
    </w:p>
    <w:p w14:paraId="6D54ADF2"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Potts, S. G., </w:t>
      </w:r>
      <w:proofErr w:type="spellStart"/>
      <w:r w:rsidRPr="00513513">
        <w:rPr>
          <w:rFonts w:ascii="Times" w:hAnsi="Times"/>
          <w:sz w:val="22"/>
          <w:szCs w:val="22"/>
        </w:rPr>
        <w:t>Biesmeijer</w:t>
      </w:r>
      <w:proofErr w:type="spellEnd"/>
      <w:r w:rsidRPr="00513513">
        <w:rPr>
          <w:rFonts w:ascii="Times" w:hAnsi="Times"/>
          <w:sz w:val="22"/>
          <w:szCs w:val="22"/>
        </w:rPr>
        <w:t xml:space="preserve">, J. C., </w:t>
      </w:r>
      <w:proofErr w:type="spellStart"/>
      <w:r w:rsidRPr="00513513">
        <w:rPr>
          <w:rFonts w:ascii="Times" w:hAnsi="Times"/>
          <w:sz w:val="22"/>
          <w:szCs w:val="22"/>
        </w:rPr>
        <w:t>Kremen</w:t>
      </w:r>
      <w:proofErr w:type="spellEnd"/>
      <w:r w:rsidRPr="00513513">
        <w:rPr>
          <w:rFonts w:ascii="Times" w:hAnsi="Times"/>
          <w:sz w:val="22"/>
          <w:szCs w:val="22"/>
        </w:rPr>
        <w:t xml:space="preserve">, C., Neumann, P., Schweiger, O., &amp; </w:t>
      </w:r>
      <w:proofErr w:type="spellStart"/>
      <w:r w:rsidRPr="00513513">
        <w:rPr>
          <w:rFonts w:ascii="Times" w:hAnsi="Times"/>
          <w:sz w:val="22"/>
          <w:szCs w:val="22"/>
        </w:rPr>
        <w:t>Kunin</w:t>
      </w:r>
      <w:proofErr w:type="spellEnd"/>
      <w:r w:rsidRPr="00513513">
        <w:rPr>
          <w:rFonts w:ascii="Times" w:hAnsi="Times"/>
          <w:sz w:val="22"/>
          <w:szCs w:val="22"/>
        </w:rPr>
        <w:t xml:space="preserve">, W. E. (2010). Global pollinator declines: Trends, impacts and drivers. </w:t>
      </w:r>
      <w:r w:rsidRPr="00513513">
        <w:rPr>
          <w:rFonts w:ascii="Times" w:hAnsi="Times"/>
          <w:i/>
          <w:iCs/>
          <w:sz w:val="22"/>
          <w:szCs w:val="22"/>
        </w:rPr>
        <w:t>Trends in Ecology &amp; Evolution</w:t>
      </w:r>
      <w:r w:rsidRPr="00513513">
        <w:rPr>
          <w:rFonts w:ascii="Times" w:hAnsi="Times"/>
          <w:sz w:val="22"/>
          <w:szCs w:val="22"/>
        </w:rPr>
        <w:t xml:space="preserve">, </w:t>
      </w:r>
      <w:r w:rsidRPr="00513513">
        <w:rPr>
          <w:rFonts w:ascii="Times" w:hAnsi="Times"/>
          <w:i/>
          <w:iCs/>
          <w:sz w:val="22"/>
          <w:szCs w:val="22"/>
        </w:rPr>
        <w:t>25</w:t>
      </w:r>
      <w:r w:rsidRPr="00513513">
        <w:rPr>
          <w:rFonts w:ascii="Times" w:hAnsi="Times"/>
          <w:sz w:val="22"/>
          <w:szCs w:val="22"/>
        </w:rPr>
        <w:t>(6), 345–353. https://doi.org/10.1016/j.tree.2010.01.007</w:t>
      </w:r>
    </w:p>
    <w:p w14:paraId="64A1FCE5"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R Core Team. (2019). </w:t>
      </w:r>
      <w:r w:rsidRPr="00513513">
        <w:rPr>
          <w:rFonts w:ascii="Times" w:hAnsi="Times"/>
          <w:i/>
          <w:iCs/>
          <w:sz w:val="22"/>
          <w:szCs w:val="22"/>
        </w:rPr>
        <w:t>R: A Language and Environment for Statistical Computing</w:t>
      </w:r>
      <w:r w:rsidRPr="00513513">
        <w:rPr>
          <w:rFonts w:ascii="Times" w:hAnsi="Times"/>
          <w:sz w:val="22"/>
          <w:szCs w:val="22"/>
        </w:rPr>
        <w:t>. R Foundation for Statistical Computing. https://www.R-project.org/</w:t>
      </w:r>
    </w:p>
    <w:p w14:paraId="356FD142"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Ramos-</w:t>
      </w:r>
      <w:proofErr w:type="spellStart"/>
      <w:r w:rsidRPr="00513513">
        <w:rPr>
          <w:rFonts w:ascii="Times" w:hAnsi="Times"/>
          <w:sz w:val="22"/>
          <w:szCs w:val="22"/>
        </w:rPr>
        <w:t>Jiliberto</w:t>
      </w:r>
      <w:proofErr w:type="spellEnd"/>
      <w:r w:rsidRPr="00513513">
        <w:rPr>
          <w:rFonts w:ascii="Times" w:hAnsi="Times"/>
          <w:sz w:val="22"/>
          <w:szCs w:val="22"/>
        </w:rPr>
        <w:t xml:space="preserve">, R., </w:t>
      </w:r>
      <w:proofErr w:type="spellStart"/>
      <w:r w:rsidRPr="00513513">
        <w:rPr>
          <w:rFonts w:ascii="Times" w:hAnsi="Times"/>
          <w:sz w:val="22"/>
          <w:szCs w:val="22"/>
        </w:rPr>
        <w:t>Moisset</w:t>
      </w:r>
      <w:proofErr w:type="spellEnd"/>
      <w:r w:rsidRPr="00513513">
        <w:rPr>
          <w:rFonts w:ascii="Times" w:hAnsi="Times"/>
          <w:sz w:val="22"/>
          <w:szCs w:val="22"/>
        </w:rPr>
        <w:t xml:space="preserve"> de </w:t>
      </w:r>
      <w:proofErr w:type="spellStart"/>
      <w:r w:rsidRPr="00513513">
        <w:rPr>
          <w:rFonts w:ascii="Times" w:hAnsi="Times"/>
          <w:sz w:val="22"/>
          <w:szCs w:val="22"/>
        </w:rPr>
        <w:t>Espanés</w:t>
      </w:r>
      <w:proofErr w:type="spellEnd"/>
      <w:r w:rsidRPr="00513513">
        <w:rPr>
          <w:rFonts w:ascii="Times" w:hAnsi="Times"/>
          <w:sz w:val="22"/>
          <w:szCs w:val="22"/>
        </w:rPr>
        <w:t xml:space="preserve">, P., &amp; Vázquez, D. P. (2020). Pollinator declines and the stability of plant–pollinator networks. </w:t>
      </w:r>
      <w:r w:rsidRPr="00513513">
        <w:rPr>
          <w:rFonts w:ascii="Times" w:hAnsi="Times"/>
          <w:i/>
          <w:iCs/>
          <w:sz w:val="22"/>
          <w:szCs w:val="22"/>
        </w:rPr>
        <w:t>Ecosphere</w:t>
      </w:r>
      <w:r w:rsidRPr="00513513">
        <w:rPr>
          <w:rFonts w:ascii="Times" w:hAnsi="Times"/>
          <w:sz w:val="22"/>
          <w:szCs w:val="22"/>
        </w:rPr>
        <w:t xml:space="preserve">, </w:t>
      </w:r>
      <w:r w:rsidRPr="00513513">
        <w:rPr>
          <w:rFonts w:ascii="Times" w:hAnsi="Times"/>
          <w:i/>
          <w:iCs/>
          <w:sz w:val="22"/>
          <w:szCs w:val="22"/>
        </w:rPr>
        <w:t>11</w:t>
      </w:r>
      <w:r w:rsidRPr="00513513">
        <w:rPr>
          <w:rFonts w:ascii="Times" w:hAnsi="Times"/>
          <w:sz w:val="22"/>
          <w:szCs w:val="22"/>
        </w:rPr>
        <w:t>(4), e03069. https://doi.org/10.1002/ecs2.3069</w:t>
      </w:r>
    </w:p>
    <w:p w14:paraId="1DBB9251"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Reyserhove</w:t>
      </w:r>
      <w:proofErr w:type="spellEnd"/>
      <w:r w:rsidRPr="00513513">
        <w:rPr>
          <w:rFonts w:ascii="Times" w:hAnsi="Times"/>
          <w:sz w:val="22"/>
          <w:szCs w:val="22"/>
        </w:rPr>
        <w:t xml:space="preserve">, L., </w:t>
      </w:r>
      <w:proofErr w:type="spellStart"/>
      <w:r w:rsidRPr="00513513">
        <w:rPr>
          <w:rFonts w:ascii="Times" w:hAnsi="Times"/>
          <w:sz w:val="22"/>
          <w:szCs w:val="22"/>
        </w:rPr>
        <w:t>Desmet</w:t>
      </w:r>
      <w:proofErr w:type="spellEnd"/>
      <w:r w:rsidRPr="00513513">
        <w:rPr>
          <w:rFonts w:ascii="Times" w:hAnsi="Times"/>
          <w:sz w:val="22"/>
          <w:szCs w:val="22"/>
        </w:rPr>
        <w:t xml:space="preserve">, P., </w:t>
      </w:r>
      <w:proofErr w:type="spellStart"/>
      <w:r w:rsidRPr="00513513">
        <w:rPr>
          <w:rFonts w:ascii="Times" w:hAnsi="Times"/>
          <w:sz w:val="22"/>
          <w:szCs w:val="22"/>
        </w:rPr>
        <w:t>Oldoni</w:t>
      </w:r>
      <w:proofErr w:type="spellEnd"/>
      <w:r w:rsidRPr="00513513">
        <w:rPr>
          <w:rFonts w:ascii="Times" w:hAnsi="Times"/>
          <w:sz w:val="22"/>
          <w:szCs w:val="22"/>
        </w:rPr>
        <w:t xml:space="preserve">, D., </w:t>
      </w:r>
      <w:proofErr w:type="spellStart"/>
      <w:r w:rsidRPr="00513513">
        <w:rPr>
          <w:rFonts w:ascii="Times" w:hAnsi="Times"/>
          <w:sz w:val="22"/>
          <w:szCs w:val="22"/>
        </w:rPr>
        <w:t>Adriaens</w:t>
      </w:r>
      <w:proofErr w:type="spellEnd"/>
      <w:r w:rsidRPr="00513513">
        <w:rPr>
          <w:rFonts w:ascii="Times" w:hAnsi="Times"/>
          <w:sz w:val="22"/>
          <w:szCs w:val="22"/>
        </w:rPr>
        <w:t xml:space="preserve">, T., </w:t>
      </w:r>
      <w:proofErr w:type="spellStart"/>
      <w:r w:rsidRPr="00513513">
        <w:rPr>
          <w:rFonts w:ascii="Times" w:hAnsi="Times"/>
          <w:sz w:val="22"/>
          <w:szCs w:val="22"/>
        </w:rPr>
        <w:t>Strubbe</w:t>
      </w:r>
      <w:proofErr w:type="spellEnd"/>
      <w:r w:rsidRPr="00513513">
        <w:rPr>
          <w:rFonts w:ascii="Times" w:hAnsi="Times"/>
          <w:sz w:val="22"/>
          <w:szCs w:val="22"/>
        </w:rPr>
        <w:t xml:space="preserve">, D., Davis, A. J. S., </w:t>
      </w:r>
      <w:proofErr w:type="spellStart"/>
      <w:r w:rsidRPr="00513513">
        <w:rPr>
          <w:rFonts w:ascii="Times" w:hAnsi="Times"/>
          <w:sz w:val="22"/>
          <w:szCs w:val="22"/>
        </w:rPr>
        <w:t>Vanderhoeven</w:t>
      </w:r>
      <w:proofErr w:type="spellEnd"/>
      <w:r w:rsidRPr="00513513">
        <w:rPr>
          <w:rFonts w:ascii="Times" w:hAnsi="Times"/>
          <w:sz w:val="22"/>
          <w:szCs w:val="22"/>
        </w:rPr>
        <w:t xml:space="preserve">, S., </w:t>
      </w:r>
      <w:proofErr w:type="spellStart"/>
      <w:r w:rsidRPr="00513513">
        <w:rPr>
          <w:rFonts w:ascii="Times" w:hAnsi="Times"/>
          <w:sz w:val="22"/>
          <w:szCs w:val="22"/>
        </w:rPr>
        <w:t>Verloove</w:t>
      </w:r>
      <w:proofErr w:type="spellEnd"/>
      <w:r w:rsidRPr="00513513">
        <w:rPr>
          <w:rFonts w:ascii="Times" w:hAnsi="Times"/>
          <w:sz w:val="22"/>
          <w:szCs w:val="22"/>
        </w:rPr>
        <w:t xml:space="preserve">, F., &amp; Groom, Q. (2020). A checklist recipe: Making species data open and FAIR. </w:t>
      </w:r>
      <w:r w:rsidRPr="00513513">
        <w:rPr>
          <w:rFonts w:ascii="Times" w:hAnsi="Times"/>
          <w:i/>
          <w:iCs/>
          <w:sz w:val="22"/>
          <w:szCs w:val="22"/>
        </w:rPr>
        <w:t>Database</w:t>
      </w:r>
      <w:r w:rsidRPr="00513513">
        <w:rPr>
          <w:rFonts w:ascii="Times" w:hAnsi="Times"/>
          <w:sz w:val="22"/>
          <w:szCs w:val="22"/>
        </w:rPr>
        <w:t xml:space="preserve">, </w:t>
      </w:r>
      <w:r w:rsidRPr="00513513">
        <w:rPr>
          <w:rFonts w:ascii="Times" w:hAnsi="Times"/>
          <w:i/>
          <w:iCs/>
          <w:sz w:val="22"/>
          <w:szCs w:val="22"/>
        </w:rPr>
        <w:t>2020</w:t>
      </w:r>
      <w:r w:rsidRPr="00513513">
        <w:rPr>
          <w:rFonts w:ascii="Times" w:hAnsi="Times"/>
          <w:sz w:val="22"/>
          <w:szCs w:val="22"/>
        </w:rPr>
        <w:t>, baaa084. https://doi.org/10.1093/database/baaa084</w:t>
      </w:r>
    </w:p>
    <w:p w14:paraId="3FE8EFE3"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Rivera-</w:t>
      </w:r>
      <w:proofErr w:type="spellStart"/>
      <w:r w:rsidRPr="00513513">
        <w:rPr>
          <w:rFonts w:ascii="Times" w:hAnsi="Times"/>
          <w:sz w:val="22"/>
          <w:szCs w:val="22"/>
        </w:rPr>
        <w:t>Hutinel</w:t>
      </w:r>
      <w:proofErr w:type="spellEnd"/>
      <w:r w:rsidRPr="00513513">
        <w:rPr>
          <w:rFonts w:ascii="Times" w:hAnsi="Times"/>
          <w:sz w:val="22"/>
          <w:szCs w:val="22"/>
        </w:rPr>
        <w:t xml:space="preserve">, A., Bustamante, R. O., Marín, V. H., &amp; </w:t>
      </w:r>
      <w:proofErr w:type="spellStart"/>
      <w:r w:rsidRPr="00513513">
        <w:rPr>
          <w:rFonts w:ascii="Times" w:hAnsi="Times"/>
          <w:sz w:val="22"/>
          <w:szCs w:val="22"/>
        </w:rPr>
        <w:t>Medel</w:t>
      </w:r>
      <w:proofErr w:type="spellEnd"/>
      <w:r w:rsidRPr="00513513">
        <w:rPr>
          <w:rFonts w:ascii="Times" w:hAnsi="Times"/>
          <w:sz w:val="22"/>
          <w:szCs w:val="22"/>
        </w:rPr>
        <w:t xml:space="preserve">, R. (2012). Effects of sampling completeness on the structure of plant–pollinator networks. </w:t>
      </w:r>
      <w:r w:rsidRPr="00513513">
        <w:rPr>
          <w:rFonts w:ascii="Times" w:hAnsi="Times"/>
          <w:i/>
          <w:iCs/>
          <w:sz w:val="22"/>
          <w:szCs w:val="22"/>
        </w:rPr>
        <w:t>Ecology</w:t>
      </w:r>
      <w:r w:rsidRPr="00513513">
        <w:rPr>
          <w:rFonts w:ascii="Times" w:hAnsi="Times"/>
          <w:sz w:val="22"/>
          <w:szCs w:val="22"/>
        </w:rPr>
        <w:t xml:space="preserve">, </w:t>
      </w:r>
      <w:r w:rsidRPr="00513513">
        <w:rPr>
          <w:rFonts w:ascii="Times" w:hAnsi="Times"/>
          <w:i/>
          <w:iCs/>
          <w:sz w:val="22"/>
          <w:szCs w:val="22"/>
        </w:rPr>
        <w:t>93</w:t>
      </w:r>
      <w:r w:rsidRPr="00513513">
        <w:rPr>
          <w:rFonts w:ascii="Times" w:hAnsi="Times"/>
          <w:sz w:val="22"/>
          <w:szCs w:val="22"/>
        </w:rPr>
        <w:t>(7), 1593–1603. https://doi.org/10.1890/11-1803.1</w:t>
      </w:r>
    </w:p>
    <w:p w14:paraId="6647B5B9"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Robinson, O. J., Ruiz</w:t>
      </w:r>
      <w:r w:rsidRPr="00513513">
        <w:rPr>
          <w:rFonts w:ascii="Cambria Math" w:hAnsi="Cambria Math" w:cs="Cambria Math"/>
          <w:sz w:val="22"/>
          <w:szCs w:val="22"/>
        </w:rPr>
        <w:t>‐</w:t>
      </w:r>
      <w:r w:rsidRPr="00513513">
        <w:rPr>
          <w:rFonts w:ascii="Times" w:hAnsi="Times"/>
          <w:sz w:val="22"/>
          <w:szCs w:val="22"/>
        </w:rPr>
        <w:t xml:space="preserve">Gutierrez, V., Reynolds, M. D., </w:t>
      </w:r>
      <w:proofErr w:type="spellStart"/>
      <w:r w:rsidRPr="00513513">
        <w:rPr>
          <w:rFonts w:ascii="Times" w:hAnsi="Times"/>
          <w:sz w:val="22"/>
          <w:szCs w:val="22"/>
        </w:rPr>
        <w:t>Golet</w:t>
      </w:r>
      <w:proofErr w:type="spellEnd"/>
      <w:r w:rsidRPr="00513513">
        <w:rPr>
          <w:rFonts w:ascii="Times" w:hAnsi="Times"/>
          <w:sz w:val="22"/>
          <w:szCs w:val="22"/>
        </w:rPr>
        <w:t xml:space="preserve">, G. H., </w:t>
      </w:r>
      <w:proofErr w:type="spellStart"/>
      <w:r w:rsidRPr="00513513">
        <w:rPr>
          <w:rFonts w:ascii="Times" w:hAnsi="Times"/>
          <w:sz w:val="22"/>
          <w:szCs w:val="22"/>
        </w:rPr>
        <w:t>Strimas</w:t>
      </w:r>
      <w:proofErr w:type="spellEnd"/>
      <w:r w:rsidRPr="00513513">
        <w:rPr>
          <w:rFonts w:ascii="Cambria Math" w:hAnsi="Cambria Math" w:cs="Cambria Math"/>
          <w:sz w:val="22"/>
          <w:szCs w:val="22"/>
        </w:rPr>
        <w:t>‐</w:t>
      </w:r>
      <w:r w:rsidRPr="00513513">
        <w:rPr>
          <w:rFonts w:ascii="Times" w:hAnsi="Times"/>
          <w:sz w:val="22"/>
          <w:szCs w:val="22"/>
        </w:rPr>
        <w:t xml:space="preserve">Mackey, M., &amp; Fink, D. (2020). Integrating citizen science data with expert surveys increases accuracy and spatial extent of species distribution models. </w:t>
      </w:r>
      <w:r w:rsidRPr="00513513">
        <w:rPr>
          <w:rFonts w:ascii="Times" w:hAnsi="Times"/>
          <w:i/>
          <w:iCs/>
          <w:sz w:val="22"/>
          <w:szCs w:val="22"/>
        </w:rPr>
        <w:t>Diversity and Distributions</w:t>
      </w:r>
      <w:r w:rsidRPr="00513513">
        <w:rPr>
          <w:rFonts w:ascii="Times" w:hAnsi="Times"/>
          <w:sz w:val="22"/>
          <w:szCs w:val="22"/>
        </w:rPr>
        <w:t xml:space="preserve">, </w:t>
      </w:r>
      <w:r w:rsidRPr="00513513">
        <w:rPr>
          <w:rFonts w:ascii="Times" w:hAnsi="Times"/>
          <w:i/>
          <w:iCs/>
          <w:sz w:val="22"/>
          <w:szCs w:val="22"/>
        </w:rPr>
        <w:t>26</w:t>
      </w:r>
      <w:r w:rsidRPr="00513513">
        <w:rPr>
          <w:rFonts w:ascii="Times" w:hAnsi="Times"/>
          <w:sz w:val="22"/>
          <w:szCs w:val="22"/>
        </w:rPr>
        <w:t>(8), 976–986. https://doi.org/10.1111/ddi.13068</w:t>
      </w:r>
    </w:p>
    <w:p w14:paraId="68136760"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Rushing, C. S., Ryder, T. B., &amp; </w:t>
      </w:r>
      <w:proofErr w:type="spellStart"/>
      <w:r w:rsidRPr="00513513">
        <w:rPr>
          <w:rFonts w:ascii="Times" w:hAnsi="Times"/>
          <w:sz w:val="22"/>
          <w:szCs w:val="22"/>
        </w:rPr>
        <w:t>Marra</w:t>
      </w:r>
      <w:proofErr w:type="spellEnd"/>
      <w:r w:rsidRPr="00513513">
        <w:rPr>
          <w:rFonts w:ascii="Times" w:hAnsi="Times"/>
          <w:sz w:val="22"/>
          <w:szCs w:val="22"/>
        </w:rPr>
        <w:t xml:space="preserve">, P. P. (2016). Quantifying drivers of population dynamics for a migratory bird throughout the annual cycle. </w:t>
      </w:r>
      <w:r w:rsidRPr="00513513">
        <w:rPr>
          <w:rFonts w:ascii="Times" w:hAnsi="Times"/>
          <w:i/>
          <w:iCs/>
          <w:sz w:val="22"/>
          <w:szCs w:val="22"/>
        </w:rPr>
        <w:t>Proceedings of the Royal Society B: Biological Sciences</w:t>
      </w:r>
      <w:r w:rsidRPr="00513513">
        <w:rPr>
          <w:rFonts w:ascii="Times" w:hAnsi="Times"/>
          <w:sz w:val="22"/>
          <w:szCs w:val="22"/>
        </w:rPr>
        <w:t xml:space="preserve">, </w:t>
      </w:r>
      <w:r w:rsidRPr="00513513">
        <w:rPr>
          <w:rFonts w:ascii="Times" w:hAnsi="Times"/>
          <w:i/>
          <w:iCs/>
          <w:sz w:val="22"/>
          <w:szCs w:val="22"/>
        </w:rPr>
        <w:t>283</w:t>
      </w:r>
      <w:r w:rsidRPr="00513513">
        <w:rPr>
          <w:rFonts w:ascii="Times" w:hAnsi="Times"/>
          <w:sz w:val="22"/>
          <w:szCs w:val="22"/>
        </w:rPr>
        <w:t>(1823), 20152846. https://doi.org/10.1098/rspb.2015.2846</w:t>
      </w:r>
    </w:p>
    <w:p w14:paraId="4B71C0AA"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Schoenherr, A. A., </w:t>
      </w:r>
      <w:proofErr w:type="spellStart"/>
      <w:r w:rsidRPr="00513513">
        <w:rPr>
          <w:rFonts w:ascii="Times" w:hAnsi="Times"/>
          <w:sz w:val="22"/>
          <w:szCs w:val="22"/>
        </w:rPr>
        <w:t>Feldmeth</w:t>
      </w:r>
      <w:proofErr w:type="spellEnd"/>
      <w:r w:rsidRPr="00513513">
        <w:rPr>
          <w:rFonts w:ascii="Times" w:hAnsi="Times"/>
          <w:sz w:val="22"/>
          <w:szCs w:val="22"/>
        </w:rPr>
        <w:t xml:space="preserve">, C. R., &amp; Emerson, M. J. (1999). </w:t>
      </w:r>
      <w:r w:rsidRPr="00513513">
        <w:rPr>
          <w:rFonts w:ascii="Times" w:hAnsi="Times"/>
          <w:i/>
          <w:iCs/>
          <w:sz w:val="22"/>
          <w:szCs w:val="22"/>
        </w:rPr>
        <w:t>Natural History of the Islands of California</w:t>
      </w:r>
      <w:r w:rsidRPr="00513513">
        <w:rPr>
          <w:rFonts w:ascii="Times" w:hAnsi="Times"/>
          <w:sz w:val="22"/>
          <w:szCs w:val="22"/>
        </w:rPr>
        <w:t>. University of California Press.</w:t>
      </w:r>
    </w:p>
    <w:p w14:paraId="65F91E16"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lastRenderedPageBreak/>
        <w:t>Seltmann</w:t>
      </w:r>
      <w:proofErr w:type="spellEnd"/>
      <w:r w:rsidRPr="00513513">
        <w:rPr>
          <w:rFonts w:ascii="Times" w:hAnsi="Times"/>
          <w:sz w:val="22"/>
          <w:szCs w:val="22"/>
        </w:rPr>
        <w:t xml:space="preserve">, K. C., &amp; </w:t>
      </w:r>
      <w:proofErr w:type="spellStart"/>
      <w:r w:rsidRPr="00513513">
        <w:rPr>
          <w:rFonts w:ascii="Times" w:hAnsi="Times"/>
          <w:sz w:val="22"/>
          <w:szCs w:val="22"/>
        </w:rPr>
        <w:t>Poelen</w:t>
      </w:r>
      <w:proofErr w:type="spellEnd"/>
      <w:r w:rsidRPr="00513513">
        <w:rPr>
          <w:rFonts w:ascii="Times" w:hAnsi="Times"/>
          <w:sz w:val="22"/>
          <w:szCs w:val="22"/>
        </w:rPr>
        <w:t xml:space="preserve">, J. H. (2021, May 13). </w:t>
      </w:r>
      <w:r w:rsidRPr="00513513">
        <w:rPr>
          <w:rFonts w:ascii="Times" w:hAnsi="Times"/>
          <w:i/>
          <w:iCs/>
          <w:sz w:val="22"/>
          <w:szCs w:val="22"/>
        </w:rPr>
        <w:t>A Practical Exploration of Biotic Interaction Data Management and Information Retrieval through Terrestrial Parasite Tracker (TPT) and Global Biotic Interactions (</w:t>
      </w:r>
      <w:proofErr w:type="spellStart"/>
      <w:r w:rsidRPr="00513513">
        <w:rPr>
          <w:rFonts w:ascii="Times" w:hAnsi="Times"/>
          <w:i/>
          <w:iCs/>
          <w:sz w:val="22"/>
          <w:szCs w:val="22"/>
        </w:rPr>
        <w:t>GloBI</w:t>
      </w:r>
      <w:proofErr w:type="spellEnd"/>
      <w:r w:rsidRPr="00513513">
        <w:rPr>
          <w:rFonts w:ascii="Times" w:hAnsi="Times"/>
          <w:i/>
          <w:iCs/>
          <w:sz w:val="22"/>
          <w:szCs w:val="22"/>
        </w:rPr>
        <w:t>)</w:t>
      </w:r>
      <w:r w:rsidRPr="00513513">
        <w:rPr>
          <w:rFonts w:ascii="Times" w:hAnsi="Times"/>
          <w:sz w:val="22"/>
          <w:szCs w:val="22"/>
        </w:rPr>
        <w:t>. https://doi.org/10.5281/zenodo.4759060</w:t>
      </w:r>
    </w:p>
    <w:p w14:paraId="21041427"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Shirey</w:t>
      </w:r>
      <w:proofErr w:type="spellEnd"/>
      <w:r w:rsidRPr="00513513">
        <w:rPr>
          <w:rFonts w:ascii="Times" w:hAnsi="Times"/>
          <w:sz w:val="22"/>
          <w:szCs w:val="22"/>
        </w:rPr>
        <w:t xml:space="preserve">, V., </w:t>
      </w:r>
      <w:proofErr w:type="spellStart"/>
      <w:r w:rsidRPr="00513513">
        <w:rPr>
          <w:rFonts w:ascii="Times" w:hAnsi="Times"/>
          <w:sz w:val="22"/>
          <w:szCs w:val="22"/>
        </w:rPr>
        <w:t>Khelifa</w:t>
      </w:r>
      <w:proofErr w:type="spellEnd"/>
      <w:r w:rsidRPr="00513513">
        <w:rPr>
          <w:rFonts w:ascii="Times" w:hAnsi="Times"/>
          <w:sz w:val="22"/>
          <w:szCs w:val="22"/>
        </w:rPr>
        <w:t xml:space="preserve">, R., </w:t>
      </w:r>
      <w:proofErr w:type="spellStart"/>
      <w:r w:rsidRPr="00513513">
        <w:rPr>
          <w:rFonts w:ascii="Times" w:hAnsi="Times"/>
          <w:sz w:val="22"/>
          <w:szCs w:val="22"/>
        </w:rPr>
        <w:t>M’Gonigle</w:t>
      </w:r>
      <w:proofErr w:type="spellEnd"/>
      <w:r w:rsidRPr="00513513">
        <w:rPr>
          <w:rFonts w:ascii="Times" w:hAnsi="Times"/>
          <w:sz w:val="22"/>
          <w:szCs w:val="22"/>
        </w:rPr>
        <w:t>, L. K., &amp; Guzman, L. M. (2022). Occupancy</w:t>
      </w:r>
      <w:r w:rsidRPr="00513513">
        <w:rPr>
          <w:rFonts w:ascii="Cambria Math" w:hAnsi="Cambria Math" w:cs="Cambria Math"/>
          <w:sz w:val="22"/>
          <w:szCs w:val="22"/>
        </w:rPr>
        <w:t>‐</w:t>
      </w:r>
      <w:r w:rsidRPr="00513513">
        <w:rPr>
          <w:rFonts w:ascii="Times" w:hAnsi="Times"/>
          <w:sz w:val="22"/>
          <w:szCs w:val="22"/>
        </w:rPr>
        <w:t xml:space="preserve">detection models with museum specimen data: Promise and pitfalls. </w:t>
      </w:r>
      <w:r w:rsidRPr="00513513">
        <w:rPr>
          <w:rFonts w:ascii="Times" w:hAnsi="Times"/>
          <w:i/>
          <w:iCs/>
          <w:sz w:val="22"/>
          <w:szCs w:val="22"/>
        </w:rPr>
        <w:t>Methods in Ecology and Evolution</w:t>
      </w:r>
      <w:r w:rsidRPr="00513513">
        <w:rPr>
          <w:rFonts w:ascii="Times" w:hAnsi="Times"/>
          <w:sz w:val="22"/>
          <w:szCs w:val="22"/>
        </w:rPr>
        <w:t>, 2041-210X.13896. https://doi.org/10.1111/2041-210X.13896</w:t>
      </w:r>
    </w:p>
    <w:p w14:paraId="3485CDB2"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Soroye</w:t>
      </w:r>
      <w:proofErr w:type="spellEnd"/>
      <w:r w:rsidRPr="00513513">
        <w:rPr>
          <w:rFonts w:ascii="Times" w:hAnsi="Times"/>
          <w:sz w:val="22"/>
          <w:szCs w:val="22"/>
        </w:rPr>
        <w:t xml:space="preserve">, P., Newbold, T., &amp; Kerr, J. (2020). Climate change contributes to widespread declines among bumble bees across continents. </w:t>
      </w:r>
      <w:r w:rsidRPr="00513513">
        <w:rPr>
          <w:rFonts w:ascii="Times" w:hAnsi="Times"/>
          <w:i/>
          <w:iCs/>
          <w:sz w:val="22"/>
          <w:szCs w:val="22"/>
        </w:rPr>
        <w:t>Science</w:t>
      </w:r>
      <w:r w:rsidRPr="00513513">
        <w:rPr>
          <w:rFonts w:ascii="Times" w:hAnsi="Times"/>
          <w:sz w:val="22"/>
          <w:szCs w:val="22"/>
        </w:rPr>
        <w:t xml:space="preserve">, </w:t>
      </w:r>
      <w:r w:rsidRPr="00513513">
        <w:rPr>
          <w:rFonts w:ascii="Times" w:hAnsi="Times"/>
          <w:i/>
          <w:iCs/>
          <w:sz w:val="22"/>
          <w:szCs w:val="22"/>
        </w:rPr>
        <w:t>367</w:t>
      </w:r>
      <w:r w:rsidRPr="00513513">
        <w:rPr>
          <w:rFonts w:ascii="Times" w:hAnsi="Times"/>
          <w:sz w:val="22"/>
          <w:szCs w:val="22"/>
        </w:rPr>
        <w:t>(6478), 685–688. https://doi.org/10.1126/science.aax8591</w:t>
      </w:r>
    </w:p>
    <w:p w14:paraId="0C3101FB"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Sullivan, B. L., Phillips, T., </w:t>
      </w:r>
      <w:proofErr w:type="spellStart"/>
      <w:r w:rsidRPr="00513513">
        <w:rPr>
          <w:rFonts w:ascii="Times" w:hAnsi="Times"/>
          <w:sz w:val="22"/>
          <w:szCs w:val="22"/>
        </w:rPr>
        <w:t>Dayer</w:t>
      </w:r>
      <w:proofErr w:type="spellEnd"/>
      <w:r w:rsidRPr="00513513">
        <w:rPr>
          <w:rFonts w:ascii="Times" w:hAnsi="Times"/>
          <w:sz w:val="22"/>
          <w:szCs w:val="22"/>
        </w:rPr>
        <w:t xml:space="preserve">, A. A., Wood, C. L., Farnsworth, A., </w:t>
      </w:r>
      <w:proofErr w:type="spellStart"/>
      <w:r w:rsidRPr="00513513">
        <w:rPr>
          <w:rFonts w:ascii="Times" w:hAnsi="Times"/>
          <w:sz w:val="22"/>
          <w:szCs w:val="22"/>
        </w:rPr>
        <w:t>Iliff</w:t>
      </w:r>
      <w:proofErr w:type="spellEnd"/>
      <w:r w:rsidRPr="00513513">
        <w:rPr>
          <w:rFonts w:ascii="Times" w:hAnsi="Times"/>
          <w:sz w:val="22"/>
          <w:szCs w:val="22"/>
        </w:rPr>
        <w:t xml:space="preserve">, M. J., Davies, I. J., Wiggins, A., Fink, D., </w:t>
      </w:r>
      <w:proofErr w:type="spellStart"/>
      <w:r w:rsidRPr="00513513">
        <w:rPr>
          <w:rFonts w:ascii="Times" w:hAnsi="Times"/>
          <w:sz w:val="22"/>
          <w:szCs w:val="22"/>
        </w:rPr>
        <w:t>Hochachka</w:t>
      </w:r>
      <w:proofErr w:type="spellEnd"/>
      <w:r w:rsidRPr="00513513">
        <w:rPr>
          <w:rFonts w:ascii="Times" w:hAnsi="Times"/>
          <w:sz w:val="22"/>
          <w:szCs w:val="22"/>
        </w:rPr>
        <w:t xml:space="preserve">, W. M., </w:t>
      </w:r>
      <w:proofErr w:type="spellStart"/>
      <w:r w:rsidRPr="00513513">
        <w:rPr>
          <w:rFonts w:ascii="Times" w:hAnsi="Times"/>
          <w:sz w:val="22"/>
          <w:szCs w:val="22"/>
        </w:rPr>
        <w:t>Rodewald</w:t>
      </w:r>
      <w:proofErr w:type="spellEnd"/>
      <w:r w:rsidRPr="00513513">
        <w:rPr>
          <w:rFonts w:ascii="Times" w:hAnsi="Times"/>
          <w:sz w:val="22"/>
          <w:szCs w:val="22"/>
        </w:rPr>
        <w:t xml:space="preserve">, A. D., Rosenberg, K. V., Bonney, R., &amp; </w:t>
      </w:r>
      <w:proofErr w:type="spellStart"/>
      <w:r w:rsidRPr="00513513">
        <w:rPr>
          <w:rFonts w:ascii="Times" w:hAnsi="Times"/>
          <w:sz w:val="22"/>
          <w:szCs w:val="22"/>
        </w:rPr>
        <w:t>Kelling</w:t>
      </w:r>
      <w:proofErr w:type="spellEnd"/>
      <w:r w:rsidRPr="00513513">
        <w:rPr>
          <w:rFonts w:ascii="Times" w:hAnsi="Times"/>
          <w:sz w:val="22"/>
          <w:szCs w:val="22"/>
        </w:rPr>
        <w:t xml:space="preserve">, S. (2017). Using open access observational data for conservation action: A case study for birds. </w:t>
      </w:r>
      <w:r w:rsidRPr="00513513">
        <w:rPr>
          <w:rFonts w:ascii="Times" w:hAnsi="Times"/>
          <w:i/>
          <w:iCs/>
          <w:sz w:val="22"/>
          <w:szCs w:val="22"/>
        </w:rPr>
        <w:t>Biological Conservation</w:t>
      </w:r>
      <w:r w:rsidRPr="00513513">
        <w:rPr>
          <w:rFonts w:ascii="Times" w:hAnsi="Times"/>
          <w:sz w:val="22"/>
          <w:szCs w:val="22"/>
        </w:rPr>
        <w:t xml:space="preserve">, </w:t>
      </w:r>
      <w:r w:rsidRPr="00513513">
        <w:rPr>
          <w:rFonts w:ascii="Times" w:hAnsi="Times"/>
          <w:i/>
          <w:iCs/>
          <w:sz w:val="22"/>
          <w:szCs w:val="22"/>
        </w:rPr>
        <w:t>208</w:t>
      </w:r>
      <w:r w:rsidRPr="00513513">
        <w:rPr>
          <w:rFonts w:ascii="Times" w:hAnsi="Times"/>
          <w:sz w:val="22"/>
          <w:szCs w:val="22"/>
        </w:rPr>
        <w:t>, 5–14. https://doi.org/10.1016/j.biocon.2016.04.031</w:t>
      </w:r>
    </w:p>
    <w:p w14:paraId="4F25A544"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Thorp, R. (2007). </w:t>
      </w:r>
      <w:r w:rsidRPr="00513513">
        <w:rPr>
          <w:rFonts w:ascii="Times" w:hAnsi="Times"/>
          <w:i/>
          <w:iCs/>
          <w:sz w:val="22"/>
          <w:szCs w:val="22"/>
        </w:rPr>
        <w:t>A List of Bees of Santa Cruz Island, CA</w:t>
      </w:r>
      <w:r w:rsidRPr="00513513">
        <w:rPr>
          <w:rFonts w:ascii="Times" w:hAnsi="Times"/>
          <w:sz w:val="22"/>
          <w:szCs w:val="22"/>
        </w:rPr>
        <w:t>. https://escholarship.org/uc/item/32s13481</w:t>
      </w:r>
    </w:p>
    <w:p w14:paraId="72420C8C"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Tingley, M. W., &amp; </w:t>
      </w:r>
      <w:proofErr w:type="spellStart"/>
      <w:r w:rsidRPr="00513513">
        <w:rPr>
          <w:rFonts w:ascii="Times" w:hAnsi="Times"/>
          <w:sz w:val="22"/>
          <w:szCs w:val="22"/>
        </w:rPr>
        <w:t>Beissinger</w:t>
      </w:r>
      <w:proofErr w:type="spellEnd"/>
      <w:r w:rsidRPr="00513513">
        <w:rPr>
          <w:rFonts w:ascii="Times" w:hAnsi="Times"/>
          <w:sz w:val="22"/>
          <w:szCs w:val="22"/>
        </w:rPr>
        <w:t xml:space="preserve">, S. R. (2009). Detecting range shifts from historical species occurrences: New perspectives on old data. </w:t>
      </w:r>
      <w:r w:rsidRPr="00513513">
        <w:rPr>
          <w:rFonts w:ascii="Times" w:hAnsi="Times"/>
          <w:i/>
          <w:iCs/>
          <w:sz w:val="22"/>
          <w:szCs w:val="22"/>
        </w:rPr>
        <w:t>Trends in Ecology &amp; Evolution</w:t>
      </w:r>
      <w:r w:rsidRPr="00513513">
        <w:rPr>
          <w:rFonts w:ascii="Times" w:hAnsi="Times"/>
          <w:sz w:val="22"/>
          <w:szCs w:val="22"/>
        </w:rPr>
        <w:t xml:space="preserve">, </w:t>
      </w:r>
      <w:r w:rsidRPr="00513513">
        <w:rPr>
          <w:rFonts w:ascii="Times" w:hAnsi="Times"/>
          <w:i/>
          <w:iCs/>
          <w:sz w:val="22"/>
          <w:szCs w:val="22"/>
        </w:rPr>
        <w:t>24</w:t>
      </w:r>
      <w:r w:rsidRPr="00513513">
        <w:rPr>
          <w:rFonts w:ascii="Times" w:hAnsi="Times"/>
          <w:sz w:val="22"/>
          <w:szCs w:val="22"/>
        </w:rPr>
        <w:t>(11), 625–633. https://doi.org/10.1016/j.tree.2009.05.009</w:t>
      </w:r>
    </w:p>
    <w:p w14:paraId="6AE857CF"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Troudet</w:t>
      </w:r>
      <w:proofErr w:type="spellEnd"/>
      <w:r w:rsidRPr="00513513">
        <w:rPr>
          <w:rFonts w:ascii="Times" w:hAnsi="Times"/>
          <w:sz w:val="22"/>
          <w:szCs w:val="22"/>
        </w:rPr>
        <w:t xml:space="preserve">, J., Grandcolas, P., Blin, A., </w:t>
      </w:r>
      <w:proofErr w:type="spellStart"/>
      <w:r w:rsidRPr="00513513">
        <w:rPr>
          <w:rFonts w:ascii="Times" w:hAnsi="Times"/>
          <w:sz w:val="22"/>
          <w:szCs w:val="22"/>
        </w:rPr>
        <w:t>Vignes-Lebbe</w:t>
      </w:r>
      <w:proofErr w:type="spellEnd"/>
      <w:r w:rsidRPr="00513513">
        <w:rPr>
          <w:rFonts w:ascii="Times" w:hAnsi="Times"/>
          <w:sz w:val="22"/>
          <w:szCs w:val="22"/>
        </w:rPr>
        <w:t xml:space="preserve">, R., &amp; Legendre, F. (2017). Taxonomic bias in biodiversity data and societal preferences. </w:t>
      </w:r>
      <w:r w:rsidRPr="00513513">
        <w:rPr>
          <w:rFonts w:ascii="Times" w:hAnsi="Times"/>
          <w:i/>
          <w:iCs/>
          <w:sz w:val="22"/>
          <w:szCs w:val="22"/>
        </w:rPr>
        <w:t>Scientific Reports</w:t>
      </w:r>
      <w:r w:rsidRPr="00513513">
        <w:rPr>
          <w:rFonts w:ascii="Times" w:hAnsi="Times"/>
          <w:sz w:val="22"/>
          <w:szCs w:val="22"/>
        </w:rPr>
        <w:t xml:space="preserve">, </w:t>
      </w:r>
      <w:r w:rsidRPr="00513513">
        <w:rPr>
          <w:rFonts w:ascii="Times" w:hAnsi="Times"/>
          <w:i/>
          <w:iCs/>
          <w:sz w:val="22"/>
          <w:szCs w:val="22"/>
        </w:rPr>
        <w:t>7</w:t>
      </w:r>
      <w:r w:rsidRPr="00513513">
        <w:rPr>
          <w:rFonts w:ascii="Times" w:hAnsi="Times"/>
          <w:sz w:val="22"/>
          <w:szCs w:val="22"/>
        </w:rPr>
        <w:t>(1), Article 1. https://doi.org/10.1038/s41598-017-09084-6</w:t>
      </w:r>
    </w:p>
    <w:p w14:paraId="6E7D9143"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Waser</w:t>
      </w:r>
      <w:proofErr w:type="spellEnd"/>
      <w:r w:rsidRPr="00513513">
        <w:rPr>
          <w:rFonts w:ascii="Times" w:hAnsi="Times"/>
          <w:sz w:val="22"/>
          <w:szCs w:val="22"/>
        </w:rPr>
        <w:t xml:space="preserve">, N. M., &amp; Ollerton, J. (2006). </w:t>
      </w:r>
      <w:r w:rsidRPr="00513513">
        <w:rPr>
          <w:rFonts w:ascii="Times" w:hAnsi="Times"/>
          <w:i/>
          <w:iCs/>
          <w:sz w:val="22"/>
          <w:szCs w:val="22"/>
        </w:rPr>
        <w:t>Plant-Pollinator Interactions: From Specialization to Generalization</w:t>
      </w:r>
      <w:r w:rsidRPr="00513513">
        <w:rPr>
          <w:rFonts w:ascii="Times" w:hAnsi="Times"/>
          <w:sz w:val="22"/>
          <w:szCs w:val="22"/>
        </w:rPr>
        <w:t>. University of Chicago Press.</w:t>
      </w:r>
    </w:p>
    <w:p w14:paraId="623ABB49"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Wilson, J. S., &amp; </w:t>
      </w:r>
      <w:proofErr w:type="spellStart"/>
      <w:r w:rsidRPr="00513513">
        <w:rPr>
          <w:rFonts w:ascii="Times" w:hAnsi="Times"/>
          <w:sz w:val="22"/>
          <w:szCs w:val="22"/>
        </w:rPr>
        <w:t>Carril</w:t>
      </w:r>
      <w:proofErr w:type="spellEnd"/>
      <w:r w:rsidRPr="00513513">
        <w:rPr>
          <w:rFonts w:ascii="Times" w:hAnsi="Times"/>
          <w:sz w:val="22"/>
          <w:szCs w:val="22"/>
        </w:rPr>
        <w:t xml:space="preserve">, O. M. (2015). The Bees in Your Backyard: A Guide to North America’s Bees. In </w:t>
      </w:r>
      <w:r w:rsidRPr="00513513">
        <w:rPr>
          <w:rFonts w:ascii="Times" w:hAnsi="Times"/>
          <w:i/>
          <w:iCs/>
          <w:sz w:val="22"/>
          <w:szCs w:val="22"/>
        </w:rPr>
        <w:t>The Bees in Your Backyard</w:t>
      </w:r>
      <w:r w:rsidRPr="00513513">
        <w:rPr>
          <w:rFonts w:ascii="Times" w:hAnsi="Times"/>
          <w:sz w:val="22"/>
          <w:szCs w:val="22"/>
        </w:rPr>
        <w:t>. Princeton University Press. https://doi.org/10.1515/9781400874156</w:t>
      </w:r>
    </w:p>
    <w:p w14:paraId="022FDAC8" w14:textId="77777777" w:rsidR="00513513" w:rsidRPr="00513513" w:rsidRDefault="00513513" w:rsidP="00513513">
      <w:pPr>
        <w:pStyle w:val="Bibliography"/>
        <w:spacing w:line="240" w:lineRule="auto"/>
        <w:rPr>
          <w:rFonts w:ascii="Times" w:hAnsi="Times"/>
          <w:sz w:val="22"/>
          <w:szCs w:val="22"/>
        </w:rPr>
      </w:pPr>
      <w:r w:rsidRPr="00513513">
        <w:rPr>
          <w:rFonts w:ascii="Times" w:hAnsi="Times"/>
          <w:sz w:val="22"/>
          <w:szCs w:val="22"/>
        </w:rPr>
        <w:t xml:space="preserve">Wood, T. J., Kaplan, I., &amp; Szendrei, Z. (2018). Wild Bee Pollen Diets Reveal Patterns of Seasonal Foraging Resources for Honey Bees. </w:t>
      </w:r>
      <w:r w:rsidRPr="00513513">
        <w:rPr>
          <w:rFonts w:ascii="Times" w:hAnsi="Times"/>
          <w:i/>
          <w:iCs/>
          <w:sz w:val="22"/>
          <w:szCs w:val="22"/>
        </w:rPr>
        <w:t>Frontiers in Ecology and Evolution</w:t>
      </w:r>
      <w:r w:rsidRPr="00513513">
        <w:rPr>
          <w:rFonts w:ascii="Times" w:hAnsi="Times"/>
          <w:sz w:val="22"/>
          <w:szCs w:val="22"/>
        </w:rPr>
        <w:t xml:space="preserve">, </w:t>
      </w:r>
      <w:r w:rsidRPr="00513513">
        <w:rPr>
          <w:rFonts w:ascii="Times" w:hAnsi="Times"/>
          <w:i/>
          <w:iCs/>
          <w:sz w:val="22"/>
          <w:szCs w:val="22"/>
        </w:rPr>
        <w:t>6</w:t>
      </w:r>
      <w:r w:rsidRPr="00513513">
        <w:rPr>
          <w:rFonts w:ascii="Times" w:hAnsi="Times"/>
          <w:sz w:val="22"/>
          <w:szCs w:val="22"/>
        </w:rPr>
        <w:t>. https://www.frontiersin.org/article/10.3389/fevo.2018.00210</w:t>
      </w:r>
    </w:p>
    <w:p w14:paraId="00E8D66B"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Zattara</w:t>
      </w:r>
      <w:proofErr w:type="spellEnd"/>
      <w:r w:rsidRPr="00513513">
        <w:rPr>
          <w:rFonts w:ascii="Times" w:hAnsi="Times"/>
          <w:sz w:val="22"/>
          <w:szCs w:val="22"/>
        </w:rPr>
        <w:t xml:space="preserve">, E. E., &amp; Aizen, M. A. (2021). Worldwide occurrence records suggest a global decline in bee species richness. </w:t>
      </w:r>
      <w:r w:rsidRPr="00513513">
        <w:rPr>
          <w:rFonts w:ascii="Times" w:hAnsi="Times"/>
          <w:i/>
          <w:iCs/>
          <w:sz w:val="22"/>
          <w:szCs w:val="22"/>
        </w:rPr>
        <w:t>One Earth</w:t>
      </w:r>
      <w:r w:rsidRPr="00513513">
        <w:rPr>
          <w:rFonts w:ascii="Times" w:hAnsi="Times"/>
          <w:sz w:val="22"/>
          <w:szCs w:val="22"/>
        </w:rPr>
        <w:t xml:space="preserve">, </w:t>
      </w:r>
      <w:r w:rsidRPr="00513513">
        <w:rPr>
          <w:rFonts w:ascii="Times" w:hAnsi="Times"/>
          <w:i/>
          <w:iCs/>
          <w:sz w:val="22"/>
          <w:szCs w:val="22"/>
        </w:rPr>
        <w:t>4</w:t>
      </w:r>
      <w:r w:rsidRPr="00513513">
        <w:rPr>
          <w:rFonts w:ascii="Times" w:hAnsi="Times"/>
          <w:sz w:val="22"/>
          <w:szCs w:val="22"/>
        </w:rPr>
        <w:t>(1), 114–123. https://doi.org/10.1016/j.oneear.2020.12.005</w:t>
      </w:r>
    </w:p>
    <w:p w14:paraId="7F767D58" w14:textId="77777777" w:rsidR="00513513" w:rsidRPr="00513513" w:rsidRDefault="00513513" w:rsidP="00513513">
      <w:pPr>
        <w:pStyle w:val="Bibliography"/>
        <w:spacing w:line="240" w:lineRule="auto"/>
        <w:rPr>
          <w:rFonts w:ascii="Times" w:hAnsi="Times"/>
          <w:sz w:val="22"/>
          <w:szCs w:val="22"/>
        </w:rPr>
      </w:pPr>
      <w:proofErr w:type="spellStart"/>
      <w:r w:rsidRPr="00513513">
        <w:rPr>
          <w:rFonts w:ascii="Times" w:hAnsi="Times"/>
          <w:sz w:val="22"/>
          <w:szCs w:val="22"/>
        </w:rPr>
        <w:t>Zipkin</w:t>
      </w:r>
      <w:proofErr w:type="spellEnd"/>
      <w:r w:rsidRPr="00513513">
        <w:rPr>
          <w:rFonts w:ascii="Times" w:hAnsi="Times"/>
          <w:sz w:val="22"/>
          <w:szCs w:val="22"/>
        </w:rPr>
        <w:t xml:space="preserve">, E. F., </w:t>
      </w:r>
      <w:proofErr w:type="spellStart"/>
      <w:r w:rsidRPr="00513513">
        <w:rPr>
          <w:rFonts w:ascii="Times" w:hAnsi="Times"/>
          <w:sz w:val="22"/>
          <w:szCs w:val="22"/>
        </w:rPr>
        <w:t>DeWan</w:t>
      </w:r>
      <w:proofErr w:type="spellEnd"/>
      <w:r w:rsidRPr="00513513">
        <w:rPr>
          <w:rFonts w:ascii="Times" w:hAnsi="Times"/>
          <w:sz w:val="22"/>
          <w:szCs w:val="22"/>
        </w:rPr>
        <w:t xml:space="preserve">, A., &amp; Andrew </w:t>
      </w:r>
      <w:proofErr w:type="spellStart"/>
      <w:r w:rsidRPr="00513513">
        <w:rPr>
          <w:rFonts w:ascii="Times" w:hAnsi="Times"/>
          <w:sz w:val="22"/>
          <w:szCs w:val="22"/>
        </w:rPr>
        <w:t>Royle</w:t>
      </w:r>
      <w:proofErr w:type="spellEnd"/>
      <w:r w:rsidRPr="00513513">
        <w:rPr>
          <w:rFonts w:ascii="Times" w:hAnsi="Times"/>
          <w:sz w:val="22"/>
          <w:szCs w:val="22"/>
        </w:rPr>
        <w:t xml:space="preserve">, J. (2009). Impacts of forest fragmentation on species richness: A hierarchical approach to community modelling. </w:t>
      </w:r>
      <w:r w:rsidRPr="00513513">
        <w:rPr>
          <w:rFonts w:ascii="Times" w:hAnsi="Times"/>
          <w:i/>
          <w:iCs/>
          <w:sz w:val="22"/>
          <w:szCs w:val="22"/>
        </w:rPr>
        <w:t>Journal of Applied Ecology</w:t>
      </w:r>
      <w:r w:rsidRPr="00513513">
        <w:rPr>
          <w:rFonts w:ascii="Times" w:hAnsi="Times"/>
          <w:sz w:val="22"/>
          <w:szCs w:val="22"/>
        </w:rPr>
        <w:t xml:space="preserve">, </w:t>
      </w:r>
      <w:r w:rsidRPr="00513513">
        <w:rPr>
          <w:rFonts w:ascii="Times" w:hAnsi="Times"/>
          <w:i/>
          <w:iCs/>
          <w:sz w:val="22"/>
          <w:szCs w:val="22"/>
        </w:rPr>
        <w:t>46</w:t>
      </w:r>
      <w:r w:rsidRPr="00513513">
        <w:rPr>
          <w:rFonts w:ascii="Times" w:hAnsi="Times"/>
          <w:sz w:val="22"/>
          <w:szCs w:val="22"/>
        </w:rPr>
        <w:t>(4), 815–822. https://doi.org/10.1111/j.1365-2664.2009.01664.x</w:t>
      </w:r>
    </w:p>
    <w:p w14:paraId="37F43E1D" w14:textId="26081C35" w:rsidR="009F7BA5" w:rsidRDefault="00513513" w:rsidP="00513513">
      <w:pPr>
        <w:rPr>
          <w:rFonts w:ascii="Roboto" w:eastAsia="Roboto" w:hAnsi="Roboto" w:cs="Roboto"/>
          <w:sz w:val="21"/>
          <w:szCs w:val="21"/>
          <w:highlight w:val="white"/>
        </w:rPr>
      </w:pPr>
      <w:r w:rsidRPr="00513513">
        <w:rPr>
          <w:rFonts w:ascii="Times" w:eastAsia="Roboto" w:hAnsi="Times" w:cs="Roboto"/>
          <w:sz w:val="22"/>
          <w:szCs w:val="22"/>
          <w:highlight w:val="white"/>
        </w:rPr>
        <w:fldChar w:fldCharType="end"/>
      </w:r>
      <w:r w:rsidR="009F7BA5">
        <w:rPr>
          <w:rFonts w:ascii="Roboto" w:eastAsia="Roboto" w:hAnsi="Roboto" w:cs="Roboto"/>
          <w:sz w:val="21"/>
          <w:szCs w:val="21"/>
          <w:highlight w:val="white"/>
        </w:rPr>
        <w:br w:type="page"/>
      </w:r>
    </w:p>
    <w:p w14:paraId="5A02DA73" w14:textId="1F87CDF0" w:rsidR="00413978" w:rsidRDefault="00000000">
      <w:pPr>
        <w:rPr>
          <w:rFonts w:ascii="Times New Roman" w:eastAsia="Times New Roman" w:hAnsi="Times New Roman" w:cs="Times New Roman"/>
          <w:b/>
          <w:smallCaps/>
        </w:rPr>
      </w:pPr>
      <w:r>
        <w:rPr>
          <w:rFonts w:ascii="Times New Roman" w:eastAsia="Times New Roman" w:hAnsi="Times New Roman" w:cs="Times New Roman"/>
          <w:b/>
          <w:smallCaps/>
        </w:rPr>
        <w:lastRenderedPageBreak/>
        <w:t>Figures &amp; Tables</w:t>
      </w:r>
    </w:p>
    <w:p w14:paraId="3A8360DF" w14:textId="77777777" w:rsidR="00413978" w:rsidRDefault="00413978">
      <w:pPr>
        <w:rPr>
          <w:rFonts w:ascii="Times New Roman" w:eastAsia="Times New Roman" w:hAnsi="Times New Roman" w:cs="Times New Roman"/>
        </w:rPr>
      </w:pPr>
    </w:p>
    <w:p w14:paraId="5D280CDF"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Table 1. Summary of parameter estimates from multi-species occupancy model. We include parameter definitions, symbols, mean and standard deviation (SD) of the posterior distributions, and the 95% Credible Interval. All </w:t>
      </w:r>
      <w:r>
        <w:rPr>
          <w:rFonts w:ascii="Times New Roman" w:eastAsia="Times New Roman" w:hAnsi="Times New Roman" w:cs="Times New Roman"/>
          <w:color w:val="000000"/>
        </w:rPr>
        <w:t xml:space="preserve">μ, </w:t>
      </w:r>
      <w:r>
        <w:rPr>
          <w:rFonts w:ascii="Symbol" w:eastAsia="Symbol" w:hAnsi="Symbol" w:cs="Symbol"/>
          <w:color w:val="000000"/>
        </w:rPr>
        <w:t>β</w:t>
      </w:r>
      <w:r>
        <w:rPr>
          <w:rFonts w:ascii="Noto Sans Symbols" w:eastAsia="Noto Sans Symbols" w:hAnsi="Noto Sans Symbols" w:cs="Noto Sans Symbols"/>
          <w:color w:val="000000"/>
        </w:rPr>
        <w:t xml:space="preserve">, </w:t>
      </w:r>
      <w:r>
        <w:rPr>
          <w:rFonts w:ascii="Times New Roman" w:eastAsia="Times New Roman" w:hAnsi="Times New Roman" w:cs="Times New Roman"/>
          <w:color w:val="000000"/>
        </w:rPr>
        <w:t xml:space="preserve">and </w:t>
      </w:r>
      <w:r>
        <w:rPr>
          <w:rFonts w:ascii="Symbol" w:eastAsia="Symbol" w:hAnsi="Symbol" w:cs="Symbol"/>
          <w:color w:val="000000"/>
        </w:rPr>
        <w:t>δ</w:t>
      </w:r>
      <w:r>
        <w:rPr>
          <w:rFonts w:ascii="Noto Sans Symbols" w:eastAsia="Noto Sans Symbols" w:hAnsi="Noto Sans Symbols" w:cs="Noto Sans Symbols"/>
          <w:color w:val="000000"/>
        </w:rPr>
        <w:t xml:space="preserve"> </w:t>
      </w:r>
      <w:r>
        <w:rPr>
          <w:rFonts w:ascii="Times New Roman" w:eastAsia="Times New Roman" w:hAnsi="Times New Roman" w:cs="Times New Roman"/>
          <w:color w:val="000000"/>
        </w:rPr>
        <w:t xml:space="preserve">values are on the logit scale. </w:t>
      </w:r>
    </w:p>
    <w:p w14:paraId="6482BA40" w14:textId="77777777" w:rsidR="00413978" w:rsidRDefault="00413978">
      <w:pPr>
        <w:rPr>
          <w:rFonts w:ascii="Times New Roman" w:eastAsia="Times New Roman" w:hAnsi="Times New Roman" w:cs="Times New Roman"/>
        </w:rPr>
      </w:pPr>
    </w:p>
    <w:tbl>
      <w:tblPr>
        <w:tblStyle w:val="a"/>
        <w:tblW w:w="7162" w:type="dxa"/>
        <w:tblInd w:w="-115" w:type="dxa"/>
        <w:tblLayout w:type="fixed"/>
        <w:tblLook w:val="0400" w:firstRow="0" w:lastRow="0" w:firstColumn="0" w:lastColumn="0" w:noHBand="0" w:noVBand="1"/>
      </w:tblPr>
      <w:tblGrid>
        <w:gridCol w:w="2460"/>
        <w:gridCol w:w="963"/>
        <w:gridCol w:w="763"/>
        <w:gridCol w:w="636"/>
        <w:gridCol w:w="1289"/>
        <w:gridCol w:w="1051"/>
      </w:tblGrid>
      <w:tr w:rsidR="00413978" w14:paraId="5348BBEF" w14:textId="77777777">
        <w:trPr>
          <w:trHeight w:val="340"/>
        </w:trPr>
        <w:tc>
          <w:tcPr>
            <w:tcW w:w="2460" w:type="dxa"/>
            <w:tcBorders>
              <w:top w:val="single" w:sz="4" w:space="0" w:color="000000"/>
              <w:left w:val="nil"/>
              <w:bottom w:val="single" w:sz="6" w:space="0" w:color="000000"/>
              <w:right w:val="nil"/>
            </w:tcBorders>
            <w:shd w:val="clear" w:color="auto" w:fill="auto"/>
            <w:vAlign w:val="bottom"/>
          </w:tcPr>
          <w:p w14:paraId="06301108"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Parameter definition</w:t>
            </w:r>
          </w:p>
        </w:tc>
        <w:tc>
          <w:tcPr>
            <w:tcW w:w="963" w:type="dxa"/>
            <w:tcBorders>
              <w:top w:val="single" w:sz="4" w:space="0" w:color="000000"/>
              <w:left w:val="nil"/>
              <w:bottom w:val="single" w:sz="6" w:space="0" w:color="000000"/>
              <w:right w:val="nil"/>
            </w:tcBorders>
            <w:shd w:val="clear" w:color="auto" w:fill="auto"/>
            <w:vAlign w:val="bottom"/>
          </w:tcPr>
          <w:p w14:paraId="7D0A02F8"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Symbol</w:t>
            </w:r>
          </w:p>
        </w:tc>
        <w:tc>
          <w:tcPr>
            <w:tcW w:w="763" w:type="dxa"/>
            <w:tcBorders>
              <w:top w:val="single" w:sz="4" w:space="0" w:color="000000"/>
              <w:left w:val="nil"/>
              <w:bottom w:val="single" w:sz="6" w:space="0" w:color="000000"/>
              <w:right w:val="nil"/>
            </w:tcBorders>
            <w:shd w:val="clear" w:color="auto" w:fill="auto"/>
            <w:vAlign w:val="bottom"/>
          </w:tcPr>
          <w:p w14:paraId="0420E49A"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Mean</w:t>
            </w:r>
          </w:p>
        </w:tc>
        <w:tc>
          <w:tcPr>
            <w:tcW w:w="636" w:type="dxa"/>
            <w:tcBorders>
              <w:top w:val="single" w:sz="4" w:space="0" w:color="000000"/>
              <w:left w:val="nil"/>
              <w:bottom w:val="single" w:sz="6" w:space="0" w:color="000000"/>
              <w:right w:val="nil"/>
            </w:tcBorders>
            <w:shd w:val="clear" w:color="auto" w:fill="auto"/>
            <w:vAlign w:val="bottom"/>
          </w:tcPr>
          <w:p w14:paraId="7CEE88D6"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SD</w:t>
            </w:r>
          </w:p>
        </w:tc>
        <w:tc>
          <w:tcPr>
            <w:tcW w:w="2340" w:type="dxa"/>
            <w:gridSpan w:val="2"/>
            <w:tcBorders>
              <w:top w:val="single" w:sz="4" w:space="0" w:color="000000"/>
              <w:left w:val="nil"/>
              <w:bottom w:val="single" w:sz="6" w:space="0" w:color="000000"/>
              <w:right w:val="nil"/>
            </w:tcBorders>
            <w:shd w:val="clear" w:color="auto" w:fill="auto"/>
            <w:vAlign w:val="bottom"/>
          </w:tcPr>
          <w:p w14:paraId="66046FFA" w14:textId="77777777" w:rsidR="00413978"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95% Credible Interval</w:t>
            </w:r>
          </w:p>
        </w:tc>
      </w:tr>
      <w:tr w:rsidR="00413978" w14:paraId="7EBD9C5A" w14:textId="77777777">
        <w:trPr>
          <w:trHeight w:val="720"/>
        </w:trPr>
        <w:tc>
          <w:tcPr>
            <w:tcW w:w="2460" w:type="dxa"/>
            <w:tcBorders>
              <w:top w:val="nil"/>
              <w:left w:val="nil"/>
              <w:bottom w:val="nil"/>
              <w:right w:val="nil"/>
            </w:tcBorders>
            <w:shd w:val="clear" w:color="auto" w:fill="auto"/>
            <w:vAlign w:val="bottom"/>
          </w:tcPr>
          <w:p w14:paraId="285EB22B"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Average bee-plant </w:t>
            </w:r>
            <w:r>
              <w:rPr>
                <w:rFonts w:ascii="Times New Roman" w:eastAsia="Times New Roman" w:hAnsi="Times New Roman" w:cs="Times New Roman"/>
                <w:color w:val="000000"/>
              </w:rPr>
              <w:br/>
              <w:t>detection probability</w:t>
            </w:r>
          </w:p>
        </w:tc>
        <w:tc>
          <w:tcPr>
            <w:tcW w:w="963" w:type="dxa"/>
            <w:tcBorders>
              <w:top w:val="nil"/>
              <w:left w:val="nil"/>
              <w:bottom w:val="nil"/>
              <w:right w:val="nil"/>
            </w:tcBorders>
            <w:shd w:val="clear" w:color="auto" w:fill="auto"/>
            <w:vAlign w:val="bottom"/>
          </w:tcPr>
          <w:p w14:paraId="53E5D624" w14:textId="77777777" w:rsidR="00413978" w:rsidRDefault="00000000">
            <w:pP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μ</w:t>
            </w:r>
            <w:r>
              <w:rPr>
                <w:rFonts w:ascii="Times New Roman" w:eastAsia="Times New Roman" w:hAnsi="Times New Roman" w:cs="Times New Roman"/>
                <w:color w:val="000000"/>
                <w:vertAlign w:val="subscript"/>
              </w:rPr>
              <w:t>p</w:t>
            </w:r>
            <w:proofErr w:type="spellEnd"/>
          </w:p>
        </w:tc>
        <w:tc>
          <w:tcPr>
            <w:tcW w:w="763" w:type="dxa"/>
            <w:tcBorders>
              <w:top w:val="nil"/>
              <w:left w:val="nil"/>
              <w:bottom w:val="nil"/>
              <w:right w:val="nil"/>
            </w:tcBorders>
            <w:shd w:val="clear" w:color="auto" w:fill="auto"/>
            <w:vAlign w:val="bottom"/>
          </w:tcPr>
          <w:p w14:paraId="3354F799"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-3.39</w:t>
            </w:r>
          </w:p>
        </w:tc>
        <w:tc>
          <w:tcPr>
            <w:tcW w:w="636" w:type="dxa"/>
            <w:tcBorders>
              <w:top w:val="nil"/>
              <w:left w:val="nil"/>
              <w:bottom w:val="nil"/>
              <w:right w:val="nil"/>
            </w:tcBorders>
            <w:shd w:val="clear" w:color="auto" w:fill="auto"/>
            <w:vAlign w:val="bottom"/>
          </w:tcPr>
          <w:p w14:paraId="5DAB7E39"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1289" w:type="dxa"/>
            <w:tcBorders>
              <w:top w:val="nil"/>
              <w:left w:val="nil"/>
              <w:bottom w:val="nil"/>
              <w:right w:val="nil"/>
            </w:tcBorders>
            <w:shd w:val="clear" w:color="auto" w:fill="auto"/>
            <w:vAlign w:val="bottom"/>
          </w:tcPr>
          <w:p w14:paraId="1716422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-4.51</w:t>
            </w:r>
          </w:p>
        </w:tc>
        <w:tc>
          <w:tcPr>
            <w:tcW w:w="1051" w:type="dxa"/>
            <w:tcBorders>
              <w:top w:val="nil"/>
              <w:left w:val="nil"/>
              <w:bottom w:val="nil"/>
              <w:right w:val="nil"/>
            </w:tcBorders>
            <w:shd w:val="clear" w:color="auto" w:fill="auto"/>
            <w:vAlign w:val="bottom"/>
          </w:tcPr>
          <w:p w14:paraId="4BF485C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-2.27</w:t>
            </w:r>
          </w:p>
        </w:tc>
      </w:tr>
      <w:tr w:rsidR="00413978" w14:paraId="6E1317B2" w14:textId="77777777">
        <w:trPr>
          <w:trHeight w:val="700"/>
        </w:trPr>
        <w:tc>
          <w:tcPr>
            <w:tcW w:w="2460" w:type="dxa"/>
            <w:tcBorders>
              <w:top w:val="nil"/>
              <w:left w:val="nil"/>
              <w:bottom w:val="nil"/>
              <w:right w:val="nil"/>
            </w:tcBorders>
            <w:shd w:val="clear" w:color="auto" w:fill="auto"/>
            <w:vAlign w:val="bottom"/>
          </w:tcPr>
          <w:p w14:paraId="4B242035"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Average bee-plant </w:t>
            </w:r>
            <w:r>
              <w:rPr>
                <w:rFonts w:ascii="Times New Roman" w:eastAsia="Times New Roman" w:hAnsi="Times New Roman" w:cs="Times New Roman"/>
                <w:color w:val="000000"/>
              </w:rPr>
              <w:br/>
              <w:t>interaction probability</w:t>
            </w:r>
          </w:p>
        </w:tc>
        <w:tc>
          <w:tcPr>
            <w:tcW w:w="963" w:type="dxa"/>
            <w:tcBorders>
              <w:top w:val="nil"/>
              <w:left w:val="nil"/>
              <w:bottom w:val="nil"/>
              <w:right w:val="nil"/>
            </w:tcBorders>
            <w:shd w:val="clear" w:color="auto" w:fill="auto"/>
            <w:vAlign w:val="bottom"/>
          </w:tcPr>
          <w:p w14:paraId="43F4604E" w14:textId="77777777" w:rsidR="00413978" w:rsidRDefault="00000000">
            <w:pP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μ</w:t>
            </w:r>
            <w:r>
              <w:rPr>
                <w:rFonts w:ascii="Times New Roman" w:eastAsia="Times New Roman" w:hAnsi="Times New Roman" w:cs="Times New Roman"/>
                <w:color w:val="000000"/>
                <w:vertAlign w:val="subscript"/>
              </w:rPr>
              <w:t>Ѱ</w:t>
            </w:r>
            <w:proofErr w:type="spellEnd"/>
          </w:p>
        </w:tc>
        <w:tc>
          <w:tcPr>
            <w:tcW w:w="763" w:type="dxa"/>
            <w:tcBorders>
              <w:top w:val="nil"/>
              <w:left w:val="nil"/>
              <w:bottom w:val="nil"/>
              <w:right w:val="nil"/>
            </w:tcBorders>
            <w:shd w:val="clear" w:color="auto" w:fill="auto"/>
            <w:vAlign w:val="bottom"/>
          </w:tcPr>
          <w:p w14:paraId="111F5C04"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-0.51</w:t>
            </w:r>
          </w:p>
        </w:tc>
        <w:tc>
          <w:tcPr>
            <w:tcW w:w="636" w:type="dxa"/>
            <w:tcBorders>
              <w:top w:val="nil"/>
              <w:left w:val="nil"/>
              <w:bottom w:val="nil"/>
              <w:right w:val="nil"/>
            </w:tcBorders>
            <w:shd w:val="clear" w:color="auto" w:fill="auto"/>
            <w:vAlign w:val="bottom"/>
          </w:tcPr>
          <w:p w14:paraId="7B19CA7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0.74</w:t>
            </w:r>
          </w:p>
        </w:tc>
        <w:tc>
          <w:tcPr>
            <w:tcW w:w="1289" w:type="dxa"/>
            <w:tcBorders>
              <w:top w:val="nil"/>
              <w:left w:val="nil"/>
              <w:bottom w:val="nil"/>
              <w:right w:val="nil"/>
            </w:tcBorders>
            <w:shd w:val="clear" w:color="auto" w:fill="auto"/>
            <w:vAlign w:val="bottom"/>
          </w:tcPr>
          <w:p w14:paraId="2778F5DF"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-1.99</w:t>
            </w:r>
          </w:p>
        </w:tc>
        <w:tc>
          <w:tcPr>
            <w:tcW w:w="1051" w:type="dxa"/>
            <w:tcBorders>
              <w:top w:val="nil"/>
              <w:left w:val="nil"/>
              <w:bottom w:val="nil"/>
              <w:right w:val="nil"/>
            </w:tcBorders>
            <w:shd w:val="clear" w:color="auto" w:fill="auto"/>
            <w:vAlign w:val="bottom"/>
          </w:tcPr>
          <w:p w14:paraId="667D402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0.92</w:t>
            </w:r>
          </w:p>
        </w:tc>
      </w:tr>
      <w:tr w:rsidR="00413978" w14:paraId="58009B2B" w14:textId="77777777">
        <w:trPr>
          <w:trHeight w:val="700"/>
        </w:trPr>
        <w:tc>
          <w:tcPr>
            <w:tcW w:w="2460" w:type="dxa"/>
            <w:tcBorders>
              <w:top w:val="nil"/>
              <w:left w:val="nil"/>
              <w:bottom w:val="nil"/>
              <w:right w:val="nil"/>
            </w:tcBorders>
            <w:shd w:val="clear" w:color="auto" w:fill="auto"/>
            <w:vAlign w:val="bottom"/>
          </w:tcPr>
          <w:p w14:paraId="6D80E758"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Standard deviation of </w:t>
            </w:r>
            <w:r>
              <w:rPr>
                <w:rFonts w:ascii="Times New Roman" w:eastAsia="Times New Roman" w:hAnsi="Times New Roman" w:cs="Times New Roman"/>
                <w:color w:val="000000"/>
              </w:rPr>
              <w:br/>
              <w:t>bee-plant detections</w:t>
            </w:r>
          </w:p>
        </w:tc>
        <w:tc>
          <w:tcPr>
            <w:tcW w:w="963" w:type="dxa"/>
            <w:tcBorders>
              <w:top w:val="nil"/>
              <w:left w:val="nil"/>
              <w:bottom w:val="nil"/>
              <w:right w:val="nil"/>
            </w:tcBorders>
            <w:shd w:val="clear" w:color="auto" w:fill="auto"/>
            <w:vAlign w:val="bottom"/>
          </w:tcPr>
          <w:p w14:paraId="05381987" w14:textId="77777777" w:rsidR="00413978" w:rsidRDefault="00000000">
            <w:pPr>
              <w:rPr>
                <w:rFonts w:ascii="Times New Roman" w:eastAsia="Times New Roman" w:hAnsi="Times New Roman" w:cs="Times New Roman"/>
                <w:color w:val="000000"/>
              </w:rPr>
            </w:pPr>
            <w:r>
              <w:rPr>
                <w:rFonts w:ascii="Cambria Math" w:eastAsia="Cambria Math" w:hAnsi="Cambria Math" w:cs="Cambria Math"/>
                <w:color w:val="000000"/>
              </w:rPr>
              <w:t>𝜎</w:t>
            </w:r>
            <w:r>
              <w:rPr>
                <w:rFonts w:ascii="Times New Roman" w:eastAsia="Times New Roman" w:hAnsi="Times New Roman" w:cs="Times New Roman"/>
                <w:color w:val="000000"/>
                <w:vertAlign w:val="subscript"/>
              </w:rPr>
              <w:t>p</w:t>
            </w:r>
            <w:r>
              <w:rPr>
                <w:rFonts w:ascii="Times New Roman" w:eastAsia="Times New Roman" w:hAnsi="Times New Roman" w:cs="Times New Roman"/>
                <w:color w:val="000000"/>
                <w:sz w:val="19"/>
                <w:szCs w:val="19"/>
                <w:vertAlign w:val="superscript"/>
              </w:rPr>
              <w:t>2</w:t>
            </w:r>
          </w:p>
        </w:tc>
        <w:tc>
          <w:tcPr>
            <w:tcW w:w="763" w:type="dxa"/>
            <w:tcBorders>
              <w:top w:val="nil"/>
              <w:left w:val="nil"/>
              <w:bottom w:val="nil"/>
              <w:right w:val="nil"/>
            </w:tcBorders>
            <w:shd w:val="clear" w:color="auto" w:fill="auto"/>
            <w:vAlign w:val="bottom"/>
          </w:tcPr>
          <w:p w14:paraId="5437FB9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1.77</w:t>
            </w:r>
          </w:p>
        </w:tc>
        <w:tc>
          <w:tcPr>
            <w:tcW w:w="636" w:type="dxa"/>
            <w:tcBorders>
              <w:top w:val="nil"/>
              <w:left w:val="nil"/>
              <w:bottom w:val="nil"/>
              <w:right w:val="nil"/>
            </w:tcBorders>
            <w:shd w:val="clear" w:color="auto" w:fill="auto"/>
            <w:vAlign w:val="bottom"/>
          </w:tcPr>
          <w:p w14:paraId="02BB24B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0.37</w:t>
            </w:r>
          </w:p>
        </w:tc>
        <w:tc>
          <w:tcPr>
            <w:tcW w:w="1289" w:type="dxa"/>
            <w:tcBorders>
              <w:top w:val="nil"/>
              <w:left w:val="nil"/>
              <w:bottom w:val="nil"/>
              <w:right w:val="nil"/>
            </w:tcBorders>
            <w:shd w:val="clear" w:color="auto" w:fill="auto"/>
            <w:vAlign w:val="bottom"/>
          </w:tcPr>
          <w:p w14:paraId="607BA8E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1.13</w:t>
            </w:r>
          </w:p>
        </w:tc>
        <w:tc>
          <w:tcPr>
            <w:tcW w:w="1051" w:type="dxa"/>
            <w:tcBorders>
              <w:top w:val="nil"/>
              <w:left w:val="nil"/>
              <w:bottom w:val="nil"/>
              <w:right w:val="nil"/>
            </w:tcBorders>
            <w:shd w:val="clear" w:color="auto" w:fill="auto"/>
            <w:vAlign w:val="bottom"/>
          </w:tcPr>
          <w:p w14:paraId="030AFFB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2.57</w:t>
            </w:r>
          </w:p>
        </w:tc>
      </w:tr>
      <w:tr w:rsidR="00413978" w14:paraId="7B1E069A" w14:textId="77777777">
        <w:trPr>
          <w:trHeight w:val="700"/>
        </w:trPr>
        <w:tc>
          <w:tcPr>
            <w:tcW w:w="2460" w:type="dxa"/>
            <w:tcBorders>
              <w:top w:val="nil"/>
              <w:left w:val="nil"/>
              <w:bottom w:val="nil"/>
              <w:right w:val="nil"/>
            </w:tcBorders>
            <w:shd w:val="clear" w:color="auto" w:fill="auto"/>
            <w:vAlign w:val="bottom"/>
          </w:tcPr>
          <w:p w14:paraId="2A4DA75A"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Standard deviation of </w:t>
            </w:r>
            <w:r>
              <w:rPr>
                <w:rFonts w:ascii="Times New Roman" w:eastAsia="Times New Roman" w:hAnsi="Times New Roman" w:cs="Times New Roman"/>
                <w:color w:val="000000"/>
              </w:rPr>
              <w:br/>
              <w:t>bee-plant interactions</w:t>
            </w:r>
          </w:p>
        </w:tc>
        <w:tc>
          <w:tcPr>
            <w:tcW w:w="963" w:type="dxa"/>
            <w:tcBorders>
              <w:top w:val="nil"/>
              <w:left w:val="nil"/>
              <w:bottom w:val="nil"/>
              <w:right w:val="nil"/>
            </w:tcBorders>
            <w:shd w:val="clear" w:color="auto" w:fill="auto"/>
            <w:vAlign w:val="bottom"/>
          </w:tcPr>
          <w:p w14:paraId="0019F34D" w14:textId="77777777" w:rsidR="00413978" w:rsidRDefault="00000000">
            <w:pPr>
              <w:rPr>
                <w:rFonts w:ascii="Times New Roman" w:eastAsia="Times New Roman" w:hAnsi="Times New Roman" w:cs="Times New Roman"/>
                <w:color w:val="000000"/>
              </w:rPr>
            </w:pPr>
            <w:r>
              <w:rPr>
                <w:rFonts w:ascii="Cambria Math" w:eastAsia="Cambria Math" w:hAnsi="Cambria Math" w:cs="Cambria Math"/>
                <w:color w:val="000000"/>
              </w:rPr>
              <w:t>𝜎</w:t>
            </w:r>
            <w:r>
              <w:rPr>
                <w:rFonts w:ascii="Times New Roman" w:eastAsia="Times New Roman" w:hAnsi="Times New Roman" w:cs="Times New Roman"/>
                <w:color w:val="000000"/>
                <w:vertAlign w:val="subscript"/>
              </w:rPr>
              <w:t>Ѱ</w:t>
            </w:r>
            <w:r>
              <w:rPr>
                <w:rFonts w:ascii="Times New Roman" w:eastAsia="Times New Roman" w:hAnsi="Times New Roman" w:cs="Times New Roman"/>
                <w:color w:val="000000"/>
                <w:sz w:val="19"/>
                <w:szCs w:val="19"/>
                <w:vertAlign w:val="superscript"/>
              </w:rPr>
              <w:t>2</w:t>
            </w:r>
          </w:p>
        </w:tc>
        <w:tc>
          <w:tcPr>
            <w:tcW w:w="763" w:type="dxa"/>
            <w:tcBorders>
              <w:top w:val="nil"/>
              <w:left w:val="nil"/>
              <w:bottom w:val="nil"/>
              <w:right w:val="nil"/>
            </w:tcBorders>
            <w:shd w:val="clear" w:color="auto" w:fill="auto"/>
            <w:vAlign w:val="bottom"/>
          </w:tcPr>
          <w:p w14:paraId="7E978F0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3.54</w:t>
            </w:r>
          </w:p>
        </w:tc>
        <w:tc>
          <w:tcPr>
            <w:tcW w:w="636" w:type="dxa"/>
            <w:tcBorders>
              <w:top w:val="nil"/>
              <w:left w:val="nil"/>
              <w:bottom w:val="nil"/>
              <w:right w:val="nil"/>
            </w:tcBorders>
            <w:shd w:val="clear" w:color="auto" w:fill="auto"/>
            <w:vAlign w:val="bottom"/>
          </w:tcPr>
          <w:p w14:paraId="17564F3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0.57</w:t>
            </w:r>
          </w:p>
        </w:tc>
        <w:tc>
          <w:tcPr>
            <w:tcW w:w="1289" w:type="dxa"/>
            <w:tcBorders>
              <w:top w:val="nil"/>
              <w:left w:val="nil"/>
              <w:bottom w:val="nil"/>
              <w:right w:val="nil"/>
            </w:tcBorders>
            <w:shd w:val="clear" w:color="auto" w:fill="auto"/>
            <w:vAlign w:val="bottom"/>
          </w:tcPr>
          <w:p w14:paraId="6529D27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2.48</w:t>
            </w:r>
          </w:p>
        </w:tc>
        <w:tc>
          <w:tcPr>
            <w:tcW w:w="1051" w:type="dxa"/>
            <w:tcBorders>
              <w:top w:val="nil"/>
              <w:left w:val="nil"/>
              <w:bottom w:val="nil"/>
              <w:right w:val="nil"/>
            </w:tcBorders>
            <w:shd w:val="clear" w:color="auto" w:fill="auto"/>
            <w:vAlign w:val="bottom"/>
          </w:tcPr>
          <w:p w14:paraId="107BDEC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4.70</w:t>
            </w:r>
          </w:p>
        </w:tc>
      </w:tr>
      <w:tr w:rsidR="00413978" w14:paraId="54D90B85" w14:textId="77777777">
        <w:trPr>
          <w:trHeight w:val="360"/>
        </w:trPr>
        <w:tc>
          <w:tcPr>
            <w:tcW w:w="2460" w:type="dxa"/>
            <w:tcBorders>
              <w:top w:val="nil"/>
              <w:left w:val="nil"/>
              <w:bottom w:val="nil"/>
              <w:right w:val="nil"/>
            </w:tcBorders>
            <w:shd w:val="clear" w:color="auto" w:fill="auto"/>
            <w:vAlign w:val="bottom"/>
          </w:tcPr>
          <w:p w14:paraId="49F03662"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size</w:t>
            </w:r>
          </w:p>
        </w:tc>
        <w:tc>
          <w:tcPr>
            <w:tcW w:w="963" w:type="dxa"/>
            <w:tcBorders>
              <w:top w:val="nil"/>
              <w:left w:val="nil"/>
              <w:bottom w:val="nil"/>
              <w:right w:val="nil"/>
            </w:tcBorders>
            <w:shd w:val="clear" w:color="auto" w:fill="auto"/>
            <w:vAlign w:val="bottom"/>
          </w:tcPr>
          <w:p w14:paraId="1F6331EF"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β</w:t>
            </w:r>
            <w:r>
              <w:rPr>
                <w:rFonts w:ascii="Symbol" w:eastAsia="Symbol" w:hAnsi="Symbol" w:cs="Symbol"/>
                <w:color w:val="000000"/>
                <w:vertAlign w:val="subscript"/>
              </w:rPr>
              <w:t>1</w:t>
            </w:r>
          </w:p>
        </w:tc>
        <w:tc>
          <w:tcPr>
            <w:tcW w:w="763" w:type="dxa"/>
            <w:tcBorders>
              <w:top w:val="nil"/>
              <w:left w:val="nil"/>
              <w:bottom w:val="nil"/>
              <w:right w:val="nil"/>
            </w:tcBorders>
            <w:shd w:val="clear" w:color="auto" w:fill="auto"/>
            <w:vAlign w:val="bottom"/>
          </w:tcPr>
          <w:p w14:paraId="3B7F599E"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1.51</w:t>
            </w:r>
          </w:p>
        </w:tc>
        <w:tc>
          <w:tcPr>
            <w:tcW w:w="636" w:type="dxa"/>
            <w:tcBorders>
              <w:top w:val="nil"/>
              <w:left w:val="nil"/>
              <w:bottom w:val="nil"/>
              <w:right w:val="nil"/>
            </w:tcBorders>
            <w:shd w:val="clear" w:color="auto" w:fill="auto"/>
            <w:vAlign w:val="bottom"/>
          </w:tcPr>
          <w:p w14:paraId="1F9DDA4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0.63</w:t>
            </w:r>
          </w:p>
        </w:tc>
        <w:tc>
          <w:tcPr>
            <w:tcW w:w="1289" w:type="dxa"/>
            <w:tcBorders>
              <w:top w:val="nil"/>
              <w:left w:val="nil"/>
              <w:bottom w:val="nil"/>
              <w:right w:val="nil"/>
            </w:tcBorders>
            <w:shd w:val="clear" w:color="auto" w:fill="auto"/>
            <w:vAlign w:val="bottom"/>
          </w:tcPr>
          <w:p w14:paraId="05CC253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0.39</w:t>
            </w:r>
          </w:p>
        </w:tc>
        <w:tc>
          <w:tcPr>
            <w:tcW w:w="1051" w:type="dxa"/>
            <w:tcBorders>
              <w:top w:val="nil"/>
              <w:left w:val="nil"/>
              <w:bottom w:val="nil"/>
              <w:right w:val="nil"/>
            </w:tcBorders>
            <w:shd w:val="clear" w:color="auto" w:fill="auto"/>
            <w:vAlign w:val="bottom"/>
          </w:tcPr>
          <w:p w14:paraId="03BBC09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2.85</w:t>
            </w:r>
          </w:p>
        </w:tc>
      </w:tr>
      <w:tr w:rsidR="00413978" w14:paraId="10745CA5" w14:textId="77777777">
        <w:trPr>
          <w:trHeight w:val="360"/>
        </w:trPr>
        <w:tc>
          <w:tcPr>
            <w:tcW w:w="2460" w:type="dxa"/>
            <w:tcBorders>
              <w:top w:val="nil"/>
              <w:left w:val="nil"/>
              <w:bottom w:val="nil"/>
              <w:right w:val="nil"/>
            </w:tcBorders>
            <w:shd w:val="clear" w:color="auto" w:fill="auto"/>
            <w:vAlign w:val="bottom"/>
          </w:tcPr>
          <w:p w14:paraId="259BC7E8"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sociality</w:t>
            </w:r>
          </w:p>
        </w:tc>
        <w:tc>
          <w:tcPr>
            <w:tcW w:w="963" w:type="dxa"/>
            <w:tcBorders>
              <w:top w:val="nil"/>
              <w:left w:val="nil"/>
              <w:bottom w:val="nil"/>
              <w:right w:val="nil"/>
            </w:tcBorders>
            <w:shd w:val="clear" w:color="auto" w:fill="auto"/>
            <w:vAlign w:val="bottom"/>
          </w:tcPr>
          <w:p w14:paraId="6450D9E8"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β</w:t>
            </w:r>
            <w:r>
              <w:rPr>
                <w:rFonts w:ascii="Symbol" w:eastAsia="Symbol" w:hAnsi="Symbol" w:cs="Symbol"/>
                <w:color w:val="000000"/>
                <w:vertAlign w:val="subscript"/>
              </w:rPr>
              <w:t>2</w:t>
            </w:r>
          </w:p>
        </w:tc>
        <w:tc>
          <w:tcPr>
            <w:tcW w:w="763" w:type="dxa"/>
            <w:tcBorders>
              <w:top w:val="nil"/>
              <w:left w:val="nil"/>
              <w:bottom w:val="nil"/>
              <w:right w:val="nil"/>
            </w:tcBorders>
            <w:shd w:val="clear" w:color="auto" w:fill="auto"/>
            <w:vAlign w:val="bottom"/>
          </w:tcPr>
          <w:p w14:paraId="0CC49631"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-9.80</w:t>
            </w:r>
          </w:p>
        </w:tc>
        <w:tc>
          <w:tcPr>
            <w:tcW w:w="636" w:type="dxa"/>
            <w:tcBorders>
              <w:top w:val="nil"/>
              <w:left w:val="nil"/>
              <w:bottom w:val="nil"/>
              <w:right w:val="nil"/>
            </w:tcBorders>
            <w:shd w:val="clear" w:color="auto" w:fill="auto"/>
            <w:vAlign w:val="bottom"/>
          </w:tcPr>
          <w:p w14:paraId="6CC2816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1.36</w:t>
            </w:r>
          </w:p>
        </w:tc>
        <w:tc>
          <w:tcPr>
            <w:tcW w:w="1289" w:type="dxa"/>
            <w:tcBorders>
              <w:top w:val="nil"/>
              <w:left w:val="nil"/>
              <w:bottom w:val="nil"/>
              <w:right w:val="nil"/>
            </w:tcBorders>
            <w:shd w:val="clear" w:color="auto" w:fill="auto"/>
            <w:vAlign w:val="bottom"/>
          </w:tcPr>
          <w:p w14:paraId="7CEB680A"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-12.42</w:t>
            </w:r>
          </w:p>
        </w:tc>
        <w:tc>
          <w:tcPr>
            <w:tcW w:w="1051" w:type="dxa"/>
            <w:tcBorders>
              <w:top w:val="nil"/>
              <w:left w:val="nil"/>
              <w:bottom w:val="nil"/>
              <w:right w:val="nil"/>
            </w:tcBorders>
            <w:shd w:val="clear" w:color="auto" w:fill="auto"/>
            <w:vAlign w:val="bottom"/>
          </w:tcPr>
          <w:p w14:paraId="6E03522C"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-6.90</w:t>
            </w:r>
          </w:p>
        </w:tc>
      </w:tr>
      <w:tr w:rsidR="00413978" w14:paraId="31A21F64" w14:textId="77777777">
        <w:trPr>
          <w:trHeight w:val="360"/>
        </w:trPr>
        <w:tc>
          <w:tcPr>
            <w:tcW w:w="2460" w:type="dxa"/>
            <w:tcBorders>
              <w:top w:val="nil"/>
              <w:left w:val="nil"/>
              <w:bottom w:val="nil"/>
              <w:right w:val="nil"/>
            </w:tcBorders>
            <w:shd w:val="clear" w:color="auto" w:fill="auto"/>
            <w:vAlign w:val="bottom"/>
          </w:tcPr>
          <w:p w14:paraId="5B12E6C1"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color</w:t>
            </w:r>
          </w:p>
        </w:tc>
        <w:tc>
          <w:tcPr>
            <w:tcW w:w="963" w:type="dxa"/>
            <w:tcBorders>
              <w:top w:val="nil"/>
              <w:left w:val="nil"/>
              <w:bottom w:val="nil"/>
              <w:right w:val="nil"/>
            </w:tcBorders>
            <w:shd w:val="clear" w:color="auto" w:fill="auto"/>
            <w:vAlign w:val="bottom"/>
          </w:tcPr>
          <w:p w14:paraId="7F2B5885"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β</w:t>
            </w:r>
            <w:r>
              <w:rPr>
                <w:rFonts w:ascii="Symbol" w:eastAsia="Symbol" w:hAnsi="Symbol" w:cs="Symbol"/>
                <w:color w:val="000000"/>
                <w:vertAlign w:val="subscript"/>
              </w:rPr>
              <w:t>3</w:t>
            </w:r>
          </w:p>
        </w:tc>
        <w:tc>
          <w:tcPr>
            <w:tcW w:w="763" w:type="dxa"/>
            <w:tcBorders>
              <w:top w:val="nil"/>
              <w:left w:val="nil"/>
              <w:bottom w:val="nil"/>
              <w:right w:val="nil"/>
            </w:tcBorders>
            <w:shd w:val="clear" w:color="auto" w:fill="auto"/>
            <w:vAlign w:val="bottom"/>
          </w:tcPr>
          <w:p w14:paraId="3CEFE16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1.59</w:t>
            </w:r>
          </w:p>
        </w:tc>
        <w:tc>
          <w:tcPr>
            <w:tcW w:w="636" w:type="dxa"/>
            <w:tcBorders>
              <w:top w:val="nil"/>
              <w:left w:val="nil"/>
              <w:bottom w:val="nil"/>
              <w:right w:val="nil"/>
            </w:tcBorders>
            <w:shd w:val="clear" w:color="auto" w:fill="auto"/>
            <w:vAlign w:val="bottom"/>
          </w:tcPr>
          <w:p w14:paraId="59A7D6D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0.43</w:t>
            </w:r>
          </w:p>
        </w:tc>
        <w:tc>
          <w:tcPr>
            <w:tcW w:w="1289" w:type="dxa"/>
            <w:tcBorders>
              <w:top w:val="nil"/>
              <w:left w:val="nil"/>
              <w:bottom w:val="nil"/>
              <w:right w:val="nil"/>
            </w:tcBorders>
            <w:shd w:val="clear" w:color="auto" w:fill="auto"/>
            <w:vAlign w:val="bottom"/>
          </w:tcPr>
          <w:p w14:paraId="16EA7B9C"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0.70</w:t>
            </w:r>
          </w:p>
        </w:tc>
        <w:tc>
          <w:tcPr>
            <w:tcW w:w="1051" w:type="dxa"/>
            <w:tcBorders>
              <w:top w:val="nil"/>
              <w:left w:val="nil"/>
              <w:bottom w:val="nil"/>
              <w:right w:val="nil"/>
            </w:tcBorders>
            <w:shd w:val="clear" w:color="auto" w:fill="auto"/>
            <w:vAlign w:val="bottom"/>
          </w:tcPr>
          <w:p w14:paraId="3C94C04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2.42</w:t>
            </w:r>
          </w:p>
        </w:tc>
      </w:tr>
      <w:tr w:rsidR="00413978" w14:paraId="60AD7301" w14:textId="77777777">
        <w:trPr>
          <w:trHeight w:val="360"/>
        </w:trPr>
        <w:tc>
          <w:tcPr>
            <w:tcW w:w="2460" w:type="dxa"/>
            <w:tcBorders>
              <w:top w:val="nil"/>
              <w:left w:val="nil"/>
              <w:bottom w:val="nil"/>
              <w:right w:val="nil"/>
            </w:tcBorders>
            <w:shd w:val="clear" w:color="auto" w:fill="auto"/>
            <w:vAlign w:val="bottom"/>
          </w:tcPr>
          <w:p w14:paraId="339B1BDE"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shape</w:t>
            </w:r>
          </w:p>
        </w:tc>
        <w:tc>
          <w:tcPr>
            <w:tcW w:w="963" w:type="dxa"/>
            <w:tcBorders>
              <w:top w:val="nil"/>
              <w:left w:val="nil"/>
              <w:bottom w:val="nil"/>
              <w:right w:val="nil"/>
            </w:tcBorders>
            <w:shd w:val="clear" w:color="auto" w:fill="auto"/>
            <w:vAlign w:val="bottom"/>
          </w:tcPr>
          <w:p w14:paraId="6088D3A3"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β</w:t>
            </w:r>
            <w:r>
              <w:rPr>
                <w:rFonts w:ascii="Symbol" w:eastAsia="Symbol" w:hAnsi="Symbol" w:cs="Symbol"/>
                <w:color w:val="000000"/>
                <w:vertAlign w:val="subscript"/>
              </w:rPr>
              <w:t>4</w:t>
            </w:r>
          </w:p>
        </w:tc>
        <w:tc>
          <w:tcPr>
            <w:tcW w:w="763" w:type="dxa"/>
            <w:tcBorders>
              <w:top w:val="nil"/>
              <w:left w:val="nil"/>
              <w:bottom w:val="nil"/>
              <w:right w:val="nil"/>
            </w:tcBorders>
            <w:shd w:val="clear" w:color="auto" w:fill="auto"/>
            <w:vAlign w:val="bottom"/>
          </w:tcPr>
          <w:p w14:paraId="7C2BF2B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1.21</w:t>
            </w:r>
          </w:p>
        </w:tc>
        <w:tc>
          <w:tcPr>
            <w:tcW w:w="636" w:type="dxa"/>
            <w:tcBorders>
              <w:top w:val="nil"/>
              <w:left w:val="nil"/>
              <w:bottom w:val="nil"/>
              <w:right w:val="nil"/>
            </w:tcBorders>
            <w:shd w:val="clear" w:color="auto" w:fill="auto"/>
            <w:vAlign w:val="bottom"/>
          </w:tcPr>
          <w:p w14:paraId="3D0A98B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0.43</w:t>
            </w:r>
          </w:p>
        </w:tc>
        <w:tc>
          <w:tcPr>
            <w:tcW w:w="1289" w:type="dxa"/>
            <w:tcBorders>
              <w:top w:val="nil"/>
              <w:left w:val="nil"/>
              <w:bottom w:val="nil"/>
              <w:right w:val="nil"/>
            </w:tcBorders>
            <w:shd w:val="clear" w:color="auto" w:fill="auto"/>
            <w:vAlign w:val="bottom"/>
          </w:tcPr>
          <w:p w14:paraId="5A92711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0.31</w:t>
            </w:r>
          </w:p>
        </w:tc>
        <w:tc>
          <w:tcPr>
            <w:tcW w:w="1051" w:type="dxa"/>
            <w:tcBorders>
              <w:top w:val="nil"/>
              <w:left w:val="nil"/>
              <w:bottom w:val="nil"/>
              <w:right w:val="nil"/>
            </w:tcBorders>
            <w:shd w:val="clear" w:color="auto" w:fill="auto"/>
            <w:vAlign w:val="bottom"/>
          </w:tcPr>
          <w:p w14:paraId="3F093E7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2.02</w:t>
            </w:r>
          </w:p>
        </w:tc>
      </w:tr>
      <w:tr w:rsidR="00413978" w14:paraId="13A74E4A" w14:textId="77777777">
        <w:trPr>
          <w:trHeight w:val="360"/>
        </w:trPr>
        <w:tc>
          <w:tcPr>
            <w:tcW w:w="2460" w:type="dxa"/>
            <w:tcBorders>
              <w:top w:val="nil"/>
              <w:left w:val="nil"/>
              <w:bottom w:val="nil"/>
              <w:right w:val="nil"/>
            </w:tcBorders>
            <w:shd w:val="clear" w:color="auto" w:fill="auto"/>
            <w:vAlign w:val="bottom"/>
          </w:tcPr>
          <w:p w14:paraId="7921D429"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size</w:t>
            </w:r>
          </w:p>
        </w:tc>
        <w:tc>
          <w:tcPr>
            <w:tcW w:w="963" w:type="dxa"/>
            <w:tcBorders>
              <w:top w:val="nil"/>
              <w:left w:val="nil"/>
              <w:bottom w:val="nil"/>
              <w:right w:val="nil"/>
            </w:tcBorders>
            <w:shd w:val="clear" w:color="auto" w:fill="auto"/>
            <w:vAlign w:val="bottom"/>
          </w:tcPr>
          <w:p w14:paraId="21D53131"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γ</w:t>
            </w:r>
            <w:r>
              <w:rPr>
                <w:rFonts w:ascii="Symbol" w:eastAsia="Symbol" w:hAnsi="Symbol" w:cs="Symbol"/>
                <w:i/>
                <w:color w:val="000000"/>
                <w:vertAlign w:val="subscript"/>
              </w:rPr>
              <w:t>1</w:t>
            </w:r>
          </w:p>
        </w:tc>
        <w:tc>
          <w:tcPr>
            <w:tcW w:w="763" w:type="dxa"/>
            <w:tcBorders>
              <w:top w:val="nil"/>
              <w:left w:val="nil"/>
              <w:bottom w:val="nil"/>
              <w:right w:val="nil"/>
            </w:tcBorders>
            <w:shd w:val="clear" w:color="auto" w:fill="auto"/>
            <w:vAlign w:val="bottom"/>
          </w:tcPr>
          <w:p w14:paraId="0ACCE7D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0.12</w:t>
            </w:r>
          </w:p>
        </w:tc>
        <w:tc>
          <w:tcPr>
            <w:tcW w:w="636" w:type="dxa"/>
            <w:tcBorders>
              <w:top w:val="nil"/>
              <w:left w:val="nil"/>
              <w:bottom w:val="nil"/>
              <w:right w:val="nil"/>
            </w:tcBorders>
            <w:shd w:val="clear" w:color="auto" w:fill="auto"/>
            <w:vAlign w:val="bottom"/>
          </w:tcPr>
          <w:p w14:paraId="71E7D29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0.32</w:t>
            </w:r>
          </w:p>
        </w:tc>
        <w:tc>
          <w:tcPr>
            <w:tcW w:w="1289" w:type="dxa"/>
            <w:tcBorders>
              <w:top w:val="nil"/>
              <w:left w:val="nil"/>
              <w:bottom w:val="nil"/>
              <w:right w:val="nil"/>
            </w:tcBorders>
            <w:shd w:val="clear" w:color="auto" w:fill="auto"/>
            <w:vAlign w:val="bottom"/>
          </w:tcPr>
          <w:p w14:paraId="6585D0E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59AB173C"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2D62C246" w14:textId="77777777">
        <w:trPr>
          <w:trHeight w:val="360"/>
        </w:trPr>
        <w:tc>
          <w:tcPr>
            <w:tcW w:w="2460" w:type="dxa"/>
            <w:tcBorders>
              <w:top w:val="nil"/>
              <w:left w:val="nil"/>
              <w:bottom w:val="nil"/>
              <w:right w:val="nil"/>
            </w:tcBorders>
            <w:shd w:val="clear" w:color="auto" w:fill="auto"/>
            <w:vAlign w:val="bottom"/>
          </w:tcPr>
          <w:p w14:paraId="1473192B"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sociality</w:t>
            </w:r>
          </w:p>
        </w:tc>
        <w:tc>
          <w:tcPr>
            <w:tcW w:w="963" w:type="dxa"/>
            <w:tcBorders>
              <w:top w:val="nil"/>
              <w:left w:val="nil"/>
              <w:bottom w:val="nil"/>
              <w:right w:val="nil"/>
            </w:tcBorders>
            <w:shd w:val="clear" w:color="auto" w:fill="auto"/>
            <w:vAlign w:val="bottom"/>
          </w:tcPr>
          <w:p w14:paraId="1E994783"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γ</w:t>
            </w:r>
            <w:r>
              <w:rPr>
                <w:rFonts w:ascii="Symbol" w:eastAsia="Symbol" w:hAnsi="Symbol" w:cs="Symbol"/>
                <w:i/>
                <w:color w:val="000000"/>
                <w:vertAlign w:val="subscript"/>
              </w:rPr>
              <w:t>2</w:t>
            </w:r>
          </w:p>
        </w:tc>
        <w:tc>
          <w:tcPr>
            <w:tcW w:w="763" w:type="dxa"/>
            <w:tcBorders>
              <w:top w:val="nil"/>
              <w:left w:val="nil"/>
              <w:bottom w:val="nil"/>
              <w:right w:val="nil"/>
            </w:tcBorders>
            <w:shd w:val="clear" w:color="auto" w:fill="auto"/>
            <w:vAlign w:val="bottom"/>
          </w:tcPr>
          <w:p w14:paraId="79592B9A"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636" w:type="dxa"/>
            <w:tcBorders>
              <w:top w:val="nil"/>
              <w:left w:val="nil"/>
              <w:bottom w:val="nil"/>
              <w:right w:val="nil"/>
            </w:tcBorders>
            <w:shd w:val="clear" w:color="auto" w:fill="auto"/>
            <w:vAlign w:val="bottom"/>
          </w:tcPr>
          <w:p w14:paraId="6CEAA9EE"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0.04</w:t>
            </w:r>
          </w:p>
        </w:tc>
        <w:tc>
          <w:tcPr>
            <w:tcW w:w="1289" w:type="dxa"/>
            <w:tcBorders>
              <w:top w:val="nil"/>
              <w:left w:val="nil"/>
              <w:bottom w:val="nil"/>
              <w:right w:val="nil"/>
            </w:tcBorders>
            <w:shd w:val="clear" w:color="auto" w:fill="auto"/>
            <w:vAlign w:val="bottom"/>
          </w:tcPr>
          <w:p w14:paraId="0185FA6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1051" w:type="dxa"/>
            <w:tcBorders>
              <w:top w:val="nil"/>
              <w:left w:val="nil"/>
              <w:bottom w:val="nil"/>
              <w:right w:val="nil"/>
            </w:tcBorders>
            <w:shd w:val="clear" w:color="auto" w:fill="auto"/>
            <w:vAlign w:val="bottom"/>
          </w:tcPr>
          <w:p w14:paraId="0BE3633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65D5C57D" w14:textId="77777777">
        <w:trPr>
          <w:trHeight w:val="360"/>
        </w:trPr>
        <w:tc>
          <w:tcPr>
            <w:tcW w:w="2460" w:type="dxa"/>
            <w:tcBorders>
              <w:top w:val="nil"/>
              <w:left w:val="nil"/>
              <w:bottom w:val="nil"/>
              <w:right w:val="nil"/>
            </w:tcBorders>
            <w:shd w:val="clear" w:color="auto" w:fill="auto"/>
            <w:vAlign w:val="bottom"/>
          </w:tcPr>
          <w:p w14:paraId="40C3D5BA"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color</w:t>
            </w:r>
          </w:p>
        </w:tc>
        <w:tc>
          <w:tcPr>
            <w:tcW w:w="963" w:type="dxa"/>
            <w:tcBorders>
              <w:top w:val="nil"/>
              <w:left w:val="nil"/>
              <w:bottom w:val="nil"/>
              <w:right w:val="nil"/>
            </w:tcBorders>
            <w:shd w:val="clear" w:color="auto" w:fill="auto"/>
            <w:vAlign w:val="bottom"/>
          </w:tcPr>
          <w:p w14:paraId="33EB1E0B"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γ</w:t>
            </w:r>
            <w:r>
              <w:rPr>
                <w:rFonts w:ascii="Symbol" w:eastAsia="Symbol" w:hAnsi="Symbol" w:cs="Symbol"/>
                <w:i/>
                <w:color w:val="000000"/>
                <w:vertAlign w:val="subscript"/>
              </w:rPr>
              <w:t>3</w:t>
            </w:r>
          </w:p>
        </w:tc>
        <w:tc>
          <w:tcPr>
            <w:tcW w:w="763" w:type="dxa"/>
            <w:tcBorders>
              <w:top w:val="nil"/>
              <w:left w:val="nil"/>
              <w:bottom w:val="nil"/>
              <w:right w:val="nil"/>
            </w:tcBorders>
            <w:shd w:val="clear" w:color="auto" w:fill="auto"/>
            <w:vAlign w:val="bottom"/>
          </w:tcPr>
          <w:p w14:paraId="5DEC6981"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0.13</w:t>
            </w:r>
          </w:p>
        </w:tc>
        <w:tc>
          <w:tcPr>
            <w:tcW w:w="636" w:type="dxa"/>
            <w:tcBorders>
              <w:top w:val="nil"/>
              <w:left w:val="nil"/>
              <w:bottom w:val="nil"/>
              <w:right w:val="nil"/>
            </w:tcBorders>
            <w:shd w:val="clear" w:color="auto" w:fill="auto"/>
            <w:vAlign w:val="bottom"/>
          </w:tcPr>
          <w:p w14:paraId="51986E14"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0.33</w:t>
            </w:r>
          </w:p>
        </w:tc>
        <w:tc>
          <w:tcPr>
            <w:tcW w:w="1289" w:type="dxa"/>
            <w:tcBorders>
              <w:top w:val="nil"/>
              <w:left w:val="nil"/>
              <w:bottom w:val="nil"/>
              <w:right w:val="nil"/>
            </w:tcBorders>
            <w:shd w:val="clear" w:color="auto" w:fill="auto"/>
            <w:vAlign w:val="bottom"/>
          </w:tcPr>
          <w:p w14:paraId="5FC3C48A"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7457C2B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310EBDB3" w14:textId="77777777">
        <w:trPr>
          <w:trHeight w:val="360"/>
        </w:trPr>
        <w:tc>
          <w:tcPr>
            <w:tcW w:w="2460" w:type="dxa"/>
            <w:tcBorders>
              <w:top w:val="nil"/>
              <w:left w:val="nil"/>
              <w:bottom w:val="nil"/>
              <w:right w:val="nil"/>
            </w:tcBorders>
            <w:shd w:val="clear" w:color="auto" w:fill="auto"/>
            <w:vAlign w:val="bottom"/>
          </w:tcPr>
          <w:p w14:paraId="55063289"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shape</w:t>
            </w:r>
          </w:p>
        </w:tc>
        <w:tc>
          <w:tcPr>
            <w:tcW w:w="963" w:type="dxa"/>
            <w:tcBorders>
              <w:top w:val="nil"/>
              <w:left w:val="nil"/>
              <w:bottom w:val="nil"/>
              <w:right w:val="nil"/>
            </w:tcBorders>
            <w:shd w:val="clear" w:color="auto" w:fill="auto"/>
            <w:vAlign w:val="bottom"/>
          </w:tcPr>
          <w:p w14:paraId="69CDA1B6"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γ</w:t>
            </w:r>
            <w:r>
              <w:rPr>
                <w:rFonts w:ascii="Symbol" w:eastAsia="Symbol" w:hAnsi="Symbol" w:cs="Symbol"/>
                <w:i/>
                <w:color w:val="000000"/>
                <w:vertAlign w:val="subscript"/>
              </w:rPr>
              <w:t>4</w:t>
            </w:r>
          </w:p>
        </w:tc>
        <w:tc>
          <w:tcPr>
            <w:tcW w:w="763" w:type="dxa"/>
            <w:tcBorders>
              <w:top w:val="nil"/>
              <w:left w:val="nil"/>
              <w:bottom w:val="nil"/>
              <w:right w:val="nil"/>
            </w:tcBorders>
            <w:shd w:val="clear" w:color="auto" w:fill="auto"/>
            <w:vAlign w:val="bottom"/>
          </w:tcPr>
          <w:p w14:paraId="10C1AB3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0.08</w:t>
            </w:r>
          </w:p>
        </w:tc>
        <w:tc>
          <w:tcPr>
            <w:tcW w:w="636" w:type="dxa"/>
            <w:tcBorders>
              <w:top w:val="nil"/>
              <w:left w:val="nil"/>
              <w:bottom w:val="nil"/>
              <w:right w:val="nil"/>
            </w:tcBorders>
            <w:shd w:val="clear" w:color="auto" w:fill="auto"/>
            <w:vAlign w:val="bottom"/>
          </w:tcPr>
          <w:p w14:paraId="70D15C1A"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0.27</w:t>
            </w:r>
          </w:p>
        </w:tc>
        <w:tc>
          <w:tcPr>
            <w:tcW w:w="1289" w:type="dxa"/>
            <w:tcBorders>
              <w:top w:val="nil"/>
              <w:left w:val="nil"/>
              <w:bottom w:val="nil"/>
              <w:right w:val="nil"/>
            </w:tcBorders>
            <w:shd w:val="clear" w:color="auto" w:fill="auto"/>
            <w:vAlign w:val="bottom"/>
          </w:tcPr>
          <w:p w14:paraId="2AC7417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39273AF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5205D591" w14:textId="77777777">
        <w:trPr>
          <w:trHeight w:val="360"/>
        </w:trPr>
        <w:tc>
          <w:tcPr>
            <w:tcW w:w="2460" w:type="dxa"/>
            <w:tcBorders>
              <w:top w:val="nil"/>
              <w:left w:val="nil"/>
              <w:bottom w:val="nil"/>
              <w:right w:val="nil"/>
            </w:tcBorders>
            <w:shd w:val="clear" w:color="auto" w:fill="auto"/>
            <w:vAlign w:val="bottom"/>
          </w:tcPr>
          <w:p w14:paraId="1D9041F0"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stripes</w:t>
            </w:r>
          </w:p>
        </w:tc>
        <w:tc>
          <w:tcPr>
            <w:tcW w:w="963" w:type="dxa"/>
            <w:tcBorders>
              <w:top w:val="nil"/>
              <w:left w:val="nil"/>
              <w:bottom w:val="nil"/>
              <w:right w:val="nil"/>
            </w:tcBorders>
            <w:shd w:val="clear" w:color="auto" w:fill="auto"/>
            <w:vAlign w:val="bottom"/>
          </w:tcPr>
          <w:p w14:paraId="423E59B9"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1</w:t>
            </w:r>
          </w:p>
        </w:tc>
        <w:tc>
          <w:tcPr>
            <w:tcW w:w="763" w:type="dxa"/>
            <w:tcBorders>
              <w:top w:val="nil"/>
              <w:left w:val="nil"/>
              <w:bottom w:val="nil"/>
              <w:right w:val="nil"/>
            </w:tcBorders>
            <w:shd w:val="clear" w:color="auto" w:fill="auto"/>
            <w:vAlign w:val="bottom"/>
          </w:tcPr>
          <w:p w14:paraId="6D04D74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-0.16</w:t>
            </w:r>
          </w:p>
        </w:tc>
        <w:tc>
          <w:tcPr>
            <w:tcW w:w="636" w:type="dxa"/>
            <w:tcBorders>
              <w:top w:val="nil"/>
              <w:left w:val="nil"/>
              <w:bottom w:val="nil"/>
              <w:right w:val="nil"/>
            </w:tcBorders>
            <w:shd w:val="clear" w:color="auto" w:fill="auto"/>
            <w:vAlign w:val="bottom"/>
          </w:tcPr>
          <w:p w14:paraId="6DC302FF"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0.56</w:t>
            </w:r>
          </w:p>
        </w:tc>
        <w:tc>
          <w:tcPr>
            <w:tcW w:w="1289" w:type="dxa"/>
            <w:tcBorders>
              <w:top w:val="nil"/>
              <w:left w:val="nil"/>
              <w:bottom w:val="nil"/>
              <w:right w:val="nil"/>
            </w:tcBorders>
            <w:shd w:val="clear" w:color="auto" w:fill="auto"/>
            <w:vAlign w:val="bottom"/>
          </w:tcPr>
          <w:p w14:paraId="6D56F2EF"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-1.75</w:t>
            </w:r>
          </w:p>
        </w:tc>
        <w:tc>
          <w:tcPr>
            <w:tcW w:w="1051" w:type="dxa"/>
            <w:tcBorders>
              <w:top w:val="nil"/>
              <w:left w:val="nil"/>
              <w:bottom w:val="nil"/>
              <w:right w:val="nil"/>
            </w:tcBorders>
            <w:shd w:val="clear" w:color="auto" w:fill="auto"/>
            <w:vAlign w:val="bottom"/>
          </w:tcPr>
          <w:p w14:paraId="3BB2B63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0.78</w:t>
            </w:r>
          </w:p>
        </w:tc>
      </w:tr>
      <w:tr w:rsidR="00413978" w14:paraId="598585C3" w14:textId="77777777">
        <w:trPr>
          <w:trHeight w:val="360"/>
        </w:trPr>
        <w:tc>
          <w:tcPr>
            <w:tcW w:w="2460" w:type="dxa"/>
            <w:tcBorders>
              <w:top w:val="nil"/>
              <w:left w:val="nil"/>
              <w:bottom w:val="nil"/>
              <w:right w:val="nil"/>
            </w:tcBorders>
            <w:shd w:val="clear" w:color="auto" w:fill="auto"/>
            <w:vAlign w:val="bottom"/>
          </w:tcPr>
          <w:p w14:paraId="44DEF73D"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size</w:t>
            </w:r>
          </w:p>
        </w:tc>
        <w:tc>
          <w:tcPr>
            <w:tcW w:w="963" w:type="dxa"/>
            <w:tcBorders>
              <w:top w:val="nil"/>
              <w:left w:val="nil"/>
              <w:bottom w:val="nil"/>
              <w:right w:val="nil"/>
            </w:tcBorders>
            <w:shd w:val="clear" w:color="auto" w:fill="auto"/>
            <w:vAlign w:val="bottom"/>
          </w:tcPr>
          <w:p w14:paraId="38BFB7A7"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2</w:t>
            </w:r>
          </w:p>
        </w:tc>
        <w:tc>
          <w:tcPr>
            <w:tcW w:w="763" w:type="dxa"/>
            <w:tcBorders>
              <w:top w:val="nil"/>
              <w:left w:val="nil"/>
              <w:bottom w:val="nil"/>
              <w:right w:val="nil"/>
            </w:tcBorders>
            <w:shd w:val="clear" w:color="auto" w:fill="auto"/>
            <w:vAlign w:val="bottom"/>
          </w:tcPr>
          <w:p w14:paraId="2DF5490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-0.51</w:t>
            </w:r>
          </w:p>
        </w:tc>
        <w:tc>
          <w:tcPr>
            <w:tcW w:w="636" w:type="dxa"/>
            <w:tcBorders>
              <w:top w:val="nil"/>
              <w:left w:val="nil"/>
              <w:bottom w:val="nil"/>
              <w:right w:val="nil"/>
            </w:tcBorders>
            <w:shd w:val="clear" w:color="auto" w:fill="auto"/>
            <w:vAlign w:val="bottom"/>
          </w:tcPr>
          <w:p w14:paraId="35FE5BD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0.53</w:t>
            </w:r>
          </w:p>
        </w:tc>
        <w:tc>
          <w:tcPr>
            <w:tcW w:w="1289" w:type="dxa"/>
            <w:tcBorders>
              <w:top w:val="nil"/>
              <w:left w:val="nil"/>
              <w:bottom w:val="nil"/>
              <w:right w:val="nil"/>
            </w:tcBorders>
            <w:shd w:val="clear" w:color="auto" w:fill="auto"/>
            <w:vAlign w:val="bottom"/>
          </w:tcPr>
          <w:p w14:paraId="7A1634F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-1.61</w:t>
            </w:r>
          </w:p>
        </w:tc>
        <w:tc>
          <w:tcPr>
            <w:tcW w:w="1051" w:type="dxa"/>
            <w:tcBorders>
              <w:top w:val="nil"/>
              <w:left w:val="nil"/>
              <w:bottom w:val="nil"/>
              <w:right w:val="nil"/>
            </w:tcBorders>
            <w:shd w:val="clear" w:color="auto" w:fill="auto"/>
            <w:vAlign w:val="bottom"/>
          </w:tcPr>
          <w:p w14:paraId="40FA330E"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0.12</w:t>
            </w:r>
          </w:p>
        </w:tc>
      </w:tr>
      <w:tr w:rsidR="00413978" w14:paraId="2A0E6E19" w14:textId="77777777">
        <w:trPr>
          <w:trHeight w:val="700"/>
        </w:trPr>
        <w:tc>
          <w:tcPr>
            <w:tcW w:w="2460" w:type="dxa"/>
            <w:tcBorders>
              <w:top w:val="nil"/>
              <w:left w:val="nil"/>
              <w:bottom w:val="nil"/>
              <w:right w:val="nil"/>
            </w:tcBorders>
            <w:shd w:val="clear" w:color="auto" w:fill="auto"/>
            <w:vAlign w:val="bottom"/>
          </w:tcPr>
          <w:p w14:paraId="72697655"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Survey month</w:t>
            </w:r>
            <w:r>
              <w:rPr>
                <w:rFonts w:ascii="Times New Roman" w:eastAsia="Times New Roman" w:hAnsi="Times New Roman" w:cs="Times New Roman"/>
                <w:color w:val="000000"/>
              </w:rPr>
              <w:br/>
              <w:t>linear</w:t>
            </w:r>
          </w:p>
        </w:tc>
        <w:tc>
          <w:tcPr>
            <w:tcW w:w="963" w:type="dxa"/>
            <w:tcBorders>
              <w:top w:val="nil"/>
              <w:left w:val="nil"/>
              <w:bottom w:val="nil"/>
              <w:right w:val="nil"/>
            </w:tcBorders>
            <w:shd w:val="clear" w:color="auto" w:fill="auto"/>
            <w:vAlign w:val="bottom"/>
          </w:tcPr>
          <w:p w14:paraId="52ED9BAE"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3</w:t>
            </w:r>
          </w:p>
        </w:tc>
        <w:tc>
          <w:tcPr>
            <w:tcW w:w="763" w:type="dxa"/>
            <w:tcBorders>
              <w:top w:val="nil"/>
              <w:left w:val="nil"/>
              <w:bottom w:val="nil"/>
              <w:right w:val="nil"/>
            </w:tcBorders>
            <w:shd w:val="clear" w:color="auto" w:fill="auto"/>
            <w:vAlign w:val="bottom"/>
          </w:tcPr>
          <w:p w14:paraId="007A455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0.08</w:t>
            </w:r>
          </w:p>
        </w:tc>
        <w:tc>
          <w:tcPr>
            <w:tcW w:w="636" w:type="dxa"/>
            <w:tcBorders>
              <w:top w:val="nil"/>
              <w:left w:val="nil"/>
              <w:bottom w:val="nil"/>
              <w:right w:val="nil"/>
            </w:tcBorders>
            <w:shd w:val="clear" w:color="auto" w:fill="auto"/>
            <w:vAlign w:val="bottom"/>
          </w:tcPr>
          <w:p w14:paraId="6DC3005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0.14</w:t>
            </w:r>
          </w:p>
        </w:tc>
        <w:tc>
          <w:tcPr>
            <w:tcW w:w="1289" w:type="dxa"/>
            <w:tcBorders>
              <w:top w:val="nil"/>
              <w:left w:val="nil"/>
              <w:bottom w:val="nil"/>
              <w:right w:val="nil"/>
            </w:tcBorders>
            <w:shd w:val="clear" w:color="auto" w:fill="auto"/>
            <w:vAlign w:val="bottom"/>
          </w:tcPr>
          <w:p w14:paraId="6CF1968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-0.08</w:t>
            </w:r>
          </w:p>
        </w:tc>
        <w:tc>
          <w:tcPr>
            <w:tcW w:w="1051" w:type="dxa"/>
            <w:tcBorders>
              <w:top w:val="nil"/>
              <w:left w:val="nil"/>
              <w:bottom w:val="nil"/>
              <w:right w:val="nil"/>
            </w:tcBorders>
            <w:shd w:val="clear" w:color="auto" w:fill="auto"/>
            <w:vAlign w:val="bottom"/>
          </w:tcPr>
          <w:p w14:paraId="0B28749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0.47</w:t>
            </w:r>
          </w:p>
        </w:tc>
      </w:tr>
      <w:tr w:rsidR="00413978" w14:paraId="758A9AE5" w14:textId="77777777">
        <w:trPr>
          <w:trHeight w:val="700"/>
        </w:trPr>
        <w:tc>
          <w:tcPr>
            <w:tcW w:w="2460" w:type="dxa"/>
            <w:tcBorders>
              <w:top w:val="nil"/>
              <w:left w:val="nil"/>
              <w:bottom w:val="nil"/>
              <w:right w:val="nil"/>
            </w:tcBorders>
            <w:shd w:val="clear" w:color="auto" w:fill="auto"/>
            <w:vAlign w:val="bottom"/>
          </w:tcPr>
          <w:p w14:paraId="06A27E5E"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Survey month</w:t>
            </w:r>
            <w:r>
              <w:rPr>
                <w:rFonts w:ascii="Times New Roman" w:eastAsia="Times New Roman" w:hAnsi="Times New Roman" w:cs="Times New Roman"/>
                <w:color w:val="000000"/>
              </w:rPr>
              <w:br/>
              <w:t>quadratic</w:t>
            </w:r>
          </w:p>
        </w:tc>
        <w:tc>
          <w:tcPr>
            <w:tcW w:w="963" w:type="dxa"/>
            <w:tcBorders>
              <w:top w:val="nil"/>
              <w:left w:val="nil"/>
              <w:bottom w:val="nil"/>
              <w:right w:val="nil"/>
            </w:tcBorders>
            <w:shd w:val="clear" w:color="auto" w:fill="auto"/>
            <w:vAlign w:val="bottom"/>
          </w:tcPr>
          <w:p w14:paraId="22D681FD"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4</w:t>
            </w:r>
          </w:p>
        </w:tc>
        <w:tc>
          <w:tcPr>
            <w:tcW w:w="763" w:type="dxa"/>
            <w:tcBorders>
              <w:top w:val="nil"/>
              <w:left w:val="nil"/>
              <w:bottom w:val="nil"/>
              <w:right w:val="nil"/>
            </w:tcBorders>
            <w:shd w:val="clear" w:color="auto" w:fill="auto"/>
            <w:vAlign w:val="bottom"/>
          </w:tcPr>
          <w:p w14:paraId="1A45965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-0.01</w:t>
            </w:r>
          </w:p>
        </w:tc>
        <w:tc>
          <w:tcPr>
            <w:tcW w:w="636" w:type="dxa"/>
            <w:tcBorders>
              <w:top w:val="nil"/>
              <w:left w:val="nil"/>
              <w:bottom w:val="nil"/>
              <w:right w:val="nil"/>
            </w:tcBorders>
            <w:shd w:val="clear" w:color="auto" w:fill="auto"/>
            <w:vAlign w:val="bottom"/>
          </w:tcPr>
          <w:p w14:paraId="7AA5296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0.01</w:t>
            </w:r>
          </w:p>
        </w:tc>
        <w:tc>
          <w:tcPr>
            <w:tcW w:w="1289" w:type="dxa"/>
            <w:tcBorders>
              <w:top w:val="nil"/>
              <w:left w:val="nil"/>
              <w:bottom w:val="nil"/>
              <w:right w:val="nil"/>
            </w:tcBorders>
            <w:shd w:val="clear" w:color="auto" w:fill="auto"/>
            <w:vAlign w:val="bottom"/>
          </w:tcPr>
          <w:p w14:paraId="2D3204D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-0.04</w:t>
            </w:r>
          </w:p>
        </w:tc>
        <w:tc>
          <w:tcPr>
            <w:tcW w:w="1051" w:type="dxa"/>
            <w:tcBorders>
              <w:top w:val="nil"/>
              <w:left w:val="nil"/>
              <w:bottom w:val="nil"/>
              <w:right w:val="nil"/>
            </w:tcBorders>
            <w:shd w:val="clear" w:color="auto" w:fill="auto"/>
            <w:vAlign w:val="bottom"/>
          </w:tcPr>
          <w:p w14:paraId="72EFD35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r>
      <w:tr w:rsidR="00413978" w14:paraId="64E8F6CF" w14:textId="77777777">
        <w:trPr>
          <w:trHeight w:val="360"/>
        </w:trPr>
        <w:tc>
          <w:tcPr>
            <w:tcW w:w="2460" w:type="dxa"/>
            <w:tcBorders>
              <w:top w:val="nil"/>
              <w:left w:val="nil"/>
              <w:bottom w:val="nil"/>
              <w:right w:val="nil"/>
            </w:tcBorders>
            <w:shd w:val="clear" w:color="auto" w:fill="auto"/>
            <w:vAlign w:val="bottom"/>
          </w:tcPr>
          <w:p w14:paraId="616546B0"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Citation type</w:t>
            </w:r>
          </w:p>
        </w:tc>
        <w:tc>
          <w:tcPr>
            <w:tcW w:w="963" w:type="dxa"/>
            <w:tcBorders>
              <w:top w:val="nil"/>
              <w:left w:val="nil"/>
              <w:bottom w:val="nil"/>
              <w:right w:val="nil"/>
            </w:tcBorders>
            <w:shd w:val="clear" w:color="auto" w:fill="auto"/>
            <w:vAlign w:val="bottom"/>
          </w:tcPr>
          <w:p w14:paraId="0555C5C0"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5</w:t>
            </w:r>
          </w:p>
        </w:tc>
        <w:tc>
          <w:tcPr>
            <w:tcW w:w="763" w:type="dxa"/>
            <w:tcBorders>
              <w:top w:val="nil"/>
              <w:left w:val="nil"/>
              <w:bottom w:val="nil"/>
              <w:right w:val="nil"/>
            </w:tcBorders>
            <w:shd w:val="clear" w:color="auto" w:fill="auto"/>
            <w:vAlign w:val="bottom"/>
          </w:tcPr>
          <w:p w14:paraId="46901B3C"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2.54</w:t>
            </w:r>
          </w:p>
        </w:tc>
        <w:tc>
          <w:tcPr>
            <w:tcW w:w="636" w:type="dxa"/>
            <w:tcBorders>
              <w:top w:val="nil"/>
              <w:left w:val="nil"/>
              <w:bottom w:val="nil"/>
              <w:right w:val="nil"/>
            </w:tcBorders>
            <w:shd w:val="clear" w:color="auto" w:fill="auto"/>
            <w:vAlign w:val="bottom"/>
          </w:tcPr>
          <w:p w14:paraId="2171A76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0.26</w:t>
            </w:r>
          </w:p>
        </w:tc>
        <w:tc>
          <w:tcPr>
            <w:tcW w:w="1289" w:type="dxa"/>
            <w:tcBorders>
              <w:top w:val="nil"/>
              <w:left w:val="nil"/>
              <w:bottom w:val="nil"/>
              <w:right w:val="nil"/>
            </w:tcBorders>
            <w:shd w:val="clear" w:color="auto" w:fill="auto"/>
            <w:vAlign w:val="bottom"/>
          </w:tcPr>
          <w:p w14:paraId="202F4B9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2.05</w:t>
            </w:r>
          </w:p>
        </w:tc>
        <w:tc>
          <w:tcPr>
            <w:tcW w:w="1051" w:type="dxa"/>
            <w:tcBorders>
              <w:top w:val="nil"/>
              <w:left w:val="nil"/>
              <w:bottom w:val="nil"/>
              <w:right w:val="nil"/>
            </w:tcBorders>
            <w:shd w:val="clear" w:color="auto" w:fill="auto"/>
            <w:vAlign w:val="bottom"/>
          </w:tcPr>
          <w:p w14:paraId="5173DCC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3.08</w:t>
            </w:r>
          </w:p>
        </w:tc>
      </w:tr>
      <w:tr w:rsidR="00413978" w14:paraId="7336D6C0" w14:textId="77777777">
        <w:trPr>
          <w:trHeight w:val="360"/>
        </w:trPr>
        <w:tc>
          <w:tcPr>
            <w:tcW w:w="2460" w:type="dxa"/>
            <w:tcBorders>
              <w:top w:val="nil"/>
              <w:left w:val="nil"/>
              <w:bottom w:val="nil"/>
              <w:right w:val="nil"/>
            </w:tcBorders>
            <w:shd w:val="clear" w:color="auto" w:fill="auto"/>
            <w:vAlign w:val="bottom"/>
          </w:tcPr>
          <w:p w14:paraId="58515876"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color</w:t>
            </w:r>
          </w:p>
        </w:tc>
        <w:tc>
          <w:tcPr>
            <w:tcW w:w="963" w:type="dxa"/>
            <w:tcBorders>
              <w:top w:val="nil"/>
              <w:left w:val="nil"/>
              <w:bottom w:val="nil"/>
              <w:right w:val="nil"/>
            </w:tcBorders>
            <w:shd w:val="clear" w:color="auto" w:fill="auto"/>
            <w:vAlign w:val="bottom"/>
          </w:tcPr>
          <w:p w14:paraId="43BB8AF9"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6</w:t>
            </w:r>
          </w:p>
        </w:tc>
        <w:tc>
          <w:tcPr>
            <w:tcW w:w="763" w:type="dxa"/>
            <w:tcBorders>
              <w:top w:val="nil"/>
              <w:left w:val="nil"/>
              <w:bottom w:val="nil"/>
              <w:right w:val="nil"/>
            </w:tcBorders>
            <w:shd w:val="clear" w:color="auto" w:fill="auto"/>
            <w:vAlign w:val="bottom"/>
          </w:tcPr>
          <w:p w14:paraId="0CCF3FB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-1.17</w:t>
            </w:r>
          </w:p>
        </w:tc>
        <w:tc>
          <w:tcPr>
            <w:tcW w:w="636" w:type="dxa"/>
            <w:tcBorders>
              <w:top w:val="nil"/>
              <w:left w:val="nil"/>
              <w:bottom w:val="nil"/>
              <w:right w:val="nil"/>
            </w:tcBorders>
            <w:shd w:val="clear" w:color="auto" w:fill="auto"/>
            <w:vAlign w:val="bottom"/>
          </w:tcPr>
          <w:p w14:paraId="05CBE70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0.46</w:t>
            </w:r>
          </w:p>
        </w:tc>
        <w:tc>
          <w:tcPr>
            <w:tcW w:w="1289" w:type="dxa"/>
            <w:tcBorders>
              <w:top w:val="nil"/>
              <w:left w:val="nil"/>
              <w:bottom w:val="nil"/>
              <w:right w:val="nil"/>
            </w:tcBorders>
            <w:shd w:val="clear" w:color="auto" w:fill="auto"/>
            <w:vAlign w:val="bottom"/>
          </w:tcPr>
          <w:p w14:paraId="7A6A12E9"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-2.05</w:t>
            </w:r>
          </w:p>
        </w:tc>
        <w:tc>
          <w:tcPr>
            <w:tcW w:w="1051" w:type="dxa"/>
            <w:tcBorders>
              <w:top w:val="nil"/>
              <w:left w:val="nil"/>
              <w:bottom w:val="nil"/>
              <w:right w:val="nil"/>
            </w:tcBorders>
            <w:shd w:val="clear" w:color="auto" w:fill="auto"/>
            <w:vAlign w:val="bottom"/>
          </w:tcPr>
          <w:p w14:paraId="5264770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-0.06</w:t>
            </w:r>
          </w:p>
        </w:tc>
      </w:tr>
      <w:tr w:rsidR="00413978" w14:paraId="29DC30AF" w14:textId="77777777">
        <w:trPr>
          <w:trHeight w:val="360"/>
        </w:trPr>
        <w:tc>
          <w:tcPr>
            <w:tcW w:w="2460" w:type="dxa"/>
            <w:tcBorders>
              <w:top w:val="nil"/>
              <w:left w:val="nil"/>
              <w:bottom w:val="nil"/>
              <w:right w:val="nil"/>
            </w:tcBorders>
            <w:shd w:val="clear" w:color="auto" w:fill="auto"/>
            <w:vAlign w:val="bottom"/>
          </w:tcPr>
          <w:p w14:paraId="19D97F16"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shape</w:t>
            </w:r>
          </w:p>
        </w:tc>
        <w:tc>
          <w:tcPr>
            <w:tcW w:w="963" w:type="dxa"/>
            <w:tcBorders>
              <w:top w:val="nil"/>
              <w:left w:val="nil"/>
              <w:bottom w:val="nil"/>
              <w:right w:val="nil"/>
            </w:tcBorders>
            <w:shd w:val="clear" w:color="auto" w:fill="auto"/>
            <w:vAlign w:val="bottom"/>
          </w:tcPr>
          <w:p w14:paraId="47ED21DE"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7</w:t>
            </w:r>
          </w:p>
        </w:tc>
        <w:tc>
          <w:tcPr>
            <w:tcW w:w="763" w:type="dxa"/>
            <w:tcBorders>
              <w:top w:val="nil"/>
              <w:left w:val="nil"/>
              <w:bottom w:val="nil"/>
              <w:right w:val="nil"/>
            </w:tcBorders>
            <w:shd w:val="clear" w:color="auto" w:fill="auto"/>
            <w:vAlign w:val="bottom"/>
          </w:tcPr>
          <w:p w14:paraId="6F39284C"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-1.04</w:t>
            </w:r>
          </w:p>
        </w:tc>
        <w:tc>
          <w:tcPr>
            <w:tcW w:w="636" w:type="dxa"/>
            <w:tcBorders>
              <w:top w:val="nil"/>
              <w:left w:val="nil"/>
              <w:bottom w:val="nil"/>
              <w:right w:val="nil"/>
            </w:tcBorders>
            <w:shd w:val="clear" w:color="auto" w:fill="auto"/>
            <w:vAlign w:val="bottom"/>
          </w:tcPr>
          <w:p w14:paraId="7ECBE5F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0.48</w:t>
            </w:r>
          </w:p>
        </w:tc>
        <w:tc>
          <w:tcPr>
            <w:tcW w:w="1289" w:type="dxa"/>
            <w:tcBorders>
              <w:top w:val="nil"/>
              <w:left w:val="nil"/>
              <w:bottom w:val="nil"/>
              <w:right w:val="nil"/>
            </w:tcBorders>
            <w:shd w:val="clear" w:color="auto" w:fill="auto"/>
            <w:vAlign w:val="bottom"/>
          </w:tcPr>
          <w:p w14:paraId="6F42266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-1.91</w:t>
            </w:r>
          </w:p>
        </w:tc>
        <w:tc>
          <w:tcPr>
            <w:tcW w:w="1051" w:type="dxa"/>
            <w:tcBorders>
              <w:top w:val="nil"/>
              <w:left w:val="nil"/>
              <w:bottom w:val="nil"/>
              <w:right w:val="nil"/>
            </w:tcBorders>
            <w:shd w:val="clear" w:color="auto" w:fill="auto"/>
            <w:vAlign w:val="bottom"/>
          </w:tcPr>
          <w:p w14:paraId="57C7DFA9"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r>
      <w:tr w:rsidR="00413978" w14:paraId="7D5287BE" w14:textId="77777777">
        <w:trPr>
          <w:trHeight w:val="360"/>
        </w:trPr>
        <w:tc>
          <w:tcPr>
            <w:tcW w:w="2460" w:type="dxa"/>
            <w:tcBorders>
              <w:top w:val="nil"/>
              <w:left w:val="nil"/>
              <w:bottom w:val="nil"/>
              <w:right w:val="nil"/>
            </w:tcBorders>
            <w:shd w:val="clear" w:color="auto" w:fill="auto"/>
            <w:vAlign w:val="bottom"/>
          </w:tcPr>
          <w:p w14:paraId="7F447EB0"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Plant family</w:t>
            </w:r>
          </w:p>
        </w:tc>
        <w:tc>
          <w:tcPr>
            <w:tcW w:w="963" w:type="dxa"/>
            <w:tcBorders>
              <w:top w:val="nil"/>
              <w:left w:val="nil"/>
              <w:bottom w:val="nil"/>
              <w:right w:val="nil"/>
            </w:tcBorders>
            <w:shd w:val="clear" w:color="auto" w:fill="auto"/>
            <w:vAlign w:val="bottom"/>
          </w:tcPr>
          <w:p w14:paraId="01BD3355" w14:textId="77777777" w:rsidR="00413978" w:rsidRDefault="00000000">
            <w:pPr>
              <w:rPr>
                <w:rFonts w:ascii="Noto Sans Symbols" w:eastAsia="Noto Sans Symbols" w:hAnsi="Noto Sans Symbols" w:cs="Noto Sans Symbols"/>
                <w:color w:val="000000"/>
              </w:rPr>
            </w:pPr>
            <w:r>
              <w:rPr>
                <w:rFonts w:ascii="Symbol" w:eastAsia="Symbol" w:hAnsi="Symbol" w:cs="Symbol"/>
                <w:color w:val="000000"/>
              </w:rPr>
              <w:t>δ</w:t>
            </w:r>
            <w:r>
              <w:rPr>
                <w:rFonts w:ascii="Symbol" w:eastAsia="Symbol" w:hAnsi="Symbol" w:cs="Symbol"/>
                <w:color w:val="000000"/>
                <w:vertAlign w:val="subscript"/>
              </w:rPr>
              <w:t>8</w:t>
            </w:r>
          </w:p>
        </w:tc>
        <w:tc>
          <w:tcPr>
            <w:tcW w:w="763" w:type="dxa"/>
            <w:tcBorders>
              <w:top w:val="nil"/>
              <w:left w:val="nil"/>
              <w:bottom w:val="nil"/>
              <w:right w:val="nil"/>
            </w:tcBorders>
            <w:shd w:val="clear" w:color="auto" w:fill="auto"/>
            <w:vAlign w:val="bottom"/>
          </w:tcPr>
          <w:p w14:paraId="5266EE1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0.02</w:t>
            </w:r>
          </w:p>
        </w:tc>
        <w:tc>
          <w:tcPr>
            <w:tcW w:w="636" w:type="dxa"/>
            <w:tcBorders>
              <w:top w:val="nil"/>
              <w:left w:val="nil"/>
              <w:bottom w:val="nil"/>
              <w:right w:val="nil"/>
            </w:tcBorders>
            <w:shd w:val="clear" w:color="auto" w:fill="auto"/>
            <w:vAlign w:val="bottom"/>
          </w:tcPr>
          <w:p w14:paraId="51C7BFC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0.12</w:t>
            </w:r>
          </w:p>
        </w:tc>
        <w:tc>
          <w:tcPr>
            <w:tcW w:w="1289" w:type="dxa"/>
            <w:tcBorders>
              <w:top w:val="nil"/>
              <w:left w:val="nil"/>
              <w:bottom w:val="nil"/>
              <w:right w:val="nil"/>
            </w:tcBorders>
            <w:shd w:val="clear" w:color="auto" w:fill="auto"/>
            <w:vAlign w:val="bottom"/>
          </w:tcPr>
          <w:p w14:paraId="7714BEE1"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-0.18</w:t>
            </w:r>
          </w:p>
        </w:tc>
        <w:tc>
          <w:tcPr>
            <w:tcW w:w="1051" w:type="dxa"/>
            <w:tcBorders>
              <w:top w:val="nil"/>
              <w:left w:val="nil"/>
              <w:bottom w:val="nil"/>
              <w:right w:val="nil"/>
            </w:tcBorders>
            <w:shd w:val="clear" w:color="auto" w:fill="auto"/>
            <w:vAlign w:val="bottom"/>
          </w:tcPr>
          <w:p w14:paraId="71EBC78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0.35</w:t>
            </w:r>
          </w:p>
        </w:tc>
      </w:tr>
      <w:tr w:rsidR="00413978" w14:paraId="7057272B" w14:textId="77777777">
        <w:trPr>
          <w:trHeight w:val="360"/>
        </w:trPr>
        <w:tc>
          <w:tcPr>
            <w:tcW w:w="2460" w:type="dxa"/>
            <w:tcBorders>
              <w:top w:val="nil"/>
              <w:left w:val="nil"/>
              <w:bottom w:val="nil"/>
              <w:right w:val="nil"/>
            </w:tcBorders>
            <w:shd w:val="clear" w:color="auto" w:fill="auto"/>
            <w:vAlign w:val="bottom"/>
          </w:tcPr>
          <w:p w14:paraId="622E6E0C"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stripes</w:t>
            </w:r>
          </w:p>
        </w:tc>
        <w:tc>
          <w:tcPr>
            <w:tcW w:w="963" w:type="dxa"/>
            <w:tcBorders>
              <w:top w:val="nil"/>
              <w:left w:val="nil"/>
              <w:bottom w:val="nil"/>
              <w:right w:val="nil"/>
            </w:tcBorders>
            <w:shd w:val="clear" w:color="auto" w:fill="auto"/>
            <w:vAlign w:val="bottom"/>
          </w:tcPr>
          <w:p w14:paraId="2A409D19"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p>
        </w:tc>
        <w:tc>
          <w:tcPr>
            <w:tcW w:w="763" w:type="dxa"/>
            <w:tcBorders>
              <w:top w:val="nil"/>
              <w:left w:val="nil"/>
              <w:bottom w:val="nil"/>
              <w:right w:val="nil"/>
            </w:tcBorders>
            <w:shd w:val="clear" w:color="auto" w:fill="auto"/>
            <w:vAlign w:val="bottom"/>
          </w:tcPr>
          <w:p w14:paraId="0BD7A0A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0.34</w:t>
            </w:r>
          </w:p>
        </w:tc>
        <w:tc>
          <w:tcPr>
            <w:tcW w:w="636" w:type="dxa"/>
            <w:tcBorders>
              <w:top w:val="nil"/>
              <w:left w:val="nil"/>
              <w:bottom w:val="nil"/>
              <w:right w:val="nil"/>
            </w:tcBorders>
            <w:shd w:val="clear" w:color="auto" w:fill="auto"/>
            <w:vAlign w:val="bottom"/>
          </w:tcPr>
          <w:p w14:paraId="6A3ACE9A"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0.47</w:t>
            </w:r>
          </w:p>
        </w:tc>
        <w:tc>
          <w:tcPr>
            <w:tcW w:w="1289" w:type="dxa"/>
            <w:tcBorders>
              <w:top w:val="nil"/>
              <w:left w:val="nil"/>
              <w:bottom w:val="nil"/>
              <w:right w:val="nil"/>
            </w:tcBorders>
            <w:shd w:val="clear" w:color="auto" w:fill="auto"/>
            <w:vAlign w:val="bottom"/>
          </w:tcPr>
          <w:p w14:paraId="6D14E307"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555671C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1266EAF4" w14:textId="77777777">
        <w:trPr>
          <w:trHeight w:val="360"/>
        </w:trPr>
        <w:tc>
          <w:tcPr>
            <w:tcW w:w="2460" w:type="dxa"/>
            <w:tcBorders>
              <w:top w:val="nil"/>
              <w:left w:val="nil"/>
              <w:bottom w:val="nil"/>
              <w:right w:val="nil"/>
            </w:tcBorders>
            <w:shd w:val="clear" w:color="auto" w:fill="auto"/>
            <w:vAlign w:val="bottom"/>
          </w:tcPr>
          <w:p w14:paraId="5A869AF3"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Bee size</w:t>
            </w:r>
          </w:p>
        </w:tc>
        <w:tc>
          <w:tcPr>
            <w:tcW w:w="963" w:type="dxa"/>
            <w:tcBorders>
              <w:top w:val="nil"/>
              <w:left w:val="nil"/>
              <w:bottom w:val="nil"/>
              <w:right w:val="nil"/>
            </w:tcBorders>
            <w:shd w:val="clear" w:color="auto" w:fill="auto"/>
            <w:vAlign w:val="bottom"/>
          </w:tcPr>
          <w:p w14:paraId="78F33FB4"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2</w:t>
            </w:r>
          </w:p>
        </w:tc>
        <w:tc>
          <w:tcPr>
            <w:tcW w:w="763" w:type="dxa"/>
            <w:tcBorders>
              <w:top w:val="nil"/>
              <w:left w:val="nil"/>
              <w:bottom w:val="nil"/>
              <w:right w:val="nil"/>
            </w:tcBorders>
            <w:shd w:val="clear" w:color="auto" w:fill="auto"/>
            <w:vAlign w:val="bottom"/>
          </w:tcPr>
          <w:p w14:paraId="26DFDE0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636" w:type="dxa"/>
            <w:tcBorders>
              <w:top w:val="nil"/>
              <w:left w:val="nil"/>
              <w:bottom w:val="nil"/>
              <w:right w:val="nil"/>
            </w:tcBorders>
            <w:shd w:val="clear" w:color="auto" w:fill="auto"/>
            <w:vAlign w:val="bottom"/>
          </w:tcPr>
          <w:p w14:paraId="7555229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0.49</w:t>
            </w:r>
          </w:p>
        </w:tc>
        <w:tc>
          <w:tcPr>
            <w:tcW w:w="1289" w:type="dxa"/>
            <w:tcBorders>
              <w:top w:val="nil"/>
              <w:left w:val="nil"/>
              <w:bottom w:val="nil"/>
              <w:right w:val="nil"/>
            </w:tcBorders>
            <w:shd w:val="clear" w:color="auto" w:fill="auto"/>
            <w:vAlign w:val="bottom"/>
          </w:tcPr>
          <w:p w14:paraId="5E1C93E1"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0962125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12ADC3F5" w14:textId="77777777">
        <w:trPr>
          <w:trHeight w:val="360"/>
        </w:trPr>
        <w:tc>
          <w:tcPr>
            <w:tcW w:w="2460" w:type="dxa"/>
            <w:tcBorders>
              <w:top w:val="nil"/>
              <w:left w:val="nil"/>
              <w:bottom w:val="nil"/>
              <w:right w:val="nil"/>
            </w:tcBorders>
            <w:shd w:val="clear" w:color="auto" w:fill="auto"/>
            <w:vAlign w:val="bottom"/>
          </w:tcPr>
          <w:p w14:paraId="11504778"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Survey month linear</w:t>
            </w:r>
          </w:p>
        </w:tc>
        <w:tc>
          <w:tcPr>
            <w:tcW w:w="963" w:type="dxa"/>
            <w:tcBorders>
              <w:top w:val="nil"/>
              <w:left w:val="nil"/>
              <w:bottom w:val="nil"/>
              <w:right w:val="nil"/>
            </w:tcBorders>
            <w:shd w:val="clear" w:color="auto" w:fill="auto"/>
            <w:vAlign w:val="bottom"/>
          </w:tcPr>
          <w:p w14:paraId="4FD27C3E"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3</w:t>
            </w:r>
          </w:p>
        </w:tc>
        <w:tc>
          <w:tcPr>
            <w:tcW w:w="763" w:type="dxa"/>
            <w:tcBorders>
              <w:top w:val="nil"/>
              <w:left w:val="nil"/>
              <w:bottom w:val="nil"/>
              <w:right w:val="nil"/>
            </w:tcBorders>
            <w:shd w:val="clear" w:color="auto" w:fill="auto"/>
            <w:vAlign w:val="bottom"/>
          </w:tcPr>
          <w:p w14:paraId="58F5327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0.21</w:t>
            </w:r>
          </w:p>
        </w:tc>
        <w:tc>
          <w:tcPr>
            <w:tcW w:w="636" w:type="dxa"/>
            <w:tcBorders>
              <w:top w:val="nil"/>
              <w:left w:val="nil"/>
              <w:bottom w:val="nil"/>
              <w:right w:val="nil"/>
            </w:tcBorders>
            <w:shd w:val="clear" w:color="auto" w:fill="auto"/>
            <w:vAlign w:val="bottom"/>
          </w:tcPr>
          <w:p w14:paraId="519DADD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0.41</w:t>
            </w:r>
          </w:p>
        </w:tc>
        <w:tc>
          <w:tcPr>
            <w:tcW w:w="1289" w:type="dxa"/>
            <w:tcBorders>
              <w:top w:val="nil"/>
              <w:left w:val="nil"/>
              <w:bottom w:val="nil"/>
              <w:right w:val="nil"/>
            </w:tcBorders>
            <w:shd w:val="clear" w:color="auto" w:fill="auto"/>
            <w:vAlign w:val="bottom"/>
          </w:tcPr>
          <w:p w14:paraId="2922C3D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35BF9B1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11678C6C" w14:textId="77777777">
        <w:trPr>
          <w:trHeight w:val="360"/>
        </w:trPr>
        <w:tc>
          <w:tcPr>
            <w:tcW w:w="2460" w:type="dxa"/>
            <w:tcBorders>
              <w:top w:val="nil"/>
              <w:left w:val="nil"/>
              <w:bottom w:val="nil"/>
              <w:right w:val="nil"/>
            </w:tcBorders>
            <w:shd w:val="clear" w:color="auto" w:fill="auto"/>
            <w:vAlign w:val="bottom"/>
          </w:tcPr>
          <w:p w14:paraId="2F43587C"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Survey month quadratic</w:t>
            </w:r>
          </w:p>
        </w:tc>
        <w:tc>
          <w:tcPr>
            <w:tcW w:w="963" w:type="dxa"/>
            <w:tcBorders>
              <w:top w:val="nil"/>
              <w:left w:val="nil"/>
              <w:bottom w:val="nil"/>
              <w:right w:val="nil"/>
            </w:tcBorders>
            <w:shd w:val="clear" w:color="auto" w:fill="auto"/>
            <w:vAlign w:val="bottom"/>
          </w:tcPr>
          <w:p w14:paraId="45A655A7"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4</w:t>
            </w:r>
          </w:p>
        </w:tc>
        <w:tc>
          <w:tcPr>
            <w:tcW w:w="763" w:type="dxa"/>
            <w:tcBorders>
              <w:top w:val="nil"/>
              <w:left w:val="nil"/>
              <w:bottom w:val="nil"/>
              <w:right w:val="nil"/>
            </w:tcBorders>
            <w:shd w:val="clear" w:color="auto" w:fill="auto"/>
            <w:vAlign w:val="bottom"/>
          </w:tcPr>
          <w:p w14:paraId="1930C1E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0.03</w:t>
            </w:r>
          </w:p>
        </w:tc>
        <w:tc>
          <w:tcPr>
            <w:tcW w:w="636" w:type="dxa"/>
            <w:tcBorders>
              <w:top w:val="nil"/>
              <w:left w:val="nil"/>
              <w:bottom w:val="nil"/>
              <w:right w:val="nil"/>
            </w:tcBorders>
            <w:shd w:val="clear" w:color="auto" w:fill="auto"/>
            <w:vAlign w:val="bottom"/>
          </w:tcPr>
          <w:p w14:paraId="7E8AC94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0.17</w:t>
            </w:r>
          </w:p>
        </w:tc>
        <w:tc>
          <w:tcPr>
            <w:tcW w:w="1289" w:type="dxa"/>
            <w:tcBorders>
              <w:top w:val="nil"/>
              <w:left w:val="nil"/>
              <w:bottom w:val="nil"/>
              <w:right w:val="nil"/>
            </w:tcBorders>
            <w:shd w:val="clear" w:color="auto" w:fill="auto"/>
            <w:vAlign w:val="bottom"/>
          </w:tcPr>
          <w:p w14:paraId="2D57876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11F2244E"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0F3FD345" w14:textId="77777777">
        <w:trPr>
          <w:trHeight w:val="360"/>
        </w:trPr>
        <w:tc>
          <w:tcPr>
            <w:tcW w:w="2460" w:type="dxa"/>
            <w:tcBorders>
              <w:top w:val="nil"/>
              <w:left w:val="nil"/>
              <w:bottom w:val="nil"/>
              <w:right w:val="nil"/>
            </w:tcBorders>
            <w:shd w:val="clear" w:color="auto" w:fill="auto"/>
            <w:vAlign w:val="bottom"/>
          </w:tcPr>
          <w:p w14:paraId="4C82B4AB"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Citation type</w:t>
            </w:r>
          </w:p>
        </w:tc>
        <w:tc>
          <w:tcPr>
            <w:tcW w:w="963" w:type="dxa"/>
            <w:tcBorders>
              <w:top w:val="nil"/>
              <w:left w:val="nil"/>
              <w:bottom w:val="nil"/>
              <w:right w:val="nil"/>
            </w:tcBorders>
            <w:shd w:val="clear" w:color="auto" w:fill="auto"/>
            <w:vAlign w:val="bottom"/>
          </w:tcPr>
          <w:p w14:paraId="4D59EF1E"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5</w:t>
            </w:r>
          </w:p>
        </w:tc>
        <w:tc>
          <w:tcPr>
            <w:tcW w:w="763" w:type="dxa"/>
            <w:tcBorders>
              <w:top w:val="nil"/>
              <w:left w:val="nil"/>
              <w:bottom w:val="nil"/>
              <w:right w:val="nil"/>
            </w:tcBorders>
            <w:shd w:val="clear" w:color="auto" w:fill="auto"/>
            <w:vAlign w:val="bottom"/>
          </w:tcPr>
          <w:p w14:paraId="0E373A6D"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636" w:type="dxa"/>
            <w:tcBorders>
              <w:top w:val="nil"/>
              <w:left w:val="nil"/>
              <w:bottom w:val="nil"/>
              <w:right w:val="nil"/>
            </w:tcBorders>
            <w:shd w:val="clear" w:color="auto" w:fill="auto"/>
            <w:vAlign w:val="bottom"/>
          </w:tcPr>
          <w:p w14:paraId="77C929FB"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0.05</w:t>
            </w:r>
          </w:p>
        </w:tc>
        <w:tc>
          <w:tcPr>
            <w:tcW w:w="1289" w:type="dxa"/>
            <w:tcBorders>
              <w:top w:val="nil"/>
              <w:left w:val="nil"/>
              <w:bottom w:val="nil"/>
              <w:right w:val="nil"/>
            </w:tcBorders>
            <w:shd w:val="clear" w:color="auto" w:fill="auto"/>
            <w:vAlign w:val="bottom"/>
          </w:tcPr>
          <w:p w14:paraId="7B5C7FD6"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1051" w:type="dxa"/>
            <w:tcBorders>
              <w:top w:val="nil"/>
              <w:left w:val="nil"/>
              <w:bottom w:val="nil"/>
              <w:right w:val="nil"/>
            </w:tcBorders>
            <w:shd w:val="clear" w:color="auto" w:fill="auto"/>
            <w:vAlign w:val="bottom"/>
          </w:tcPr>
          <w:p w14:paraId="26A1261C"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67713192" w14:textId="77777777">
        <w:trPr>
          <w:trHeight w:val="760"/>
        </w:trPr>
        <w:tc>
          <w:tcPr>
            <w:tcW w:w="2460" w:type="dxa"/>
            <w:tcBorders>
              <w:top w:val="nil"/>
              <w:left w:val="nil"/>
              <w:bottom w:val="nil"/>
              <w:right w:val="nil"/>
            </w:tcBorders>
            <w:shd w:val="clear" w:color="auto" w:fill="auto"/>
            <w:vAlign w:val="bottom"/>
          </w:tcPr>
          <w:p w14:paraId="1E98C267"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color</w:t>
            </w:r>
          </w:p>
        </w:tc>
        <w:tc>
          <w:tcPr>
            <w:tcW w:w="963" w:type="dxa"/>
            <w:tcBorders>
              <w:top w:val="nil"/>
              <w:left w:val="nil"/>
              <w:bottom w:val="nil"/>
              <w:right w:val="nil"/>
            </w:tcBorders>
            <w:shd w:val="clear" w:color="auto" w:fill="auto"/>
            <w:vAlign w:val="bottom"/>
          </w:tcPr>
          <w:p w14:paraId="6566B611"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6</w:t>
            </w:r>
          </w:p>
        </w:tc>
        <w:tc>
          <w:tcPr>
            <w:tcW w:w="763" w:type="dxa"/>
            <w:tcBorders>
              <w:top w:val="nil"/>
              <w:left w:val="nil"/>
              <w:bottom w:val="nil"/>
              <w:right w:val="nil"/>
            </w:tcBorders>
            <w:shd w:val="clear" w:color="auto" w:fill="auto"/>
            <w:vAlign w:val="bottom"/>
          </w:tcPr>
          <w:p w14:paraId="3063A369"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0.94</w:t>
            </w:r>
          </w:p>
        </w:tc>
        <w:tc>
          <w:tcPr>
            <w:tcW w:w="636" w:type="dxa"/>
            <w:tcBorders>
              <w:top w:val="nil"/>
              <w:left w:val="nil"/>
              <w:bottom w:val="nil"/>
              <w:right w:val="nil"/>
            </w:tcBorders>
            <w:shd w:val="clear" w:color="auto" w:fill="auto"/>
            <w:vAlign w:val="bottom"/>
          </w:tcPr>
          <w:p w14:paraId="7980C8EF"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0.23</w:t>
            </w:r>
          </w:p>
        </w:tc>
        <w:tc>
          <w:tcPr>
            <w:tcW w:w="1289" w:type="dxa"/>
            <w:tcBorders>
              <w:top w:val="nil"/>
              <w:left w:val="nil"/>
              <w:bottom w:val="nil"/>
              <w:right w:val="nil"/>
            </w:tcBorders>
            <w:shd w:val="clear" w:color="auto" w:fill="auto"/>
            <w:vAlign w:val="bottom"/>
          </w:tcPr>
          <w:p w14:paraId="5CA9783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6C7534A3"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108D4B1E" w14:textId="77777777">
        <w:trPr>
          <w:trHeight w:val="360"/>
        </w:trPr>
        <w:tc>
          <w:tcPr>
            <w:tcW w:w="2460" w:type="dxa"/>
            <w:tcBorders>
              <w:top w:val="nil"/>
              <w:left w:val="nil"/>
              <w:bottom w:val="nil"/>
              <w:right w:val="nil"/>
            </w:tcBorders>
            <w:shd w:val="clear" w:color="auto" w:fill="auto"/>
            <w:vAlign w:val="bottom"/>
          </w:tcPr>
          <w:p w14:paraId="7C879EA7"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Flower shape</w:t>
            </w:r>
          </w:p>
        </w:tc>
        <w:tc>
          <w:tcPr>
            <w:tcW w:w="963" w:type="dxa"/>
            <w:tcBorders>
              <w:top w:val="nil"/>
              <w:left w:val="nil"/>
              <w:bottom w:val="nil"/>
              <w:right w:val="nil"/>
            </w:tcBorders>
            <w:shd w:val="clear" w:color="auto" w:fill="auto"/>
            <w:vAlign w:val="bottom"/>
          </w:tcPr>
          <w:p w14:paraId="79DE6D18"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7</w:t>
            </w:r>
          </w:p>
        </w:tc>
        <w:tc>
          <w:tcPr>
            <w:tcW w:w="763" w:type="dxa"/>
            <w:tcBorders>
              <w:top w:val="nil"/>
              <w:left w:val="nil"/>
              <w:bottom w:val="nil"/>
              <w:right w:val="nil"/>
            </w:tcBorders>
            <w:shd w:val="clear" w:color="auto" w:fill="auto"/>
            <w:vAlign w:val="bottom"/>
          </w:tcPr>
          <w:p w14:paraId="650C187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0.91</w:t>
            </w:r>
          </w:p>
        </w:tc>
        <w:tc>
          <w:tcPr>
            <w:tcW w:w="636" w:type="dxa"/>
            <w:tcBorders>
              <w:top w:val="nil"/>
              <w:left w:val="nil"/>
              <w:bottom w:val="nil"/>
              <w:right w:val="nil"/>
            </w:tcBorders>
            <w:shd w:val="clear" w:color="auto" w:fill="auto"/>
            <w:vAlign w:val="bottom"/>
          </w:tcPr>
          <w:p w14:paraId="1C12A874"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0.29</w:t>
            </w:r>
          </w:p>
        </w:tc>
        <w:tc>
          <w:tcPr>
            <w:tcW w:w="1289" w:type="dxa"/>
            <w:tcBorders>
              <w:top w:val="nil"/>
              <w:left w:val="nil"/>
              <w:bottom w:val="nil"/>
              <w:right w:val="nil"/>
            </w:tcBorders>
            <w:shd w:val="clear" w:color="auto" w:fill="auto"/>
            <w:vAlign w:val="bottom"/>
          </w:tcPr>
          <w:p w14:paraId="12D53838"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vAlign w:val="bottom"/>
          </w:tcPr>
          <w:p w14:paraId="18DA7A2A"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r w:rsidR="00413978" w14:paraId="4DDA2798" w14:textId="77777777">
        <w:trPr>
          <w:trHeight w:val="760"/>
        </w:trPr>
        <w:tc>
          <w:tcPr>
            <w:tcW w:w="2460" w:type="dxa"/>
            <w:tcBorders>
              <w:top w:val="nil"/>
              <w:left w:val="nil"/>
              <w:bottom w:val="single" w:sz="4" w:space="0" w:color="000000"/>
              <w:right w:val="nil"/>
            </w:tcBorders>
            <w:shd w:val="clear" w:color="auto" w:fill="auto"/>
            <w:vAlign w:val="bottom"/>
          </w:tcPr>
          <w:p w14:paraId="178777AC"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Plant family</w:t>
            </w:r>
          </w:p>
        </w:tc>
        <w:tc>
          <w:tcPr>
            <w:tcW w:w="963" w:type="dxa"/>
            <w:tcBorders>
              <w:top w:val="nil"/>
              <w:left w:val="nil"/>
              <w:bottom w:val="single" w:sz="4" w:space="0" w:color="000000"/>
              <w:right w:val="nil"/>
            </w:tcBorders>
            <w:shd w:val="clear" w:color="auto" w:fill="auto"/>
            <w:vAlign w:val="bottom"/>
          </w:tcPr>
          <w:p w14:paraId="4306B6AF" w14:textId="77777777" w:rsidR="00413978"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Ω</w:t>
            </w:r>
            <w:r>
              <w:rPr>
                <w:rFonts w:ascii="Times New Roman" w:eastAsia="Times New Roman" w:hAnsi="Times New Roman" w:cs="Times New Roman"/>
                <w:color w:val="000000"/>
                <w:vertAlign w:val="subscript"/>
              </w:rPr>
              <w:t>8</w:t>
            </w:r>
          </w:p>
        </w:tc>
        <w:tc>
          <w:tcPr>
            <w:tcW w:w="763" w:type="dxa"/>
            <w:tcBorders>
              <w:top w:val="nil"/>
              <w:left w:val="nil"/>
              <w:bottom w:val="single" w:sz="4" w:space="0" w:color="000000"/>
              <w:right w:val="nil"/>
            </w:tcBorders>
            <w:shd w:val="clear" w:color="auto" w:fill="auto"/>
            <w:vAlign w:val="bottom"/>
          </w:tcPr>
          <w:p w14:paraId="739B3010"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0.14</w:t>
            </w:r>
          </w:p>
        </w:tc>
        <w:tc>
          <w:tcPr>
            <w:tcW w:w="636" w:type="dxa"/>
            <w:tcBorders>
              <w:top w:val="nil"/>
              <w:left w:val="nil"/>
              <w:bottom w:val="single" w:sz="4" w:space="0" w:color="000000"/>
              <w:right w:val="nil"/>
            </w:tcBorders>
            <w:shd w:val="clear" w:color="auto" w:fill="auto"/>
            <w:vAlign w:val="bottom"/>
          </w:tcPr>
          <w:p w14:paraId="238FC382"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0.34</w:t>
            </w:r>
          </w:p>
        </w:tc>
        <w:tc>
          <w:tcPr>
            <w:tcW w:w="1289" w:type="dxa"/>
            <w:tcBorders>
              <w:top w:val="nil"/>
              <w:left w:val="nil"/>
              <w:bottom w:val="single" w:sz="4" w:space="0" w:color="000000"/>
              <w:right w:val="nil"/>
            </w:tcBorders>
            <w:shd w:val="clear" w:color="auto" w:fill="auto"/>
            <w:vAlign w:val="bottom"/>
          </w:tcPr>
          <w:p w14:paraId="5D4C2911"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1051" w:type="dxa"/>
            <w:tcBorders>
              <w:top w:val="nil"/>
              <w:left w:val="nil"/>
              <w:bottom w:val="single" w:sz="4" w:space="0" w:color="000000"/>
              <w:right w:val="nil"/>
            </w:tcBorders>
            <w:shd w:val="clear" w:color="auto" w:fill="auto"/>
            <w:vAlign w:val="bottom"/>
          </w:tcPr>
          <w:p w14:paraId="4DD05F05" w14:textId="77777777" w:rsidR="00413978" w:rsidRDefault="0000000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1.00</w:t>
            </w:r>
          </w:p>
        </w:tc>
      </w:tr>
    </w:tbl>
    <w:p w14:paraId="452DD7D2" w14:textId="77777777" w:rsidR="00413978" w:rsidRDefault="00000000">
      <w:pPr>
        <w:rPr>
          <w:rFonts w:ascii="Times New Roman" w:eastAsia="Times New Roman" w:hAnsi="Times New Roman" w:cs="Times New Roman"/>
        </w:rPr>
      </w:pPr>
      <w:r>
        <w:br w:type="page"/>
      </w:r>
    </w:p>
    <w:p w14:paraId="0ABD78D2" w14:textId="77777777" w:rsidR="00413978" w:rsidRDefault="00413978">
      <w:pPr>
        <w:rPr>
          <w:rFonts w:ascii="Times New Roman" w:eastAsia="Times New Roman" w:hAnsi="Times New Roman" w:cs="Times New Roman"/>
        </w:rPr>
      </w:pPr>
    </w:p>
    <w:p w14:paraId="21D0C87D" w14:textId="77777777" w:rsidR="00413978" w:rsidRDefault="00413978">
      <w:pPr>
        <w:rPr>
          <w:rFonts w:ascii="Times New Roman" w:eastAsia="Times New Roman" w:hAnsi="Times New Roman" w:cs="Times New Roman"/>
        </w:rPr>
      </w:pPr>
    </w:p>
    <w:p w14:paraId="61A81FBA" w14:textId="77777777" w:rsidR="0041397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F3BBAD" wp14:editId="5473B7DC">
            <wp:extent cx="5591175" cy="3539728"/>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2491" t="3907" b="13620"/>
                    <a:stretch>
                      <a:fillRect/>
                    </a:stretch>
                  </pic:blipFill>
                  <pic:spPr>
                    <a:xfrm>
                      <a:off x="0" y="0"/>
                      <a:ext cx="5591175" cy="3539728"/>
                    </a:xfrm>
                    <a:prstGeom prst="rect">
                      <a:avLst/>
                    </a:prstGeom>
                    <a:ln w="12700">
                      <a:solidFill>
                        <a:srgbClr val="000000"/>
                      </a:solidFill>
                      <a:prstDash val="solid"/>
                    </a:ln>
                  </pic:spPr>
                </pic:pic>
              </a:graphicData>
            </a:graphic>
          </wp:inline>
        </w:drawing>
      </w:r>
    </w:p>
    <w:p w14:paraId="09D604E1"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Figure 0. Conceptual model for paper. Researchers seek to better understand ecological processes through observation – in our case, through the observation of species interactions. However, our observations are fraught with collection and observer biases. In this paper we address some of these biases, including the traits of our species of interest, methodological biases, and the timing of our observations and the timing of species </w:t>
      </w:r>
      <w:proofErr w:type="spellStart"/>
      <w:r>
        <w:rPr>
          <w:rFonts w:ascii="Times New Roman" w:eastAsia="Times New Roman" w:hAnsi="Times New Roman" w:cs="Times New Roman"/>
        </w:rPr>
        <w:t>phenologies</w:t>
      </w:r>
      <w:proofErr w:type="spellEnd"/>
      <w:r>
        <w:rPr>
          <w:rFonts w:ascii="Times New Roman" w:eastAsia="Times New Roman" w:hAnsi="Times New Roman" w:cs="Times New Roman"/>
        </w:rPr>
        <w:t xml:space="preserve">. In this work, we propose the use of occupancy models to estimate the likelihoods of detecting a species interaction and the ecological likelihood of an interaction by leveraging open, aggregated datasets and expert checklists.  </w:t>
      </w:r>
    </w:p>
    <w:p w14:paraId="7285EB33" w14:textId="77777777" w:rsidR="00413978" w:rsidRDefault="00000000">
      <w:pPr>
        <w:rPr>
          <w:rFonts w:ascii="Times New Roman" w:eastAsia="Times New Roman" w:hAnsi="Times New Roman" w:cs="Times New Roman"/>
        </w:rPr>
      </w:pPr>
      <w:commentRangeStart w:id="20"/>
      <w:r>
        <w:rPr>
          <w:noProof/>
        </w:rPr>
        <w:lastRenderedPageBreak/>
        <w:drawing>
          <wp:inline distT="0" distB="0" distL="0" distR="0" wp14:anchorId="76614EDB" wp14:editId="0E1B22E5">
            <wp:extent cx="3895776" cy="730458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95776" cy="7304581"/>
                    </a:xfrm>
                    <a:prstGeom prst="rect">
                      <a:avLst/>
                    </a:prstGeom>
                    <a:ln/>
                  </pic:spPr>
                </pic:pic>
              </a:graphicData>
            </a:graphic>
          </wp:inline>
        </w:drawing>
      </w:r>
      <w:commentRangeEnd w:id="20"/>
      <w:r>
        <w:commentReference w:id="20"/>
      </w:r>
    </w:p>
    <w:p w14:paraId="169CFDF7"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Figure 1. Number of plant interactions per bee species from the observational data (red points), the number of plant interactions per bee species estimated by the multi-species occupancy model (black points = mean; line range = 95% Credible Interval), and the number of total possible plant interactions per bee species based on phenology (yellow points). Bee species are listed in alphabetical order starting at the bottom. </w:t>
      </w:r>
      <w:r>
        <w:br w:type="page"/>
      </w:r>
    </w:p>
    <w:p w14:paraId="1FC798B7" w14:textId="77777777" w:rsidR="00413978"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65E11" wp14:editId="6F2398D3">
            <wp:extent cx="5855334" cy="5967219"/>
            <wp:effectExtent l="0" t="0" r="0" b="0"/>
            <wp:docPr id="5" name="image3.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diagram&#10;&#10;Description automatically generated"/>
                    <pic:cNvPicPr preferRelativeResize="0"/>
                  </pic:nvPicPr>
                  <pic:blipFill>
                    <a:blip r:embed="rId16"/>
                    <a:srcRect/>
                    <a:stretch>
                      <a:fillRect/>
                    </a:stretch>
                  </pic:blipFill>
                  <pic:spPr>
                    <a:xfrm>
                      <a:off x="0" y="0"/>
                      <a:ext cx="5855334" cy="5967219"/>
                    </a:xfrm>
                    <a:prstGeom prst="rect">
                      <a:avLst/>
                    </a:prstGeom>
                    <a:ln/>
                  </pic:spPr>
                </pic:pic>
              </a:graphicData>
            </a:graphic>
          </wp:inline>
        </w:drawing>
      </w:r>
    </w:p>
    <w:p w14:paraId="256DC99E" w14:textId="77777777" w:rsidR="0004184F" w:rsidRDefault="00000000">
      <w:pPr>
        <w:rPr>
          <w:rFonts w:ascii="Times New Roman" w:eastAsia="Times New Roman" w:hAnsi="Times New Roman" w:cs="Times New Roman"/>
        </w:rPr>
      </w:pPr>
      <w:r>
        <w:rPr>
          <w:rFonts w:ascii="Times New Roman" w:eastAsia="Times New Roman" w:hAnsi="Times New Roman" w:cs="Times New Roman"/>
        </w:rPr>
        <w:t>Figure 2. Bee-plant interaction or detection probabilities as a function of the following covariates (A) bee sociality, (B) bee size, (C) bee stripiness, (D) citation type, (E) flower color, and (F) flower shape. The + symbols in panel (B) represent the distribution of observed bee sizes, and vertical colored dashed lines represent means to the corresponding colored distributions in each panel.</w:t>
      </w:r>
    </w:p>
    <w:p w14:paraId="463A08AB" w14:textId="77777777" w:rsidR="0004184F" w:rsidRDefault="0004184F">
      <w:pPr>
        <w:rPr>
          <w:rFonts w:ascii="Times New Roman" w:eastAsia="Times New Roman" w:hAnsi="Times New Roman" w:cs="Times New Roman"/>
        </w:rPr>
      </w:pPr>
      <w:r>
        <w:rPr>
          <w:rFonts w:ascii="Times New Roman" w:eastAsia="Times New Roman" w:hAnsi="Times New Roman" w:cs="Times New Roman"/>
        </w:rPr>
        <w:br w:type="page"/>
      </w:r>
    </w:p>
    <w:p w14:paraId="2FF073B9" w14:textId="0D68A486" w:rsidR="0004184F" w:rsidRDefault="0036231A">
      <w:r>
        <w:rPr>
          <w:noProof/>
        </w:rPr>
        <w:lastRenderedPageBreak/>
        <w:drawing>
          <wp:inline distT="0" distB="0" distL="0" distR="0" wp14:anchorId="027C4FA6" wp14:editId="3B5C66FC">
            <wp:extent cx="5727700" cy="4408805"/>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408805"/>
                    </a:xfrm>
                    <a:prstGeom prst="rect">
                      <a:avLst/>
                    </a:prstGeom>
                  </pic:spPr>
                </pic:pic>
              </a:graphicData>
            </a:graphic>
          </wp:inline>
        </w:drawing>
      </w:r>
    </w:p>
    <w:p w14:paraId="093398E9" w14:textId="73254AAD" w:rsidR="0004184F" w:rsidRDefault="0004184F" w:rsidP="0004184F">
      <w:pP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4</w:t>
      </w:r>
      <w:r>
        <w:rPr>
          <w:rFonts w:ascii="Times New Roman" w:eastAsia="Times New Roman" w:hAnsi="Times New Roman" w:cs="Times New Roman"/>
        </w:rPr>
        <w:t xml:space="preserve">. </w:t>
      </w:r>
      <w:r>
        <w:rPr>
          <w:rFonts w:ascii="Times New Roman" w:eastAsia="Times New Roman" w:hAnsi="Times New Roman" w:cs="Times New Roman"/>
        </w:rPr>
        <w:t>Bee-plant interaction networks</w:t>
      </w:r>
      <w:r w:rsidR="0036231A">
        <w:rPr>
          <w:rFonts w:ascii="Times New Roman" w:eastAsia="Times New Roman" w:hAnsi="Times New Roman" w:cs="Times New Roman"/>
        </w:rPr>
        <w:t xml:space="preserve"> visualizations. (A) The </w:t>
      </w:r>
      <w:proofErr w:type="spellStart"/>
      <w:r w:rsidR="0036231A">
        <w:rPr>
          <w:rFonts w:ascii="Times New Roman" w:eastAsia="Times New Roman" w:hAnsi="Times New Roman" w:cs="Times New Roman"/>
        </w:rPr>
        <w:t>GloBI</w:t>
      </w:r>
      <w:proofErr w:type="spellEnd"/>
      <w:r w:rsidR="0036231A">
        <w:rPr>
          <w:rFonts w:ascii="Times New Roman" w:eastAsia="Times New Roman" w:hAnsi="Times New Roman" w:cs="Times New Roman"/>
        </w:rPr>
        <w:t xml:space="preserve"> network and the (B) modeled network visualizations have plants on the left-hand side ordered by order and arranged by family. Bee species on the right-hand side are ordered by family. The modeled network accounts for all interactions with a greater than 3% probability of interaction. The bee and plant species lists were matched to create the </w:t>
      </w:r>
      <w:proofErr w:type="spellStart"/>
      <w:r w:rsidR="0036231A">
        <w:rPr>
          <w:rFonts w:ascii="Times New Roman" w:eastAsia="Times New Roman" w:hAnsi="Times New Roman" w:cs="Times New Roman"/>
        </w:rPr>
        <w:t>GloBI</w:t>
      </w:r>
      <w:proofErr w:type="spellEnd"/>
      <w:r w:rsidR="0036231A">
        <w:rPr>
          <w:rFonts w:ascii="Times New Roman" w:eastAsia="Times New Roman" w:hAnsi="Times New Roman" w:cs="Times New Roman"/>
        </w:rPr>
        <w:t xml:space="preserve"> network visualization.</w:t>
      </w:r>
    </w:p>
    <w:p w14:paraId="473A6FDC" w14:textId="5C87DD64" w:rsidR="00413978" w:rsidRDefault="00000000">
      <w:pPr>
        <w:rPr>
          <w:rFonts w:ascii="Times New Roman" w:eastAsia="Times New Roman" w:hAnsi="Times New Roman" w:cs="Times New Roman"/>
        </w:rPr>
      </w:pPr>
      <w:r>
        <w:br w:type="page"/>
      </w:r>
    </w:p>
    <w:p w14:paraId="27E21A6C"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lastRenderedPageBreak/>
        <w:t>Supplemental Figures</w:t>
      </w:r>
    </w:p>
    <w:p w14:paraId="281C705C" w14:textId="77777777" w:rsidR="0041397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AAD103" wp14:editId="0B212B65">
            <wp:extent cx="5727700" cy="477329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27700" cy="4773295"/>
                    </a:xfrm>
                    <a:prstGeom prst="rect">
                      <a:avLst/>
                    </a:prstGeom>
                    <a:ln/>
                  </pic:spPr>
                </pic:pic>
              </a:graphicData>
            </a:graphic>
          </wp:inline>
        </w:drawing>
      </w:r>
    </w:p>
    <w:p w14:paraId="660F4C11"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Figure S1. Geographic distribution of observations used in the analysis. Point size represents sample size at each location. </w:t>
      </w:r>
      <w:r>
        <w:br w:type="page"/>
      </w:r>
    </w:p>
    <w:p w14:paraId="73E60F6D" w14:textId="77777777" w:rsidR="00413978"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28A8A3A" wp14:editId="67E57FF3">
            <wp:extent cx="4316480" cy="809376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316480" cy="8093764"/>
                    </a:xfrm>
                    <a:prstGeom prst="rect">
                      <a:avLst/>
                    </a:prstGeom>
                    <a:ln/>
                  </pic:spPr>
                </pic:pic>
              </a:graphicData>
            </a:graphic>
          </wp:inline>
        </w:drawing>
      </w:r>
    </w:p>
    <w:p w14:paraId="5BEAADF9"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 xml:space="preserve">Figure S2. Summary of bee-plant interaction probabilities by bee species. </w:t>
      </w:r>
      <w:r>
        <w:br w:type="page"/>
      </w:r>
    </w:p>
    <w:p w14:paraId="55212084" w14:textId="77777777" w:rsidR="00413978"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6A85E9" wp14:editId="13A0266C">
            <wp:extent cx="4385368" cy="822293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385368" cy="8222933"/>
                    </a:xfrm>
                    <a:prstGeom prst="rect">
                      <a:avLst/>
                    </a:prstGeom>
                    <a:ln/>
                  </pic:spPr>
                </pic:pic>
              </a:graphicData>
            </a:graphic>
          </wp:inline>
        </w:drawing>
      </w:r>
    </w:p>
    <w:p w14:paraId="72E959D7" w14:textId="156344D2" w:rsidR="00283BE7" w:rsidRDefault="00000000">
      <w:pPr>
        <w:rPr>
          <w:rFonts w:ascii="Times New Roman" w:eastAsia="Times New Roman" w:hAnsi="Times New Roman" w:cs="Times New Roman"/>
        </w:rPr>
      </w:pPr>
      <w:r>
        <w:rPr>
          <w:rFonts w:ascii="Times New Roman" w:eastAsia="Times New Roman" w:hAnsi="Times New Roman" w:cs="Times New Roman"/>
        </w:rPr>
        <w:t>Figure S3. Summary of bee-plant detection probabilities by bee species.</w:t>
      </w:r>
    </w:p>
    <w:p w14:paraId="1C53E78F" w14:textId="77777777" w:rsidR="00283BE7" w:rsidRDefault="00283BE7">
      <w:pPr>
        <w:rPr>
          <w:rFonts w:ascii="Times New Roman" w:eastAsia="Times New Roman" w:hAnsi="Times New Roman" w:cs="Times New Roman"/>
        </w:rPr>
      </w:pPr>
      <w:r>
        <w:rPr>
          <w:rFonts w:ascii="Times New Roman" w:eastAsia="Times New Roman" w:hAnsi="Times New Roman" w:cs="Times New Roman"/>
        </w:rPr>
        <w:br w:type="page"/>
      </w:r>
    </w:p>
    <w:p w14:paraId="7A6A5A19" w14:textId="77777777" w:rsidR="00283BE7" w:rsidRDefault="00283BE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3916C8F" wp14:editId="6834853A">
            <wp:extent cx="5727700" cy="60756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6075680"/>
                    </a:xfrm>
                    <a:prstGeom prst="rect">
                      <a:avLst/>
                    </a:prstGeom>
                  </pic:spPr>
                </pic:pic>
              </a:graphicData>
            </a:graphic>
          </wp:inline>
        </w:drawing>
      </w:r>
    </w:p>
    <w:p w14:paraId="30B3FAB9" w14:textId="2DB4E096" w:rsidR="00283BE7" w:rsidRDefault="00283BE7" w:rsidP="00283BE7">
      <w:pPr>
        <w:rPr>
          <w:rFonts w:ascii="Times New Roman" w:eastAsia="Times New Roman" w:hAnsi="Times New Roman" w:cs="Times New Roman"/>
        </w:rPr>
      </w:pPr>
      <w:r>
        <w:rPr>
          <w:rFonts w:ascii="Times New Roman" w:eastAsia="Times New Roman" w:hAnsi="Times New Roman" w:cs="Times New Roman"/>
        </w:rPr>
        <w:t>Figure S</w:t>
      </w:r>
      <w:r>
        <w:rPr>
          <w:rFonts w:ascii="Times New Roman" w:eastAsia="Times New Roman" w:hAnsi="Times New Roman" w:cs="Times New Roman"/>
        </w:rPr>
        <w:t>4</w:t>
      </w:r>
      <w:r>
        <w:rPr>
          <w:rFonts w:ascii="Times New Roman" w:eastAsia="Times New Roman" w:hAnsi="Times New Roman" w:cs="Times New Roman"/>
        </w:rPr>
        <w:t xml:space="preserve">. </w:t>
      </w:r>
      <w:r>
        <w:rPr>
          <w:rFonts w:ascii="Times New Roman" w:eastAsia="Times New Roman" w:hAnsi="Times New Roman" w:cs="Times New Roman"/>
        </w:rPr>
        <w:t xml:space="preserve">Heatmap visualizations of the (A)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and (B) modeled network</w:t>
      </w:r>
      <w:r>
        <w:rPr>
          <w:rFonts w:ascii="Times New Roman" w:eastAsia="Times New Roman" w:hAnsi="Times New Roman" w:cs="Times New Roman"/>
        </w:rPr>
        <w:t>.</w:t>
      </w:r>
      <w:r w:rsidRPr="00283BE7">
        <w:rPr>
          <w:rFonts w:ascii="Times New Roman" w:eastAsia="Times New Roman" w:hAnsi="Times New Roman" w:cs="Times New Roman"/>
        </w:rPr>
        <w:t xml:space="preserve"> </w:t>
      </w:r>
      <w:r>
        <w:rPr>
          <w:rFonts w:ascii="Times New Roman" w:eastAsia="Times New Roman" w:hAnsi="Times New Roman" w:cs="Times New Roman"/>
        </w:rPr>
        <w:t xml:space="preserve">The modeled network accounts for all interactions with a greater than 3% probability of interaction. The bee and plant species lists were matched to create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network visualization.</w:t>
      </w:r>
      <w:r>
        <w:rPr>
          <w:rFonts w:ascii="Times New Roman" w:eastAsia="Times New Roman" w:hAnsi="Times New Roman" w:cs="Times New Roman"/>
        </w:rPr>
        <w:t xml:space="preserve"> Bees are represented vertically, and plants are represented horizontally. The </w:t>
      </w:r>
      <w:proofErr w:type="spellStart"/>
      <w:r>
        <w:rPr>
          <w:rFonts w:ascii="Times New Roman" w:eastAsia="Times New Roman" w:hAnsi="Times New Roman" w:cs="Times New Roman"/>
        </w:rPr>
        <w:t>shadedness</w:t>
      </w:r>
      <w:proofErr w:type="spellEnd"/>
      <w:r>
        <w:rPr>
          <w:rFonts w:ascii="Times New Roman" w:eastAsia="Times New Roman" w:hAnsi="Times New Roman" w:cs="Times New Roman"/>
        </w:rPr>
        <w:t xml:space="preserve"> of each square represents greater frequency or likelihood of interactions. </w:t>
      </w:r>
    </w:p>
    <w:p w14:paraId="04ADAA19" w14:textId="41E7F337" w:rsidR="00283BE7" w:rsidRDefault="00283BE7">
      <w:pPr>
        <w:rPr>
          <w:rFonts w:ascii="Times New Roman" w:eastAsia="Times New Roman" w:hAnsi="Times New Roman" w:cs="Times New Roman"/>
        </w:rPr>
      </w:pPr>
      <w:r>
        <w:rPr>
          <w:rFonts w:ascii="Times New Roman" w:eastAsia="Times New Roman" w:hAnsi="Times New Roman" w:cs="Times New Roman"/>
        </w:rPr>
        <w:br w:type="page"/>
      </w:r>
    </w:p>
    <w:p w14:paraId="31268D9A"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Table S1. List of sources from the </w:t>
      </w:r>
      <w:proofErr w:type="spellStart"/>
      <w:r>
        <w:rPr>
          <w:rFonts w:ascii="Times New Roman" w:eastAsia="Times New Roman" w:hAnsi="Times New Roman" w:cs="Times New Roman"/>
        </w:rPr>
        <w:t>GloBI</w:t>
      </w:r>
      <w:proofErr w:type="spellEnd"/>
      <w:r>
        <w:rPr>
          <w:rFonts w:ascii="Times New Roman" w:eastAsia="Times New Roman" w:hAnsi="Times New Roman" w:cs="Times New Roman"/>
        </w:rPr>
        <w:t xml:space="preserve"> database and their reference type (aggregated data, collection specimen, literature, and observation).</w:t>
      </w:r>
    </w:p>
    <w:p w14:paraId="2F1309A3" w14:textId="77777777" w:rsidR="00413978" w:rsidRDefault="00413978">
      <w:pPr>
        <w:rPr>
          <w:rFonts w:ascii="Times New Roman" w:eastAsia="Times New Roman" w:hAnsi="Times New Roman" w:cs="Times New Roman"/>
        </w:rPr>
      </w:pP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7250"/>
        <w:gridCol w:w="1775"/>
      </w:tblGrid>
      <w:tr w:rsidR="00413978" w14:paraId="188F26A7" w14:textId="77777777">
        <w:trPr>
          <w:trHeight w:val="445"/>
        </w:trPr>
        <w:tc>
          <w:tcPr>
            <w:tcW w:w="725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086591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Source</w:t>
            </w:r>
          </w:p>
        </w:tc>
        <w:tc>
          <w:tcPr>
            <w:tcW w:w="1775"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3B787E3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Reference Type</w:t>
            </w:r>
          </w:p>
        </w:tc>
      </w:tr>
      <w:tr w:rsidR="00413978" w14:paraId="201A25CB" w14:textId="77777777">
        <w:trPr>
          <w:trHeight w:val="445"/>
        </w:trPr>
        <w:tc>
          <w:tcPr>
            <w:tcW w:w="7250" w:type="dxa"/>
            <w:tcBorders>
              <w:top w:val="nil"/>
              <w:left w:val="nil"/>
              <w:bottom w:val="nil"/>
              <w:right w:val="nil"/>
            </w:tcBorders>
            <w:tcMar>
              <w:top w:w="20" w:type="dxa"/>
              <w:left w:w="20" w:type="dxa"/>
              <w:bottom w:w="100" w:type="dxa"/>
              <w:right w:w="20" w:type="dxa"/>
            </w:tcMar>
            <w:vAlign w:val="bottom"/>
          </w:tcPr>
          <w:p w14:paraId="46CA95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A. </w:t>
            </w:r>
            <w:proofErr w:type="spellStart"/>
            <w:r>
              <w:rPr>
                <w:rFonts w:ascii="Times New Roman" w:eastAsia="Times New Roman" w:hAnsi="Times New Roman" w:cs="Times New Roman"/>
                <w:sz w:val="20"/>
                <w:szCs w:val="20"/>
              </w:rPr>
              <w:t>Thessen</w:t>
            </w:r>
            <w:proofErr w:type="spellEnd"/>
            <w:r>
              <w:rPr>
                <w:rFonts w:ascii="Times New Roman" w:eastAsia="Times New Roman" w:hAnsi="Times New Roman" w:cs="Times New Roman"/>
                <w:sz w:val="20"/>
                <w:szCs w:val="20"/>
              </w:rPr>
              <w:t>. 2014. Species associations extracted from EOL text data objects via text mining.</w:t>
            </w:r>
          </w:p>
        </w:tc>
        <w:tc>
          <w:tcPr>
            <w:tcW w:w="1775" w:type="dxa"/>
            <w:tcBorders>
              <w:top w:val="nil"/>
              <w:left w:val="nil"/>
              <w:bottom w:val="nil"/>
              <w:right w:val="nil"/>
            </w:tcBorders>
            <w:tcMar>
              <w:top w:w="20" w:type="dxa"/>
              <w:left w:w="20" w:type="dxa"/>
              <w:bottom w:w="100" w:type="dxa"/>
              <w:right w:w="20" w:type="dxa"/>
            </w:tcMar>
            <w:vAlign w:val="bottom"/>
          </w:tcPr>
          <w:p w14:paraId="64CCCE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Aggregated Data</w:t>
            </w:r>
          </w:p>
        </w:tc>
      </w:tr>
      <w:tr w:rsidR="00413978" w14:paraId="0EE4E7E4"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26289F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Gungsuh" w:eastAsia="Gungsuh" w:hAnsi="Gungsuh" w:cs="Gungsuh"/>
                <w:sz w:val="20"/>
                <w:szCs w:val="20"/>
              </w:rPr>
              <w:t>Agosti</w:t>
            </w:r>
            <w:proofErr w:type="spellEnd"/>
            <w:r>
              <w:rPr>
                <w:rFonts w:ascii="Gungsuh" w:eastAsia="Gungsuh" w:hAnsi="Gungsuh" w:cs="Gungsuh"/>
                <w:sz w:val="20"/>
                <w:szCs w:val="20"/>
              </w:rPr>
              <w:t xml:space="preserve">, </w:t>
            </w:r>
            <w:proofErr w:type="spellStart"/>
            <w:r>
              <w:rPr>
                <w:rFonts w:ascii="Gungsuh" w:eastAsia="Gungsuh" w:hAnsi="Gungsuh" w:cs="Gungsuh"/>
                <w:sz w:val="20"/>
                <w:szCs w:val="20"/>
              </w:rPr>
              <w:t>Donat</w:t>
            </w:r>
            <w:proofErr w:type="spellEnd"/>
            <w:r>
              <w:rPr>
                <w:rFonts w:ascii="Gungsuh" w:eastAsia="Gungsuh" w:hAnsi="Gungsuh" w:cs="Gungsuh"/>
                <w:sz w:val="20"/>
                <w:szCs w:val="20"/>
              </w:rPr>
              <w:t xml:space="preserve">. 2020. Transcription of </w:t>
            </w:r>
            <w:proofErr w:type="spellStart"/>
            <w:r>
              <w:rPr>
                <w:rFonts w:ascii="Gungsuh" w:eastAsia="Gungsuh" w:hAnsi="Gungsuh" w:cs="Gungsuh"/>
                <w:sz w:val="20"/>
                <w:szCs w:val="20"/>
              </w:rPr>
              <w:t>Linne√É√Ö</w:t>
            </w:r>
            <w:proofErr w:type="spellEnd"/>
            <w:r>
              <w:rPr>
                <w:rFonts w:ascii="Gungsuh" w:eastAsia="Gungsuh" w:hAnsi="Gungsuh" w:cs="Gungsuh"/>
                <w:sz w:val="20"/>
                <w:szCs w:val="20"/>
              </w:rPr>
              <w:t xml:space="preserve">, C. von, 1758. Systema naturae per regna </w:t>
            </w:r>
            <w:proofErr w:type="spellStart"/>
            <w:r>
              <w:rPr>
                <w:rFonts w:ascii="Gungsuh" w:eastAsia="Gungsuh" w:hAnsi="Gungsuh" w:cs="Gungsuh"/>
                <w:sz w:val="20"/>
                <w:szCs w:val="20"/>
              </w:rPr>
              <w:t>tria</w:t>
            </w:r>
            <w:proofErr w:type="spellEnd"/>
            <w:r>
              <w:rPr>
                <w:rFonts w:ascii="Gungsuh" w:eastAsia="Gungsuh" w:hAnsi="Gungsuh" w:cs="Gungsuh"/>
                <w:sz w:val="20"/>
                <w:szCs w:val="20"/>
              </w:rPr>
              <w:t xml:space="preserve"> </w:t>
            </w:r>
            <w:proofErr w:type="spellStart"/>
            <w:r>
              <w:rPr>
                <w:rFonts w:ascii="Gungsuh" w:eastAsia="Gungsuh" w:hAnsi="Gungsuh" w:cs="Gungsuh"/>
                <w:sz w:val="20"/>
                <w:szCs w:val="20"/>
              </w:rPr>
              <w:t>naturae‚Äö√Ñ√òsecundum</w:t>
            </w:r>
            <w:proofErr w:type="spellEnd"/>
            <w:r>
              <w:rPr>
                <w:rFonts w:ascii="Gungsuh" w:eastAsia="Gungsuh" w:hAnsi="Gungsuh" w:cs="Gungsuh"/>
                <w:sz w:val="20"/>
                <w:szCs w:val="20"/>
              </w:rPr>
              <w:t xml:space="preserve"> classes, ordines, genera, species, cum </w:t>
            </w:r>
            <w:proofErr w:type="spellStart"/>
            <w:r>
              <w:rPr>
                <w:rFonts w:ascii="Gungsuh" w:eastAsia="Gungsuh" w:hAnsi="Gungsuh" w:cs="Gungsuh"/>
                <w:sz w:val="20"/>
                <w:szCs w:val="20"/>
              </w:rPr>
              <w:t>characteribus</w:t>
            </w:r>
            <w:proofErr w:type="spellEnd"/>
            <w:r>
              <w:rPr>
                <w:rFonts w:ascii="Gungsuh" w:eastAsia="Gungsuh" w:hAnsi="Gungsuh" w:cs="Gungsuh"/>
                <w:sz w:val="20"/>
                <w:szCs w:val="20"/>
              </w:rPr>
              <w:t xml:space="preserve">, </w:t>
            </w:r>
            <w:proofErr w:type="spellStart"/>
            <w:r>
              <w:rPr>
                <w:rFonts w:ascii="Gungsuh" w:eastAsia="Gungsuh" w:hAnsi="Gungsuh" w:cs="Gungsuh"/>
                <w:sz w:val="20"/>
                <w:szCs w:val="20"/>
              </w:rPr>
              <w:t>differentiis</w:t>
            </w:r>
            <w:proofErr w:type="spellEnd"/>
            <w:r>
              <w:rPr>
                <w:rFonts w:ascii="Gungsuh" w:eastAsia="Gungsuh" w:hAnsi="Gungsuh" w:cs="Gungsuh"/>
                <w:sz w:val="20"/>
                <w:szCs w:val="20"/>
              </w:rPr>
              <w:t xml:space="preserve">, </w:t>
            </w:r>
            <w:proofErr w:type="spellStart"/>
            <w:r>
              <w:rPr>
                <w:rFonts w:ascii="Gungsuh" w:eastAsia="Gungsuh" w:hAnsi="Gungsuh" w:cs="Gungsuh"/>
                <w:sz w:val="20"/>
                <w:szCs w:val="20"/>
              </w:rPr>
              <w:t>synonymis</w:t>
            </w:r>
            <w:proofErr w:type="spellEnd"/>
            <w:r>
              <w:rPr>
                <w:rFonts w:ascii="Gungsuh" w:eastAsia="Gungsuh" w:hAnsi="Gungsuh" w:cs="Gungsuh"/>
                <w:sz w:val="20"/>
                <w:szCs w:val="20"/>
              </w:rPr>
              <w:t xml:space="preserve">, </w:t>
            </w:r>
            <w:proofErr w:type="spellStart"/>
            <w:r>
              <w:rPr>
                <w:rFonts w:ascii="Gungsuh" w:eastAsia="Gungsuh" w:hAnsi="Gungsuh" w:cs="Gungsuh"/>
                <w:sz w:val="20"/>
                <w:szCs w:val="20"/>
              </w:rPr>
              <w:t>locis</w:t>
            </w:r>
            <w:proofErr w:type="spellEnd"/>
            <w:r>
              <w:rPr>
                <w:rFonts w:ascii="Gungsuh" w:eastAsia="Gungsuh" w:hAnsi="Gungsuh" w:cs="Gungsuh"/>
                <w:sz w:val="20"/>
                <w:szCs w:val="20"/>
              </w:rPr>
              <w:t>. Available at: http://dx.doi.org/10.5962/bhl.title.542 .</w:t>
            </w:r>
          </w:p>
        </w:tc>
        <w:tc>
          <w:tcPr>
            <w:tcW w:w="1775" w:type="dxa"/>
            <w:tcBorders>
              <w:top w:val="nil"/>
              <w:left w:val="nil"/>
              <w:bottom w:val="nil"/>
              <w:right w:val="nil"/>
            </w:tcBorders>
            <w:tcMar>
              <w:top w:w="20" w:type="dxa"/>
              <w:left w:w="20" w:type="dxa"/>
              <w:bottom w:w="100" w:type="dxa"/>
              <w:right w:w="20" w:type="dxa"/>
            </w:tcMar>
            <w:vAlign w:val="bottom"/>
          </w:tcPr>
          <w:p w14:paraId="7F8791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3BEE1C35"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7EA0BEF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Brose, U. (2018). </w:t>
            </w:r>
            <w:proofErr w:type="spellStart"/>
            <w:r>
              <w:rPr>
                <w:rFonts w:ascii="Times New Roman" w:eastAsia="Times New Roman" w:hAnsi="Times New Roman" w:cs="Times New Roman"/>
                <w:sz w:val="20"/>
                <w:szCs w:val="20"/>
              </w:rPr>
              <w:t>GlobAL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of traits and food Web Architecture (</w:t>
            </w:r>
            <w:proofErr w:type="spellStart"/>
            <w:r>
              <w:rPr>
                <w:rFonts w:ascii="Times New Roman" w:eastAsia="Times New Roman" w:hAnsi="Times New Roman" w:cs="Times New Roman"/>
                <w:sz w:val="20"/>
                <w:szCs w:val="20"/>
              </w:rPr>
              <w:t>GATEWAy</w:t>
            </w:r>
            <w:proofErr w:type="spellEnd"/>
            <w:r>
              <w:rPr>
                <w:rFonts w:ascii="Times New Roman" w:eastAsia="Times New Roman" w:hAnsi="Times New Roman" w:cs="Times New Roman"/>
                <w:sz w:val="20"/>
                <w:szCs w:val="20"/>
              </w:rPr>
              <w:t>) version 1.0 [Data set]. German Centre for Integrative Biodiversity Research (</w:t>
            </w:r>
            <w:proofErr w:type="spellStart"/>
            <w:r>
              <w:rPr>
                <w:rFonts w:ascii="Times New Roman" w:eastAsia="Times New Roman" w:hAnsi="Times New Roman" w:cs="Times New Roman"/>
                <w:sz w:val="20"/>
                <w:szCs w:val="20"/>
              </w:rPr>
              <w:t>iDiv</w:t>
            </w:r>
            <w:proofErr w:type="spellEnd"/>
            <w:r>
              <w:rPr>
                <w:rFonts w:ascii="Times New Roman" w:eastAsia="Times New Roman" w:hAnsi="Times New Roman" w:cs="Times New Roman"/>
                <w:sz w:val="20"/>
                <w:szCs w:val="20"/>
              </w:rPr>
              <w:t>) Halle-Jena-Leipzig. https://doi.org/10.25829/IDIV.283-3-756</w:t>
            </w:r>
          </w:p>
        </w:tc>
        <w:tc>
          <w:tcPr>
            <w:tcW w:w="1775" w:type="dxa"/>
            <w:tcBorders>
              <w:top w:val="nil"/>
              <w:left w:val="nil"/>
              <w:bottom w:val="nil"/>
              <w:right w:val="nil"/>
            </w:tcBorders>
            <w:tcMar>
              <w:top w:w="20" w:type="dxa"/>
              <w:left w:w="20" w:type="dxa"/>
              <w:bottom w:w="100" w:type="dxa"/>
              <w:right w:w="20" w:type="dxa"/>
            </w:tcMar>
            <w:vAlign w:val="bottom"/>
          </w:tcPr>
          <w:p w14:paraId="77CAD8D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Aggregated Data</w:t>
            </w:r>
          </w:p>
        </w:tc>
      </w:tr>
      <w:tr w:rsidR="00413978" w14:paraId="3435F305"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38BCDE3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California Academy of Sciences Entomology</w:t>
            </w:r>
          </w:p>
        </w:tc>
        <w:tc>
          <w:tcPr>
            <w:tcW w:w="1775" w:type="dxa"/>
            <w:tcBorders>
              <w:top w:val="nil"/>
              <w:left w:val="nil"/>
              <w:bottom w:val="nil"/>
              <w:right w:val="nil"/>
            </w:tcBorders>
            <w:tcMar>
              <w:top w:w="20" w:type="dxa"/>
              <w:left w:w="20" w:type="dxa"/>
              <w:bottom w:w="100" w:type="dxa"/>
              <w:right w:w="20" w:type="dxa"/>
            </w:tcMar>
            <w:vAlign w:val="bottom"/>
          </w:tcPr>
          <w:p w14:paraId="40A5D05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4F739149"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14B8CB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0"/>
                <w:szCs w:val="20"/>
              </w:rPr>
              <w:t>Carril</w:t>
            </w:r>
            <w:proofErr w:type="spellEnd"/>
            <w:r>
              <w:rPr>
                <w:rFonts w:ascii="Times New Roman" w:eastAsia="Times New Roman" w:hAnsi="Times New Roman" w:cs="Times New Roman"/>
                <w:sz w:val="20"/>
                <w:szCs w:val="20"/>
              </w:rPr>
              <w:t xml:space="preserve"> OM, Griswold T, Haefner J, Wilson JS. (2018) Wild bees of Grand Staircase-Escalante National Monument: richness, abundance, and </w:t>
            </w:r>
            <w:proofErr w:type="spellStart"/>
            <w:r>
              <w:rPr>
                <w:rFonts w:ascii="Times New Roman" w:eastAsia="Times New Roman" w:hAnsi="Times New Roman" w:cs="Times New Roman"/>
                <w:sz w:val="20"/>
                <w:szCs w:val="20"/>
              </w:rPr>
              <w:t>spatio</w:t>
            </w:r>
            <w:proofErr w:type="spellEnd"/>
            <w:r>
              <w:rPr>
                <w:rFonts w:ascii="Times New Roman" w:eastAsia="Times New Roman" w:hAnsi="Times New Roman" w:cs="Times New Roman"/>
                <w:sz w:val="20"/>
                <w:szCs w:val="20"/>
              </w:rPr>
              <w:t xml:space="preserve">-temporal beta-diversity. </w:t>
            </w:r>
            <w:proofErr w:type="spellStart"/>
            <w:r>
              <w:rPr>
                <w:rFonts w:ascii="Times New Roman" w:eastAsia="Times New Roman" w:hAnsi="Times New Roman" w:cs="Times New Roman"/>
                <w:sz w:val="20"/>
                <w:szCs w:val="20"/>
              </w:rPr>
              <w:t>PeerJ</w:t>
            </w:r>
            <w:proofErr w:type="spellEnd"/>
            <w:r>
              <w:rPr>
                <w:rFonts w:ascii="Times New Roman" w:eastAsia="Times New Roman" w:hAnsi="Times New Roman" w:cs="Times New Roman"/>
                <w:sz w:val="20"/>
                <w:szCs w:val="20"/>
              </w:rPr>
              <w:t xml:space="preserve"> 6:e5867 https://doi.org/10.7717/peerj.5867</w:t>
            </w:r>
          </w:p>
        </w:tc>
        <w:tc>
          <w:tcPr>
            <w:tcW w:w="1775" w:type="dxa"/>
            <w:tcBorders>
              <w:top w:val="nil"/>
              <w:left w:val="nil"/>
              <w:bottom w:val="nil"/>
              <w:right w:val="nil"/>
            </w:tcBorders>
            <w:tcMar>
              <w:top w:w="20" w:type="dxa"/>
              <w:left w:w="20" w:type="dxa"/>
              <w:bottom w:w="100" w:type="dxa"/>
              <w:right w:w="20" w:type="dxa"/>
            </w:tcMar>
            <w:vAlign w:val="bottom"/>
          </w:tcPr>
          <w:p w14:paraId="106D62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443C65A4" w14:textId="77777777">
        <w:trPr>
          <w:trHeight w:val="1795"/>
        </w:trPr>
        <w:tc>
          <w:tcPr>
            <w:tcW w:w="7250" w:type="dxa"/>
            <w:tcBorders>
              <w:top w:val="nil"/>
              <w:left w:val="nil"/>
              <w:bottom w:val="nil"/>
              <w:right w:val="nil"/>
            </w:tcBorders>
            <w:tcMar>
              <w:top w:w="20" w:type="dxa"/>
              <w:left w:w="20" w:type="dxa"/>
              <w:bottom w:w="100" w:type="dxa"/>
              <w:right w:w="20" w:type="dxa"/>
            </w:tcMar>
            <w:vAlign w:val="bottom"/>
          </w:tcPr>
          <w:p w14:paraId="1F99765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Digital Bee Collections Network, 2014 (and updates). Version: 2015-03-18. National Science Foundation grant DBI 0956388; PBI: Phytophagous Insects as a Model Group for Documenting Planetary Biodiversity (</w:t>
            </w:r>
            <w:proofErr w:type="spellStart"/>
            <w:r>
              <w:rPr>
                <w:rFonts w:ascii="Times New Roman" w:eastAsia="Times New Roman" w:hAnsi="Times New Roman" w:cs="Times New Roman"/>
                <w:sz w:val="20"/>
                <w:szCs w:val="20"/>
              </w:rPr>
              <w:t>Insecta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Heteroptera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Miridae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Orthotylinae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Phylinae</w:t>
            </w:r>
            <w:proofErr w:type="spellEnd"/>
            <w:r>
              <w:rPr>
                <w:rFonts w:ascii="Times New Roman" w:eastAsia="Times New Roman" w:hAnsi="Times New Roman" w:cs="Times New Roman"/>
                <w:sz w:val="20"/>
                <w:szCs w:val="20"/>
              </w:rPr>
              <w:t>). Version: 08 Mar 2016. National Science Foundation grant DBI#0316495; Tri-Trophic Thematic Collection Network, 2014 (and updates). Version: 08 Mar 2016. http://tcn.amnh.org/. National Science Foundation grant(s) EF#1115081, EF#1115103, EF#1115080, EF#1115144, EF#1115191, EF#1115104, EF#1115115</w:t>
            </w:r>
          </w:p>
        </w:tc>
        <w:tc>
          <w:tcPr>
            <w:tcW w:w="1775" w:type="dxa"/>
            <w:tcBorders>
              <w:top w:val="nil"/>
              <w:left w:val="nil"/>
              <w:bottom w:val="nil"/>
              <w:right w:val="nil"/>
            </w:tcBorders>
            <w:tcMar>
              <w:top w:w="20" w:type="dxa"/>
              <w:left w:w="20" w:type="dxa"/>
              <w:bottom w:w="100" w:type="dxa"/>
              <w:right w:w="20" w:type="dxa"/>
            </w:tcMar>
            <w:vAlign w:val="bottom"/>
          </w:tcPr>
          <w:p w14:paraId="5D5C97E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59075C7C"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5C140D8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Eardley C, </w:t>
            </w:r>
            <w:proofErr w:type="spellStart"/>
            <w:r>
              <w:rPr>
                <w:rFonts w:ascii="Times New Roman" w:eastAsia="Times New Roman" w:hAnsi="Times New Roman" w:cs="Times New Roman"/>
                <w:sz w:val="20"/>
                <w:szCs w:val="20"/>
              </w:rPr>
              <w:t>Coetzer</w:t>
            </w:r>
            <w:proofErr w:type="spellEnd"/>
            <w:r>
              <w:rPr>
                <w:rFonts w:ascii="Times New Roman" w:eastAsia="Times New Roman" w:hAnsi="Times New Roman" w:cs="Times New Roman"/>
                <w:sz w:val="20"/>
                <w:szCs w:val="20"/>
              </w:rPr>
              <w:t xml:space="preserve"> W. 2011. Catalogue of Afrotropical Bees. http://doi.org/10.15468/u9ezbh</w:t>
            </w:r>
          </w:p>
        </w:tc>
        <w:tc>
          <w:tcPr>
            <w:tcW w:w="1775" w:type="dxa"/>
            <w:tcBorders>
              <w:top w:val="nil"/>
              <w:left w:val="nil"/>
              <w:bottom w:val="nil"/>
              <w:right w:val="nil"/>
            </w:tcBorders>
            <w:tcMar>
              <w:top w:w="20" w:type="dxa"/>
              <w:left w:w="20" w:type="dxa"/>
              <w:bottom w:w="100" w:type="dxa"/>
              <w:right w:w="20" w:type="dxa"/>
            </w:tcMar>
            <w:vAlign w:val="bottom"/>
          </w:tcPr>
          <w:p w14:paraId="0858FDA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182BE41E"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0A73EE1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Ed Baker; Ian J. Kitching; George W. </w:t>
            </w:r>
            <w:proofErr w:type="spellStart"/>
            <w:r>
              <w:rPr>
                <w:rFonts w:ascii="Times New Roman" w:eastAsia="Times New Roman" w:hAnsi="Times New Roman" w:cs="Times New Roman"/>
                <w:sz w:val="20"/>
                <w:szCs w:val="20"/>
              </w:rPr>
              <w:t>Beccaloni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Amoret</w:t>
            </w:r>
            <w:proofErr w:type="spellEnd"/>
            <w:r>
              <w:rPr>
                <w:rFonts w:ascii="Times New Roman" w:eastAsia="Times New Roman" w:hAnsi="Times New Roman" w:cs="Times New Roman"/>
                <w:sz w:val="20"/>
                <w:szCs w:val="20"/>
              </w:rPr>
              <w:t xml:space="preserve"> Whitaker et al. (2016). Dataset: NHM Interactions Bank. Natural History Museum Data Portal (data.nhm.ac.uk). https://doi.org/10.5519/0060767</w:t>
            </w:r>
          </w:p>
        </w:tc>
        <w:tc>
          <w:tcPr>
            <w:tcW w:w="1775" w:type="dxa"/>
            <w:tcBorders>
              <w:top w:val="nil"/>
              <w:left w:val="nil"/>
              <w:bottom w:val="nil"/>
              <w:right w:val="nil"/>
            </w:tcBorders>
            <w:tcMar>
              <w:top w:w="20" w:type="dxa"/>
              <w:left w:w="20" w:type="dxa"/>
              <w:bottom w:w="100" w:type="dxa"/>
              <w:right w:w="20" w:type="dxa"/>
            </w:tcMar>
            <w:vAlign w:val="bottom"/>
          </w:tcPr>
          <w:p w14:paraId="1C80E70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Aggregated Data</w:t>
            </w:r>
          </w:p>
        </w:tc>
      </w:tr>
      <w:tr w:rsidR="00413978" w14:paraId="6EE93534"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66DB0D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0"/>
                <w:szCs w:val="20"/>
              </w:rPr>
              <w:t>el</w:t>
            </w:r>
            <w:proofErr w:type="spellEnd"/>
          </w:p>
        </w:tc>
        <w:tc>
          <w:tcPr>
            <w:tcW w:w="1775" w:type="dxa"/>
            <w:tcBorders>
              <w:top w:val="nil"/>
              <w:left w:val="nil"/>
              <w:bottom w:val="nil"/>
              <w:right w:val="nil"/>
            </w:tcBorders>
            <w:tcMar>
              <w:top w:w="20" w:type="dxa"/>
              <w:left w:w="20" w:type="dxa"/>
              <w:bottom w:w="100" w:type="dxa"/>
              <w:right w:w="20" w:type="dxa"/>
            </w:tcMar>
            <w:vAlign w:val="bottom"/>
          </w:tcPr>
          <w:p w14:paraId="7CB2B5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Aggregated Data</w:t>
            </w:r>
          </w:p>
        </w:tc>
      </w:tr>
      <w:tr w:rsidR="00413978" w14:paraId="10F77516"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03AB001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Food Webs and Species Interactions in the Biodiversity of UK and Ireland (Online). 2017. Data provided by Malcolm </w:t>
            </w:r>
            <w:proofErr w:type="spellStart"/>
            <w:r>
              <w:rPr>
                <w:rFonts w:ascii="Times New Roman" w:eastAsia="Times New Roman" w:hAnsi="Times New Roman" w:cs="Times New Roman"/>
                <w:sz w:val="20"/>
                <w:szCs w:val="20"/>
              </w:rPr>
              <w:t>Storey</w:t>
            </w:r>
            <w:proofErr w:type="spellEnd"/>
            <w:r>
              <w:rPr>
                <w:rFonts w:ascii="Times New Roman" w:eastAsia="Times New Roman" w:hAnsi="Times New Roman" w:cs="Times New Roman"/>
                <w:sz w:val="20"/>
                <w:szCs w:val="20"/>
              </w:rPr>
              <w:t>. Also available from http://bioinfo.org.uk.</w:t>
            </w:r>
          </w:p>
        </w:tc>
        <w:tc>
          <w:tcPr>
            <w:tcW w:w="1775" w:type="dxa"/>
            <w:tcBorders>
              <w:top w:val="nil"/>
              <w:left w:val="nil"/>
              <w:bottom w:val="nil"/>
              <w:right w:val="nil"/>
            </w:tcBorders>
            <w:tcMar>
              <w:top w:w="20" w:type="dxa"/>
              <w:left w:w="20" w:type="dxa"/>
              <w:bottom w:w="100" w:type="dxa"/>
              <w:right w:w="20" w:type="dxa"/>
            </w:tcMar>
            <w:vAlign w:val="bottom"/>
          </w:tcPr>
          <w:p w14:paraId="522FDB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769ECD8F"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0053818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Gungsuh" w:eastAsia="Gungsuh" w:hAnsi="Gungsuh" w:cs="Gungsuh"/>
                <w:sz w:val="20"/>
                <w:szCs w:val="20"/>
              </w:rPr>
              <w:t>Gandhi, K. J. K., &amp; Herms, D. A. (2009). North American arthropods at risk due to widespread Fraxinus mortality caused by the Alien Emerald ash borer. Biological Invasions, 12(6), 1839‚Äö√Ñ√¨1846. doi:10.1007/s10530-009-9594-1.</w:t>
            </w:r>
          </w:p>
        </w:tc>
        <w:tc>
          <w:tcPr>
            <w:tcW w:w="1775" w:type="dxa"/>
            <w:tcBorders>
              <w:top w:val="nil"/>
              <w:left w:val="nil"/>
              <w:bottom w:val="nil"/>
              <w:right w:val="nil"/>
            </w:tcBorders>
            <w:tcMar>
              <w:top w:w="20" w:type="dxa"/>
              <w:left w:w="20" w:type="dxa"/>
              <w:bottom w:w="100" w:type="dxa"/>
              <w:right w:w="20" w:type="dxa"/>
            </w:tcMar>
            <w:vAlign w:val="bottom"/>
          </w:tcPr>
          <w:p w14:paraId="1E9C8B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70FED789"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4540EF2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Global Web Database (http://globalwebdb.com): an online collection of food webs. Accessed via https://www.globalwebdb.com/Service/DownloadArchive on 2017-10-12.</w:t>
            </w:r>
          </w:p>
        </w:tc>
        <w:tc>
          <w:tcPr>
            <w:tcW w:w="1775" w:type="dxa"/>
            <w:tcBorders>
              <w:top w:val="nil"/>
              <w:left w:val="nil"/>
              <w:bottom w:val="nil"/>
              <w:right w:val="nil"/>
            </w:tcBorders>
            <w:tcMar>
              <w:top w:w="20" w:type="dxa"/>
              <w:left w:w="20" w:type="dxa"/>
              <w:bottom w:w="100" w:type="dxa"/>
              <w:right w:w="20" w:type="dxa"/>
            </w:tcMar>
            <w:vAlign w:val="bottom"/>
          </w:tcPr>
          <w:p w14:paraId="6724272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77B71DC8"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7B9F90D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http://iNaturalist.org is a place where you can record what you see in nature, meet other nature lovers, and learn about the natural world.</w:t>
            </w:r>
          </w:p>
        </w:tc>
        <w:tc>
          <w:tcPr>
            <w:tcW w:w="1775" w:type="dxa"/>
            <w:tcBorders>
              <w:top w:val="nil"/>
              <w:left w:val="nil"/>
              <w:bottom w:val="nil"/>
              <w:right w:val="nil"/>
            </w:tcBorders>
            <w:tcMar>
              <w:top w:w="20" w:type="dxa"/>
              <w:left w:w="20" w:type="dxa"/>
              <w:bottom w:w="100" w:type="dxa"/>
              <w:right w:w="20" w:type="dxa"/>
            </w:tcMar>
            <w:vAlign w:val="bottom"/>
          </w:tcPr>
          <w:p w14:paraId="33845B8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Observation</w:t>
            </w:r>
          </w:p>
        </w:tc>
      </w:tr>
      <w:tr w:rsidR="00413978" w14:paraId="235499BD"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46FE6B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https://mangal.io - the ecological interaction database.</w:t>
            </w:r>
          </w:p>
        </w:tc>
        <w:tc>
          <w:tcPr>
            <w:tcW w:w="1775" w:type="dxa"/>
            <w:tcBorders>
              <w:top w:val="nil"/>
              <w:left w:val="nil"/>
              <w:bottom w:val="nil"/>
              <w:right w:val="nil"/>
            </w:tcBorders>
            <w:tcMar>
              <w:top w:w="20" w:type="dxa"/>
              <w:left w:w="20" w:type="dxa"/>
              <w:bottom w:w="100" w:type="dxa"/>
              <w:right w:w="20" w:type="dxa"/>
            </w:tcMar>
            <w:vAlign w:val="bottom"/>
          </w:tcPr>
          <w:p w14:paraId="2961AD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6CD68D06"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7F9AB7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https://vertnet.org</w:t>
            </w:r>
          </w:p>
        </w:tc>
        <w:tc>
          <w:tcPr>
            <w:tcW w:w="1775" w:type="dxa"/>
            <w:tcBorders>
              <w:top w:val="nil"/>
              <w:left w:val="nil"/>
              <w:bottom w:val="nil"/>
              <w:right w:val="nil"/>
            </w:tcBorders>
            <w:tcMar>
              <w:top w:w="20" w:type="dxa"/>
              <w:left w:w="20" w:type="dxa"/>
              <w:bottom w:w="100" w:type="dxa"/>
              <w:right w:w="20" w:type="dxa"/>
            </w:tcMar>
            <w:vAlign w:val="bottom"/>
          </w:tcPr>
          <w:p w14:paraId="6D7CEE8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337D5CE1"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7DED080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Illinois Natural History Survey Insect Collection</w:t>
            </w:r>
          </w:p>
        </w:tc>
        <w:tc>
          <w:tcPr>
            <w:tcW w:w="1775" w:type="dxa"/>
            <w:tcBorders>
              <w:top w:val="nil"/>
              <w:left w:val="nil"/>
              <w:bottom w:val="nil"/>
              <w:right w:val="nil"/>
            </w:tcBorders>
            <w:tcMar>
              <w:top w:w="20" w:type="dxa"/>
              <w:left w:w="20" w:type="dxa"/>
              <w:bottom w:w="100" w:type="dxa"/>
              <w:right w:w="20" w:type="dxa"/>
            </w:tcMar>
            <w:vAlign w:val="bottom"/>
          </w:tcPr>
          <w:p w14:paraId="0958ECB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18D59792"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6B60F30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0"/>
                <w:szCs w:val="20"/>
              </w:rPr>
              <w:t>Jorrit</w:t>
            </w:r>
            <w:proofErr w:type="spellEnd"/>
            <w:r>
              <w:rPr>
                <w:rFonts w:ascii="Times New Roman" w:eastAsia="Times New Roman" w:hAnsi="Times New Roman" w:cs="Times New Roman"/>
                <w:sz w:val="20"/>
                <w:szCs w:val="20"/>
              </w:rPr>
              <w:t xml:space="preserve"> H. </w:t>
            </w:r>
            <w:proofErr w:type="spellStart"/>
            <w:r>
              <w:rPr>
                <w:rFonts w:ascii="Times New Roman" w:eastAsia="Times New Roman" w:hAnsi="Times New Roman" w:cs="Times New Roman"/>
                <w:sz w:val="20"/>
                <w:szCs w:val="20"/>
              </w:rPr>
              <w:t>Poelen</w:t>
            </w:r>
            <w:proofErr w:type="spellEnd"/>
            <w:r>
              <w:rPr>
                <w:rFonts w:ascii="Times New Roman" w:eastAsia="Times New Roman" w:hAnsi="Times New Roman" w:cs="Times New Roman"/>
                <w:sz w:val="20"/>
                <w:szCs w:val="20"/>
              </w:rPr>
              <w:t>. 2017. Species interactions associated with known species interaction datasets.</w:t>
            </w:r>
          </w:p>
        </w:tc>
        <w:tc>
          <w:tcPr>
            <w:tcW w:w="1775" w:type="dxa"/>
            <w:tcBorders>
              <w:top w:val="nil"/>
              <w:left w:val="nil"/>
              <w:bottom w:val="nil"/>
              <w:right w:val="nil"/>
            </w:tcBorders>
            <w:tcMar>
              <w:top w:w="20" w:type="dxa"/>
              <w:left w:w="20" w:type="dxa"/>
              <w:bottom w:w="100" w:type="dxa"/>
              <w:right w:w="20" w:type="dxa"/>
            </w:tcMar>
            <w:vAlign w:val="bottom"/>
          </w:tcPr>
          <w:p w14:paraId="01579AA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13AA199B"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552482C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Katja Schulz. 2020. Collection of refuted species associations claims provided by </w:t>
            </w:r>
            <w:proofErr w:type="spellStart"/>
            <w:r>
              <w:rPr>
                <w:rFonts w:ascii="Times New Roman" w:eastAsia="Times New Roman" w:hAnsi="Times New Roman" w:cs="Times New Roman"/>
                <w:sz w:val="20"/>
                <w:szCs w:val="20"/>
              </w:rPr>
              <w:t>Enclyclopedia</w:t>
            </w:r>
            <w:proofErr w:type="spellEnd"/>
            <w:r>
              <w:rPr>
                <w:rFonts w:ascii="Times New Roman" w:eastAsia="Times New Roman" w:hAnsi="Times New Roman" w:cs="Times New Roman"/>
                <w:sz w:val="20"/>
                <w:szCs w:val="20"/>
              </w:rPr>
              <w:t xml:space="preserve"> of Life.</w:t>
            </w:r>
          </w:p>
        </w:tc>
        <w:tc>
          <w:tcPr>
            <w:tcW w:w="1775" w:type="dxa"/>
            <w:tcBorders>
              <w:top w:val="nil"/>
              <w:left w:val="nil"/>
              <w:bottom w:val="nil"/>
              <w:right w:val="nil"/>
            </w:tcBorders>
            <w:tcMar>
              <w:top w:w="20" w:type="dxa"/>
              <w:left w:w="20" w:type="dxa"/>
              <w:bottom w:w="100" w:type="dxa"/>
              <w:right w:w="20" w:type="dxa"/>
            </w:tcMar>
            <w:vAlign w:val="bottom"/>
          </w:tcPr>
          <w:p w14:paraId="74B9B6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08016C57"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7FA4FB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National Database Plant Pollinators. Center for Plant Conservation at San Diego Zoo Global. Accessed via https://saveplants.org/national-collection/pollinator-search/ on 2020-06-05.</w:t>
            </w:r>
          </w:p>
        </w:tc>
        <w:tc>
          <w:tcPr>
            <w:tcW w:w="1775" w:type="dxa"/>
            <w:tcBorders>
              <w:top w:val="nil"/>
              <w:left w:val="nil"/>
              <w:bottom w:val="nil"/>
              <w:right w:val="nil"/>
            </w:tcBorders>
            <w:tcMar>
              <w:top w:w="20" w:type="dxa"/>
              <w:left w:w="20" w:type="dxa"/>
              <w:bottom w:w="100" w:type="dxa"/>
              <w:right w:w="20" w:type="dxa"/>
            </w:tcMar>
            <w:vAlign w:val="bottom"/>
          </w:tcPr>
          <w:p w14:paraId="7754B71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734F185D"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39A5FDE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Pensoft Darwin Core Archives available via Integrated Publication Toolkit</w:t>
            </w:r>
          </w:p>
        </w:tc>
        <w:tc>
          <w:tcPr>
            <w:tcW w:w="1775" w:type="dxa"/>
            <w:tcBorders>
              <w:top w:val="nil"/>
              <w:left w:val="nil"/>
              <w:bottom w:val="nil"/>
              <w:right w:val="nil"/>
            </w:tcBorders>
            <w:tcMar>
              <w:top w:w="20" w:type="dxa"/>
              <w:left w:w="20" w:type="dxa"/>
              <w:bottom w:w="100" w:type="dxa"/>
              <w:right w:w="20" w:type="dxa"/>
            </w:tcMar>
            <w:vAlign w:val="bottom"/>
          </w:tcPr>
          <w:p w14:paraId="3009640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r w:rsidR="00413978" w14:paraId="59C5B375"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3C668DF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Pensoft Darwin Core Archives with </w:t>
            </w:r>
            <w:proofErr w:type="spellStart"/>
            <w:r>
              <w:rPr>
                <w:rFonts w:ascii="Times New Roman" w:eastAsia="Times New Roman" w:hAnsi="Times New Roman" w:cs="Times New Roman"/>
                <w:sz w:val="20"/>
                <w:szCs w:val="20"/>
              </w:rPr>
              <w:t>associateTaxa</w:t>
            </w:r>
            <w:proofErr w:type="spellEnd"/>
            <w:r>
              <w:rPr>
                <w:rFonts w:ascii="Times New Roman" w:eastAsia="Times New Roman" w:hAnsi="Times New Roman" w:cs="Times New Roman"/>
                <w:sz w:val="20"/>
                <w:szCs w:val="20"/>
              </w:rPr>
              <w:t xml:space="preserve"> columns</w:t>
            </w:r>
          </w:p>
        </w:tc>
        <w:tc>
          <w:tcPr>
            <w:tcW w:w="1775" w:type="dxa"/>
            <w:tcBorders>
              <w:top w:val="nil"/>
              <w:left w:val="nil"/>
              <w:bottom w:val="nil"/>
              <w:right w:val="nil"/>
            </w:tcBorders>
            <w:tcMar>
              <w:top w:w="20" w:type="dxa"/>
              <w:left w:w="20" w:type="dxa"/>
              <w:bottom w:w="100" w:type="dxa"/>
              <w:right w:w="20" w:type="dxa"/>
            </w:tcMar>
            <w:vAlign w:val="bottom"/>
          </w:tcPr>
          <w:p w14:paraId="4561F3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741C95B1"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1082752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Purdue Entomological Research Collection</w:t>
            </w:r>
          </w:p>
        </w:tc>
        <w:tc>
          <w:tcPr>
            <w:tcW w:w="1775" w:type="dxa"/>
            <w:tcBorders>
              <w:top w:val="nil"/>
              <w:left w:val="nil"/>
              <w:bottom w:val="nil"/>
              <w:right w:val="nil"/>
            </w:tcBorders>
            <w:tcMar>
              <w:top w:w="20" w:type="dxa"/>
              <w:left w:w="20" w:type="dxa"/>
              <w:bottom w:w="100" w:type="dxa"/>
              <w:right w:w="20" w:type="dxa"/>
            </w:tcMar>
            <w:vAlign w:val="bottom"/>
          </w:tcPr>
          <w:p w14:paraId="77D6523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7AAAB073"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07A78A6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Quentin J. Groom. 2020. Species interactions of species on the List of invasive alien species of Union concern</w:t>
            </w:r>
          </w:p>
        </w:tc>
        <w:tc>
          <w:tcPr>
            <w:tcW w:w="1775" w:type="dxa"/>
            <w:tcBorders>
              <w:top w:val="nil"/>
              <w:left w:val="nil"/>
              <w:bottom w:val="nil"/>
              <w:right w:val="nil"/>
            </w:tcBorders>
            <w:tcMar>
              <w:top w:w="20" w:type="dxa"/>
              <w:left w:w="20" w:type="dxa"/>
              <w:bottom w:w="100" w:type="dxa"/>
              <w:right w:w="20" w:type="dxa"/>
            </w:tcMar>
            <w:vAlign w:val="bottom"/>
          </w:tcPr>
          <w:p w14:paraId="417683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78E912F8"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0140245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Sarah E Miller. 12/13/2016. Species associations manually extracted from Onstad, D.W. EDWIP: Ecological Database of the World's Insect Pathogens. Champaign, Illinois: Illinois Natural History Survey, [23/11/2016]. http://insectweb.inhs.uiuc.edu/Pathogens/EDWIP.</w:t>
            </w:r>
          </w:p>
        </w:tc>
        <w:tc>
          <w:tcPr>
            <w:tcW w:w="1775" w:type="dxa"/>
            <w:tcBorders>
              <w:top w:val="nil"/>
              <w:left w:val="nil"/>
              <w:bottom w:val="nil"/>
              <w:right w:val="nil"/>
            </w:tcBorders>
            <w:tcMar>
              <w:top w:w="20" w:type="dxa"/>
              <w:left w:w="20" w:type="dxa"/>
              <w:bottom w:w="100" w:type="dxa"/>
              <w:right w:w="20" w:type="dxa"/>
            </w:tcMar>
            <w:vAlign w:val="bottom"/>
          </w:tcPr>
          <w:p w14:paraId="14BEDB2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12C9FD50"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2089B03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Sarah E Miller. 5/30/2016. </w:t>
            </w:r>
            <w:proofErr w:type="spellStart"/>
            <w:r>
              <w:rPr>
                <w:rFonts w:ascii="Times New Roman" w:eastAsia="Times New Roman" w:hAnsi="Times New Roman" w:cs="Times New Roman"/>
                <w:sz w:val="20"/>
                <w:szCs w:val="20"/>
              </w:rPr>
              <w:t>Interations</w:t>
            </w:r>
            <w:proofErr w:type="spellEnd"/>
            <w:r>
              <w:rPr>
                <w:rFonts w:ascii="Times New Roman" w:eastAsia="Times New Roman" w:hAnsi="Times New Roman" w:cs="Times New Roman"/>
                <w:sz w:val="20"/>
                <w:szCs w:val="20"/>
              </w:rPr>
              <w:t xml:space="preserve"> from various papers.</w:t>
            </w:r>
          </w:p>
        </w:tc>
        <w:tc>
          <w:tcPr>
            <w:tcW w:w="1775" w:type="dxa"/>
            <w:tcBorders>
              <w:top w:val="nil"/>
              <w:left w:val="nil"/>
              <w:bottom w:val="nil"/>
              <w:right w:val="nil"/>
            </w:tcBorders>
            <w:tcMar>
              <w:top w:w="20" w:type="dxa"/>
              <w:left w:w="20" w:type="dxa"/>
              <w:bottom w:w="100" w:type="dxa"/>
              <w:right w:w="20" w:type="dxa"/>
            </w:tcMar>
            <w:vAlign w:val="bottom"/>
          </w:tcPr>
          <w:p w14:paraId="5D39F07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1513B405"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6A07ACD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Sarah E Miller. 6/19/2015. Species associations manually extracted from datasets https://www.nceas.ucsb.edu/interactionweb/resources.html.</w:t>
            </w:r>
          </w:p>
        </w:tc>
        <w:tc>
          <w:tcPr>
            <w:tcW w:w="1775" w:type="dxa"/>
            <w:tcBorders>
              <w:top w:val="nil"/>
              <w:left w:val="nil"/>
              <w:bottom w:val="nil"/>
              <w:right w:val="nil"/>
            </w:tcBorders>
            <w:tcMar>
              <w:top w:w="20" w:type="dxa"/>
              <w:left w:w="20" w:type="dxa"/>
              <w:bottom w:w="100" w:type="dxa"/>
              <w:right w:w="20" w:type="dxa"/>
            </w:tcMar>
            <w:vAlign w:val="bottom"/>
          </w:tcPr>
          <w:p w14:paraId="437FB37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7801DF9F"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2FEDDF9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Sarah E Miller. 6/22/2015. Species associations manually extracted from datasets https://www.nceas.ucsb.edu/interactionweb/resources.html.</w:t>
            </w:r>
          </w:p>
        </w:tc>
        <w:tc>
          <w:tcPr>
            <w:tcW w:w="1775" w:type="dxa"/>
            <w:tcBorders>
              <w:top w:val="nil"/>
              <w:left w:val="nil"/>
              <w:bottom w:val="nil"/>
              <w:right w:val="nil"/>
            </w:tcBorders>
            <w:tcMar>
              <w:top w:w="20" w:type="dxa"/>
              <w:left w:w="20" w:type="dxa"/>
              <w:bottom w:w="100" w:type="dxa"/>
              <w:right w:w="20" w:type="dxa"/>
            </w:tcMar>
            <w:vAlign w:val="bottom"/>
          </w:tcPr>
          <w:p w14:paraId="53A83B9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2AFB3C00"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7AECCE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Sarah E Miller. 6/25/2015. Species associations manually extracted from Robertson, C. 1929. Flowers and insects: lists of visitors to four hundred and fifty-three flowers. Carlinville, IL, USA, C. Robertson.</w:t>
            </w:r>
          </w:p>
        </w:tc>
        <w:tc>
          <w:tcPr>
            <w:tcW w:w="1775" w:type="dxa"/>
            <w:tcBorders>
              <w:top w:val="nil"/>
              <w:left w:val="nil"/>
              <w:bottom w:val="nil"/>
              <w:right w:val="nil"/>
            </w:tcBorders>
            <w:tcMar>
              <w:top w:w="20" w:type="dxa"/>
              <w:left w:w="20" w:type="dxa"/>
              <w:bottom w:w="100" w:type="dxa"/>
              <w:right w:w="20" w:type="dxa"/>
            </w:tcMar>
            <w:vAlign w:val="bottom"/>
          </w:tcPr>
          <w:p w14:paraId="69BDA1F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488E3DBA" w14:textId="77777777">
        <w:trPr>
          <w:trHeight w:val="955"/>
        </w:trPr>
        <w:tc>
          <w:tcPr>
            <w:tcW w:w="7250" w:type="dxa"/>
            <w:tcBorders>
              <w:top w:val="nil"/>
              <w:left w:val="nil"/>
              <w:bottom w:val="nil"/>
              <w:right w:val="nil"/>
            </w:tcBorders>
            <w:tcMar>
              <w:top w:w="20" w:type="dxa"/>
              <w:left w:w="20" w:type="dxa"/>
              <w:bottom w:w="100" w:type="dxa"/>
              <w:right w:w="20" w:type="dxa"/>
            </w:tcMar>
            <w:vAlign w:val="bottom"/>
          </w:tcPr>
          <w:p w14:paraId="033999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 xml:space="preserve">Sarah E Miller. 7/7/2016. Text gathered from </w:t>
            </w:r>
            <w:proofErr w:type="spellStart"/>
            <w:r>
              <w:rPr>
                <w:rFonts w:ascii="Times New Roman" w:eastAsia="Times New Roman" w:hAnsi="Times New Roman" w:cs="Times New Roman"/>
                <w:sz w:val="20"/>
                <w:szCs w:val="20"/>
              </w:rPr>
              <w:t>Wirta</w:t>
            </w:r>
            <w:proofErr w:type="spellEnd"/>
            <w:r>
              <w:rPr>
                <w:rFonts w:ascii="Times New Roman" w:eastAsia="Times New Roman" w:hAnsi="Times New Roman" w:cs="Times New Roman"/>
                <w:sz w:val="20"/>
                <w:szCs w:val="20"/>
              </w:rPr>
              <w:t xml:space="preserve">, H.K., </w:t>
            </w:r>
            <w:proofErr w:type="spellStart"/>
            <w:r>
              <w:rPr>
                <w:rFonts w:ascii="Times New Roman" w:eastAsia="Times New Roman" w:hAnsi="Times New Roman" w:cs="Times New Roman"/>
                <w:sz w:val="20"/>
                <w:szCs w:val="20"/>
              </w:rPr>
              <w:t>Vesterinen</w:t>
            </w:r>
            <w:proofErr w:type="spellEnd"/>
            <w:r>
              <w:rPr>
                <w:rFonts w:ascii="Times New Roman" w:eastAsia="Times New Roman" w:hAnsi="Times New Roman" w:cs="Times New Roman"/>
                <w:sz w:val="20"/>
                <w:szCs w:val="20"/>
              </w:rPr>
              <w:t xml:space="preserve">, E.J., </w:t>
            </w:r>
            <w:proofErr w:type="spellStart"/>
            <w:r>
              <w:rPr>
                <w:rFonts w:ascii="Times New Roman" w:eastAsia="Times New Roman" w:hAnsi="Times New Roman" w:cs="Times New Roman"/>
                <w:sz w:val="20"/>
                <w:szCs w:val="20"/>
              </w:rPr>
              <w:t>Hamb‚àö¬ßck</w:t>
            </w:r>
            <w:proofErr w:type="spellEnd"/>
            <w:r>
              <w:rPr>
                <w:rFonts w:ascii="Times New Roman" w:eastAsia="Times New Roman" w:hAnsi="Times New Roman" w:cs="Times New Roman"/>
                <w:sz w:val="20"/>
                <w:szCs w:val="20"/>
              </w:rPr>
              <w:t xml:space="preserve">, P.A., </w:t>
            </w:r>
            <w:proofErr w:type="spellStart"/>
            <w:r>
              <w:rPr>
                <w:rFonts w:ascii="Times New Roman" w:eastAsia="Times New Roman" w:hAnsi="Times New Roman" w:cs="Times New Roman"/>
                <w:sz w:val="20"/>
                <w:szCs w:val="20"/>
              </w:rPr>
              <w:t>Weingartner</w:t>
            </w:r>
            <w:proofErr w:type="spellEnd"/>
            <w:r>
              <w:rPr>
                <w:rFonts w:ascii="Times New Roman" w:eastAsia="Times New Roman" w:hAnsi="Times New Roman" w:cs="Times New Roman"/>
                <w:sz w:val="20"/>
                <w:szCs w:val="20"/>
              </w:rPr>
              <w:t xml:space="preserve">, E., Rasmussen, C., </w:t>
            </w:r>
            <w:proofErr w:type="spellStart"/>
            <w:r>
              <w:rPr>
                <w:rFonts w:ascii="Times New Roman" w:eastAsia="Times New Roman" w:hAnsi="Times New Roman" w:cs="Times New Roman"/>
                <w:sz w:val="20"/>
                <w:szCs w:val="20"/>
              </w:rPr>
              <w:t>Reneerkens</w:t>
            </w:r>
            <w:proofErr w:type="spellEnd"/>
            <w:r>
              <w:rPr>
                <w:rFonts w:ascii="Times New Roman" w:eastAsia="Times New Roman" w:hAnsi="Times New Roman" w:cs="Times New Roman"/>
                <w:sz w:val="20"/>
                <w:szCs w:val="20"/>
              </w:rPr>
              <w:t xml:space="preserve">, J., Schmidt, N.M., </w:t>
            </w:r>
            <w:proofErr w:type="spellStart"/>
            <w:r>
              <w:rPr>
                <w:rFonts w:ascii="Times New Roman" w:eastAsia="Times New Roman" w:hAnsi="Times New Roman" w:cs="Times New Roman"/>
                <w:sz w:val="20"/>
                <w:szCs w:val="20"/>
              </w:rPr>
              <w:t>Gilg</w:t>
            </w:r>
            <w:proofErr w:type="spellEnd"/>
            <w:r>
              <w:rPr>
                <w:rFonts w:ascii="Times New Roman" w:eastAsia="Times New Roman" w:hAnsi="Times New Roman" w:cs="Times New Roman"/>
                <w:sz w:val="20"/>
                <w:szCs w:val="20"/>
              </w:rPr>
              <w:t>, O. and Roslin, T., 2015. Exposing the structure of an Arctic food web. Ecology and evolution, 5(17), pp.3842-3856.</w:t>
            </w:r>
          </w:p>
        </w:tc>
        <w:tc>
          <w:tcPr>
            <w:tcW w:w="1775" w:type="dxa"/>
            <w:tcBorders>
              <w:top w:val="nil"/>
              <w:left w:val="nil"/>
              <w:bottom w:val="nil"/>
              <w:right w:val="nil"/>
            </w:tcBorders>
            <w:tcMar>
              <w:top w:w="20" w:type="dxa"/>
              <w:left w:w="20" w:type="dxa"/>
              <w:bottom w:w="100" w:type="dxa"/>
              <w:right w:w="20" w:type="dxa"/>
            </w:tcMar>
            <w:vAlign w:val="bottom"/>
          </w:tcPr>
          <w:p w14:paraId="53C1B01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132E3DEC"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13E2D65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Sarah E Miller. 9/15/2016. Species associations extracted from http://parasiticplants.siu.edu/index.html.</w:t>
            </w:r>
          </w:p>
        </w:tc>
        <w:tc>
          <w:tcPr>
            <w:tcW w:w="1775" w:type="dxa"/>
            <w:tcBorders>
              <w:top w:val="nil"/>
              <w:left w:val="nil"/>
              <w:bottom w:val="nil"/>
              <w:right w:val="nil"/>
            </w:tcBorders>
            <w:tcMar>
              <w:top w:w="20" w:type="dxa"/>
              <w:left w:w="20" w:type="dxa"/>
              <w:bottom w:w="100" w:type="dxa"/>
              <w:right w:w="20" w:type="dxa"/>
            </w:tcMar>
            <w:vAlign w:val="bottom"/>
          </w:tcPr>
          <w:p w14:paraId="0045DC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6AE1C791"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700A3F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Sarah E. Miller.  07/06/2017.  Information extracted from dataset https://www.idigbio.org/portal/recordsets/db4bb0df-8539-4617-ab5f-eb118aa3126b.</w:t>
            </w:r>
          </w:p>
        </w:tc>
        <w:tc>
          <w:tcPr>
            <w:tcW w:w="1775" w:type="dxa"/>
            <w:tcBorders>
              <w:top w:val="nil"/>
              <w:left w:val="nil"/>
              <w:bottom w:val="nil"/>
              <w:right w:val="nil"/>
            </w:tcBorders>
            <w:tcMar>
              <w:top w:w="20" w:type="dxa"/>
              <w:left w:w="20" w:type="dxa"/>
              <w:bottom w:w="100" w:type="dxa"/>
              <w:right w:w="20" w:type="dxa"/>
            </w:tcMar>
            <w:vAlign w:val="bottom"/>
          </w:tcPr>
          <w:p w14:paraId="5420016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54F6B015"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72B204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0"/>
                <w:szCs w:val="20"/>
              </w:rPr>
              <w:lastRenderedPageBreak/>
              <w:t>Seltmann</w:t>
            </w:r>
            <w:proofErr w:type="spellEnd"/>
            <w:r>
              <w:rPr>
                <w:rFonts w:ascii="Times New Roman" w:eastAsia="Times New Roman" w:hAnsi="Times New Roman" w:cs="Times New Roman"/>
                <w:sz w:val="20"/>
                <w:szCs w:val="20"/>
              </w:rPr>
              <w:t>, Katja C. 2020. Biotic species interactions about bees (</w:t>
            </w:r>
            <w:proofErr w:type="spellStart"/>
            <w:r>
              <w:rPr>
                <w:rFonts w:ascii="Times New Roman" w:eastAsia="Times New Roman" w:hAnsi="Times New Roman" w:cs="Times New Roman"/>
                <w:sz w:val="20"/>
                <w:szCs w:val="20"/>
              </w:rPr>
              <w:t>Anthophila</w:t>
            </w:r>
            <w:proofErr w:type="spellEnd"/>
            <w:r>
              <w:rPr>
                <w:rFonts w:ascii="Times New Roman" w:eastAsia="Times New Roman" w:hAnsi="Times New Roman" w:cs="Times New Roman"/>
                <w:sz w:val="20"/>
                <w:szCs w:val="20"/>
              </w:rPr>
              <w:t>) manually extracted from literature.</w:t>
            </w:r>
          </w:p>
        </w:tc>
        <w:tc>
          <w:tcPr>
            <w:tcW w:w="1775" w:type="dxa"/>
            <w:tcBorders>
              <w:top w:val="nil"/>
              <w:left w:val="nil"/>
              <w:bottom w:val="nil"/>
              <w:right w:val="nil"/>
            </w:tcBorders>
            <w:tcMar>
              <w:top w:w="20" w:type="dxa"/>
              <w:left w:w="20" w:type="dxa"/>
              <w:bottom w:w="100" w:type="dxa"/>
              <w:right w:w="20" w:type="dxa"/>
            </w:tcMar>
            <w:vAlign w:val="bottom"/>
          </w:tcPr>
          <w:p w14:paraId="32507D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66FC1895" w14:textId="77777777">
        <w:trPr>
          <w:trHeight w:val="685"/>
        </w:trPr>
        <w:tc>
          <w:tcPr>
            <w:tcW w:w="7250" w:type="dxa"/>
            <w:tcBorders>
              <w:top w:val="nil"/>
              <w:left w:val="nil"/>
              <w:bottom w:val="nil"/>
              <w:right w:val="nil"/>
            </w:tcBorders>
            <w:tcMar>
              <w:top w:w="20" w:type="dxa"/>
              <w:left w:w="20" w:type="dxa"/>
              <w:bottom w:w="100" w:type="dxa"/>
              <w:right w:w="20" w:type="dxa"/>
            </w:tcMar>
            <w:vAlign w:val="bottom"/>
          </w:tcPr>
          <w:p w14:paraId="16CDFF9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Semantic Prototypes in Research Ecoinformatics (SPIRE). Data provided by Joel Sachs. See also http://ebiquity.umbc.edu/get/a/publication/297.pdf .</w:t>
            </w:r>
          </w:p>
        </w:tc>
        <w:tc>
          <w:tcPr>
            <w:tcW w:w="1775" w:type="dxa"/>
            <w:tcBorders>
              <w:top w:val="nil"/>
              <w:left w:val="nil"/>
              <w:bottom w:val="nil"/>
              <w:right w:val="nil"/>
            </w:tcBorders>
            <w:tcMar>
              <w:top w:w="20" w:type="dxa"/>
              <w:left w:w="20" w:type="dxa"/>
              <w:bottom w:w="100" w:type="dxa"/>
              <w:right w:w="20" w:type="dxa"/>
            </w:tcMar>
            <w:vAlign w:val="bottom"/>
          </w:tcPr>
          <w:p w14:paraId="77D2A4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3F50F822"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7048048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0"/>
                <w:szCs w:val="20"/>
              </w:rPr>
              <w:t>Symbiota</w:t>
            </w:r>
            <w:proofErr w:type="spellEnd"/>
            <w:r>
              <w:rPr>
                <w:rFonts w:ascii="Times New Roman" w:eastAsia="Times New Roman" w:hAnsi="Times New Roman" w:cs="Times New Roman"/>
                <w:sz w:val="20"/>
                <w:szCs w:val="20"/>
              </w:rPr>
              <w:t xml:space="preserve"> Collections of Arthropods Network (SCAN)</w:t>
            </w:r>
          </w:p>
        </w:tc>
        <w:tc>
          <w:tcPr>
            <w:tcW w:w="1775" w:type="dxa"/>
            <w:tcBorders>
              <w:top w:val="nil"/>
              <w:left w:val="nil"/>
              <w:bottom w:val="nil"/>
              <w:right w:val="nil"/>
            </w:tcBorders>
            <w:tcMar>
              <w:top w:w="20" w:type="dxa"/>
              <w:left w:w="20" w:type="dxa"/>
              <w:bottom w:w="100" w:type="dxa"/>
              <w:right w:w="20" w:type="dxa"/>
            </w:tcMar>
            <w:vAlign w:val="bottom"/>
          </w:tcPr>
          <w:p w14:paraId="15E2F8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4CF13DD5"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204C0BE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The Albert J. Cook Arthropod Research Collection</w:t>
            </w:r>
          </w:p>
        </w:tc>
        <w:tc>
          <w:tcPr>
            <w:tcW w:w="1775" w:type="dxa"/>
            <w:tcBorders>
              <w:top w:val="nil"/>
              <w:left w:val="nil"/>
              <w:bottom w:val="nil"/>
              <w:right w:val="nil"/>
            </w:tcBorders>
            <w:tcMar>
              <w:top w:w="20" w:type="dxa"/>
              <w:left w:w="20" w:type="dxa"/>
              <w:bottom w:w="100" w:type="dxa"/>
              <w:right w:w="20" w:type="dxa"/>
            </w:tcMar>
            <w:vAlign w:val="bottom"/>
          </w:tcPr>
          <w:p w14:paraId="2071E88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7ABB6336"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5DDDEB3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University of California Santa Barbara Herbarium</w:t>
            </w:r>
          </w:p>
        </w:tc>
        <w:tc>
          <w:tcPr>
            <w:tcW w:w="1775" w:type="dxa"/>
            <w:tcBorders>
              <w:top w:val="nil"/>
              <w:left w:val="nil"/>
              <w:bottom w:val="nil"/>
              <w:right w:val="nil"/>
            </w:tcBorders>
            <w:tcMar>
              <w:top w:w="20" w:type="dxa"/>
              <w:left w:w="20" w:type="dxa"/>
              <w:bottom w:w="100" w:type="dxa"/>
              <w:right w:w="20" w:type="dxa"/>
            </w:tcMar>
            <w:vAlign w:val="bottom"/>
          </w:tcPr>
          <w:p w14:paraId="2595B13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10D82A99"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01DA1A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University of California Santa Barbara Invertebrate Zoology Collection</w:t>
            </w:r>
          </w:p>
        </w:tc>
        <w:tc>
          <w:tcPr>
            <w:tcW w:w="1775" w:type="dxa"/>
            <w:tcBorders>
              <w:top w:val="nil"/>
              <w:left w:val="nil"/>
              <w:bottom w:val="nil"/>
              <w:right w:val="nil"/>
            </w:tcBorders>
            <w:tcMar>
              <w:top w:w="20" w:type="dxa"/>
              <w:left w:w="20" w:type="dxa"/>
              <w:bottom w:w="100" w:type="dxa"/>
              <w:right w:w="20" w:type="dxa"/>
            </w:tcMar>
            <w:vAlign w:val="bottom"/>
          </w:tcPr>
          <w:p w14:paraId="273AABA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4101EA2A"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4FE6DC8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University of Hawaii Insect Museum</w:t>
            </w:r>
          </w:p>
        </w:tc>
        <w:tc>
          <w:tcPr>
            <w:tcW w:w="1775" w:type="dxa"/>
            <w:tcBorders>
              <w:top w:val="nil"/>
              <w:left w:val="nil"/>
              <w:bottom w:val="nil"/>
              <w:right w:val="nil"/>
            </w:tcBorders>
            <w:tcMar>
              <w:top w:w="20" w:type="dxa"/>
              <w:left w:w="20" w:type="dxa"/>
              <w:bottom w:w="100" w:type="dxa"/>
              <w:right w:w="20" w:type="dxa"/>
            </w:tcMar>
            <w:vAlign w:val="bottom"/>
          </w:tcPr>
          <w:p w14:paraId="66A7735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6D4C7108" w14:textId="77777777">
        <w:trPr>
          <w:trHeight w:val="415"/>
        </w:trPr>
        <w:tc>
          <w:tcPr>
            <w:tcW w:w="7250" w:type="dxa"/>
            <w:tcBorders>
              <w:top w:val="nil"/>
              <w:left w:val="nil"/>
              <w:bottom w:val="nil"/>
              <w:right w:val="nil"/>
            </w:tcBorders>
            <w:tcMar>
              <w:top w:w="20" w:type="dxa"/>
              <w:left w:w="20" w:type="dxa"/>
              <w:bottom w:w="100" w:type="dxa"/>
              <w:right w:w="20" w:type="dxa"/>
            </w:tcMar>
            <w:vAlign w:val="bottom"/>
          </w:tcPr>
          <w:p w14:paraId="018121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University of New Hampshire Collection of Insects and other Arthropods</w:t>
            </w:r>
          </w:p>
        </w:tc>
        <w:tc>
          <w:tcPr>
            <w:tcW w:w="1775" w:type="dxa"/>
            <w:tcBorders>
              <w:top w:val="nil"/>
              <w:left w:val="nil"/>
              <w:bottom w:val="nil"/>
              <w:right w:val="nil"/>
            </w:tcBorders>
            <w:tcMar>
              <w:top w:w="20" w:type="dxa"/>
              <w:left w:w="20" w:type="dxa"/>
              <w:bottom w:w="100" w:type="dxa"/>
              <w:right w:w="20" w:type="dxa"/>
            </w:tcMar>
            <w:vAlign w:val="bottom"/>
          </w:tcPr>
          <w:p w14:paraId="51E585D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Collection Specimen</w:t>
            </w:r>
          </w:p>
        </w:tc>
      </w:tr>
      <w:tr w:rsidR="00413978" w14:paraId="5F914996" w14:textId="77777777">
        <w:trPr>
          <w:trHeight w:val="415"/>
        </w:trPr>
        <w:tc>
          <w:tcPr>
            <w:tcW w:w="7250" w:type="dxa"/>
            <w:tcBorders>
              <w:top w:val="nil"/>
              <w:left w:val="nil"/>
              <w:bottom w:val="single" w:sz="6" w:space="0" w:color="000000"/>
              <w:right w:val="nil"/>
            </w:tcBorders>
            <w:tcMar>
              <w:top w:w="20" w:type="dxa"/>
              <w:left w:w="20" w:type="dxa"/>
              <w:bottom w:w="100" w:type="dxa"/>
              <w:right w:w="20" w:type="dxa"/>
            </w:tcMar>
            <w:vAlign w:val="bottom"/>
          </w:tcPr>
          <w:p w14:paraId="289922B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Web of Life. http://www.web-of-life.es .</w:t>
            </w:r>
          </w:p>
        </w:tc>
        <w:tc>
          <w:tcPr>
            <w:tcW w:w="1775" w:type="dxa"/>
            <w:tcBorders>
              <w:top w:val="nil"/>
              <w:left w:val="nil"/>
              <w:bottom w:val="single" w:sz="6" w:space="0" w:color="000000"/>
              <w:right w:val="nil"/>
            </w:tcBorders>
            <w:tcMar>
              <w:top w:w="20" w:type="dxa"/>
              <w:left w:w="20" w:type="dxa"/>
              <w:bottom w:w="100" w:type="dxa"/>
              <w:right w:w="20" w:type="dxa"/>
            </w:tcMar>
            <w:vAlign w:val="bottom"/>
          </w:tcPr>
          <w:p w14:paraId="15D6769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0"/>
                <w:szCs w:val="20"/>
              </w:rPr>
              <w:t>Literature</w:t>
            </w:r>
          </w:p>
        </w:tc>
      </w:tr>
    </w:tbl>
    <w:p w14:paraId="63C0F68D" w14:textId="77777777" w:rsidR="00413978" w:rsidRDefault="00000000">
      <w:pPr>
        <w:rPr>
          <w:rFonts w:ascii="Times New Roman" w:eastAsia="Times New Roman" w:hAnsi="Times New Roman" w:cs="Times New Roman"/>
        </w:rPr>
      </w:pPr>
      <w:r>
        <w:br w:type="page"/>
      </w:r>
    </w:p>
    <w:p w14:paraId="7CBF711C"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lastRenderedPageBreak/>
        <w:t>Table S2. List of parameters and the priors used in the NIMBLE model fitting process.</w:t>
      </w:r>
    </w:p>
    <w:p w14:paraId="576342F8"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t>​​</w:t>
      </w:r>
    </w:p>
    <w:tbl>
      <w:tblPr>
        <w:tblStyle w:val="a1"/>
        <w:tblW w:w="4725" w:type="dxa"/>
        <w:tblBorders>
          <w:top w:val="nil"/>
          <w:left w:val="nil"/>
          <w:bottom w:val="nil"/>
          <w:right w:val="nil"/>
          <w:insideH w:val="nil"/>
          <w:insideV w:val="nil"/>
        </w:tblBorders>
        <w:tblLayout w:type="fixed"/>
        <w:tblLook w:val="0600" w:firstRow="0" w:lastRow="0" w:firstColumn="0" w:lastColumn="0" w:noHBand="1" w:noVBand="1"/>
      </w:tblPr>
      <w:tblGrid>
        <w:gridCol w:w="1080"/>
        <w:gridCol w:w="3645"/>
      </w:tblGrid>
      <w:tr w:rsidR="00413978" w14:paraId="5D55EC19" w14:textId="77777777">
        <w:trPr>
          <w:trHeight w:val="445"/>
        </w:trPr>
        <w:tc>
          <w:tcPr>
            <w:tcW w:w="108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160D116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Parameter</w:t>
            </w:r>
          </w:p>
        </w:tc>
        <w:tc>
          <w:tcPr>
            <w:tcW w:w="3645"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0E61E9E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Prior</w:t>
            </w:r>
          </w:p>
        </w:tc>
      </w:tr>
      <w:tr w:rsidR="00413978" w14:paraId="212C82F1" w14:textId="77777777">
        <w:trPr>
          <w:trHeight w:val="475"/>
        </w:trPr>
        <w:tc>
          <w:tcPr>
            <w:tcW w:w="1080" w:type="dxa"/>
            <w:tcBorders>
              <w:top w:val="nil"/>
              <w:left w:val="nil"/>
              <w:bottom w:val="nil"/>
              <w:right w:val="nil"/>
            </w:tcBorders>
            <w:tcMar>
              <w:top w:w="20" w:type="dxa"/>
              <w:left w:w="20" w:type="dxa"/>
              <w:bottom w:w="100" w:type="dxa"/>
              <w:right w:w="20" w:type="dxa"/>
            </w:tcMar>
            <w:vAlign w:val="bottom"/>
          </w:tcPr>
          <w:p w14:paraId="444F5DF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μ</w:t>
            </w:r>
            <w:r>
              <w:rPr>
                <w:rFonts w:ascii="Times New Roman" w:eastAsia="Times New Roman" w:hAnsi="Times New Roman" w:cs="Times New Roman"/>
                <w:sz w:val="22"/>
                <w:szCs w:val="22"/>
                <w:vertAlign w:val="subscript"/>
              </w:rPr>
              <w:t>Ѱ</w:t>
            </w:r>
            <w:proofErr w:type="spellEnd"/>
          </w:p>
        </w:tc>
        <w:tc>
          <w:tcPr>
            <w:tcW w:w="3645" w:type="dxa"/>
            <w:tcBorders>
              <w:top w:val="nil"/>
              <w:left w:val="nil"/>
              <w:bottom w:val="nil"/>
              <w:right w:val="nil"/>
            </w:tcBorders>
            <w:tcMar>
              <w:top w:w="20" w:type="dxa"/>
              <w:left w:w="20" w:type="dxa"/>
              <w:bottom w:w="100" w:type="dxa"/>
              <w:right w:w="20" w:type="dxa"/>
            </w:tcMar>
            <w:vAlign w:val="bottom"/>
          </w:tcPr>
          <w:p w14:paraId="33D583C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dnorm</w:t>
            </w:r>
            <w:proofErr w:type="spellEnd"/>
            <w:r>
              <w:rPr>
                <w:rFonts w:ascii="Times New Roman" w:eastAsia="Times New Roman" w:hAnsi="Times New Roman" w:cs="Times New Roman"/>
                <w:sz w:val="22"/>
                <w:szCs w:val="22"/>
              </w:rPr>
              <w:t>(-0.25, 2.0)</w:t>
            </w:r>
          </w:p>
        </w:tc>
      </w:tr>
      <w:tr w:rsidR="00413978" w14:paraId="39E8832B" w14:textId="77777777">
        <w:trPr>
          <w:trHeight w:val="490"/>
        </w:trPr>
        <w:tc>
          <w:tcPr>
            <w:tcW w:w="1080" w:type="dxa"/>
            <w:tcBorders>
              <w:top w:val="nil"/>
              <w:left w:val="nil"/>
              <w:bottom w:val="nil"/>
              <w:right w:val="nil"/>
            </w:tcBorders>
            <w:tcMar>
              <w:top w:w="20" w:type="dxa"/>
              <w:left w:w="20" w:type="dxa"/>
              <w:bottom w:w="100" w:type="dxa"/>
              <w:right w:w="20" w:type="dxa"/>
            </w:tcMar>
            <w:vAlign w:val="bottom"/>
          </w:tcPr>
          <w:p w14:paraId="43A82CB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𝜎</w:t>
            </w:r>
            <w:r>
              <w:rPr>
                <w:rFonts w:ascii="Times New Roman" w:eastAsia="Times New Roman" w:hAnsi="Times New Roman" w:cs="Times New Roman"/>
                <w:sz w:val="22"/>
                <w:szCs w:val="22"/>
                <w:vertAlign w:val="subscript"/>
              </w:rPr>
              <w:t>Ѱ</w:t>
            </w:r>
            <w:r>
              <w:rPr>
                <w:rFonts w:ascii="Times New Roman" w:eastAsia="Times New Roman" w:hAnsi="Times New Roman" w:cs="Times New Roman"/>
                <w:sz w:val="22"/>
                <w:szCs w:val="22"/>
                <w:vertAlign w:val="superscript"/>
              </w:rPr>
              <w:t>2</w:t>
            </w:r>
          </w:p>
        </w:tc>
        <w:tc>
          <w:tcPr>
            <w:tcW w:w="3645" w:type="dxa"/>
            <w:tcBorders>
              <w:top w:val="nil"/>
              <w:left w:val="nil"/>
              <w:bottom w:val="nil"/>
              <w:right w:val="nil"/>
            </w:tcBorders>
            <w:tcMar>
              <w:top w:w="20" w:type="dxa"/>
              <w:left w:w="20" w:type="dxa"/>
              <w:bottom w:w="100" w:type="dxa"/>
              <w:right w:w="20" w:type="dxa"/>
            </w:tcMar>
            <w:vAlign w:val="bottom"/>
          </w:tcPr>
          <w:p w14:paraId="25C963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T(</w:t>
            </w:r>
            <w:proofErr w:type="spellStart"/>
            <w:r>
              <w:rPr>
                <w:rFonts w:ascii="Times New Roman" w:eastAsia="Times New Roman" w:hAnsi="Times New Roman" w:cs="Times New Roman"/>
                <w:sz w:val="22"/>
                <w:szCs w:val="22"/>
              </w:rPr>
              <w:t>dnorm</w:t>
            </w:r>
            <w:proofErr w:type="spellEnd"/>
            <w:r>
              <w:rPr>
                <w:rFonts w:ascii="Times New Roman" w:eastAsia="Times New Roman" w:hAnsi="Times New Roman" w:cs="Times New Roman"/>
                <w:sz w:val="22"/>
                <w:szCs w:val="22"/>
              </w:rPr>
              <w:t xml:space="preserve">(3.75, </w:t>
            </w:r>
            <w:proofErr w:type="spellStart"/>
            <w:r>
              <w:rPr>
                <w:rFonts w:ascii="Times New Roman" w:eastAsia="Times New Roman" w:hAnsi="Times New Roman" w:cs="Times New Roman"/>
                <w:sz w:val="22"/>
                <w:szCs w:val="22"/>
              </w:rPr>
              <w:t>sd</w:t>
            </w:r>
            <w:proofErr w:type="spellEnd"/>
            <w:r>
              <w:rPr>
                <w:rFonts w:ascii="Times New Roman" w:eastAsia="Times New Roman" w:hAnsi="Times New Roman" w:cs="Times New Roman"/>
                <w:sz w:val="22"/>
                <w:szCs w:val="22"/>
              </w:rPr>
              <w:t xml:space="preserve"> = sqrt(1/2)), 0, 10)</w:t>
            </w:r>
          </w:p>
        </w:tc>
      </w:tr>
      <w:tr w:rsidR="00413978" w14:paraId="718AEA61" w14:textId="77777777">
        <w:trPr>
          <w:trHeight w:val="460"/>
        </w:trPr>
        <w:tc>
          <w:tcPr>
            <w:tcW w:w="1080" w:type="dxa"/>
            <w:tcBorders>
              <w:top w:val="nil"/>
              <w:left w:val="nil"/>
              <w:bottom w:val="nil"/>
              <w:right w:val="nil"/>
            </w:tcBorders>
            <w:tcMar>
              <w:top w:w="20" w:type="dxa"/>
              <w:left w:w="20" w:type="dxa"/>
              <w:bottom w:w="100" w:type="dxa"/>
              <w:right w:w="20" w:type="dxa"/>
            </w:tcMar>
            <w:vAlign w:val="bottom"/>
          </w:tcPr>
          <w:p w14:paraId="27FCE5F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μ</w:t>
            </w:r>
            <w:r>
              <w:rPr>
                <w:rFonts w:ascii="Times New Roman" w:eastAsia="Times New Roman" w:hAnsi="Times New Roman" w:cs="Times New Roman"/>
                <w:sz w:val="22"/>
                <w:szCs w:val="22"/>
                <w:vertAlign w:val="subscript"/>
              </w:rPr>
              <w:t>p</w:t>
            </w:r>
            <w:proofErr w:type="spellEnd"/>
          </w:p>
        </w:tc>
        <w:tc>
          <w:tcPr>
            <w:tcW w:w="3645" w:type="dxa"/>
            <w:tcBorders>
              <w:top w:val="nil"/>
              <w:left w:val="nil"/>
              <w:bottom w:val="nil"/>
              <w:right w:val="nil"/>
            </w:tcBorders>
            <w:tcMar>
              <w:top w:w="20" w:type="dxa"/>
              <w:left w:w="20" w:type="dxa"/>
              <w:bottom w:w="100" w:type="dxa"/>
              <w:right w:w="20" w:type="dxa"/>
            </w:tcMar>
            <w:vAlign w:val="bottom"/>
          </w:tcPr>
          <w:p w14:paraId="2C0FB47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dnorm</w:t>
            </w:r>
            <w:proofErr w:type="spellEnd"/>
            <w:r>
              <w:rPr>
                <w:rFonts w:ascii="Times New Roman" w:eastAsia="Times New Roman" w:hAnsi="Times New Roman" w:cs="Times New Roman"/>
                <w:sz w:val="22"/>
                <w:szCs w:val="22"/>
              </w:rPr>
              <w:t>(-2, 2.0)</w:t>
            </w:r>
          </w:p>
        </w:tc>
      </w:tr>
      <w:tr w:rsidR="00413978" w14:paraId="45C56CCC" w14:textId="77777777">
        <w:trPr>
          <w:trHeight w:val="490"/>
        </w:trPr>
        <w:tc>
          <w:tcPr>
            <w:tcW w:w="1080" w:type="dxa"/>
            <w:tcBorders>
              <w:top w:val="nil"/>
              <w:left w:val="nil"/>
              <w:bottom w:val="nil"/>
              <w:right w:val="nil"/>
            </w:tcBorders>
            <w:tcMar>
              <w:top w:w="20" w:type="dxa"/>
              <w:left w:w="20" w:type="dxa"/>
              <w:bottom w:w="100" w:type="dxa"/>
              <w:right w:w="20" w:type="dxa"/>
            </w:tcMar>
            <w:vAlign w:val="bottom"/>
          </w:tcPr>
          <w:p w14:paraId="794E916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𝜎</w:t>
            </w:r>
            <w:r>
              <w:rPr>
                <w:rFonts w:ascii="Times New Roman" w:eastAsia="Times New Roman" w:hAnsi="Times New Roman" w:cs="Times New Roman"/>
                <w:sz w:val="22"/>
                <w:szCs w:val="22"/>
                <w:vertAlign w:val="subscript"/>
              </w:rPr>
              <w:t>p</w:t>
            </w:r>
            <w:r>
              <w:rPr>
                <w:rFonts w:ascii="Times New Roman" w:eastAsia="Times New Roman" w:hAnsi="Times New Roman" w:cs="Times New Roman"/>
                <w:sz w:val="22"/>
                <w:szCs w:val="22"/>
                <w:vertAlign w:val="superscript"/>
              </w:rPr>
              <w:t>2</w:t>
            </w:r>
          </w:p>
        </w:tc>
        <w:tc>
          <w:tcPr>
            <w:tcW w:w="3645" w:type="dxa"/>
            <w:tcBorders>
              <w:top w:val="nil"/>
              <w:left w:val="nil"/>
              <w:bottom w:val="nil"/>
              <w:right w:val="nil"/>
            </w:tcBorders>
            <w:tcMar>
              <w:top w:w="20" w:type="dxa"/>
              <w:left w:w="20" w:type="dxa"/>
              <w:bottom w:w="100" w:type="dxa"/>
              <w:right w:w="20" w:type="dxa"/>
            </w:tcMar>
            <w:vAlign w:val="bottom"/>
          </w:tcPr>
          <w:p w14:paraId="562E357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T(</w:t>
            </w:r>
            <w:proofErr w:type="spellStart"/>
            <w:r>
              <w:rPr>
                <w:rFonts w:ascii="Times New Roman" w:eastAsia="Times New Roman" w:hAnsi="Times New Roman" w:cs="Times New Roman"/>
                <w:sz w:val="22"/>
                <w:szCs w:val="22"/>
              </w:rPr>
              <w:t>dnorm</w:t>
            </w:r>
            <w:proofErr w:type="spellEnd"/>
            <w:r>
              <w:rPr>
                <w:rFonts w:ascii="Times New Roman" w:eastAsia="Times New Roman" w:hAnsi="Times New Roman" w:cs="Times New Roman"/>
                <w:sz w:val="22"/>
                <w:szCs w:val="22"/>
              </w:rPr>
              <w:t xml:space="preserve">(2.0, </w:t>
            </w:r>
            <w:proofErr w:type="spellStart"/>
            <w:r>
              <w:rPr>
                <w:rFonts w:ascii="Times New Roman" w:eastAsia="Times New Roman" w:hAnsi="Times New Roman" w:cs="Times New Roman"/>
                <w:sz w:val="22"/>
                <w:szCs w:val="22"/>
              </w:rPr>
              <w:t>sd</w:t>
            </w:r>
            <w:proofErr w:type="spellEnd"/>
            <w:r>
              <w:rPr>
                <w:rFonts w:ascii="Times New Roman" w:eastAsia="Times New Roman" w:hAnsi="Times New Roman" w:cs="Times New Roman"/>
                <w:sz w:val="22"/>
                <w:szCs w:val="22"/>
              </w:rPr>
              <w:t xml:space="preserve"> = sqrt(1/2)), 0, 10)</w:t>
            </w:r>
          </w:p>
        </w:tc>
      </w:tr>
      <w:tr w:rsidR="00413978" w14:paraId="7B2A18B4" w14:textId="77777777">
        <w:trPr>
          <w:trHeight w:val="430"/>
        </w:trPr>
        <w:tc>
          <w:tcPr>
            <w:tcW w:w="1080" w:type="dxa"/>
            <w:tcBorders>
              <w:top w:val="nil"/>
              <w:left w:val="nil"/>
              <w:bottom w:val="nil"/>
              <w:right w:val="nil"/>
            </w:tcBorders>
            <w:tcMar>
              <w:top w:w="20" w:type="dxa"/>
              <w:left w:w="20" w:type="dxa"/>
              <w:bottom w:w="100" w:type="dxa"/>
              <w:right w:w="20" w:type="dxa"/>
            </w:tcMar>
            <w:vAlign w:val="bottom"/>
          </w:tcPr>
          <w:p w14:paraId="41EB96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(1/τ</w:t>
            </w:r>
            <w:r>
              <w:rPr>
                <w:rFonts w:ascii="Times New Roman" w:eastAsia="Times New Roman" w:hAnsi="Times New Roman" w:cs="Times New Roman"/>
                <w:sz w:val="22"/>
                <w:szCs w:val="22"/>
                <w:vertAlign w:val="superscript"/>
              </w:rPr>
              <w:t>2</w:t>
            </w:r>
            <w:r>
              <w:rPr>
                <w:rFonts w:ascii="Times New Roman" w:eastAsia="Times New Roman" w:hAnsi="Times New Roman" w:cs="Times New Roman"/>
                <w:sz w:val="22"/>
                <w:szCs w:val="22"/>
              </w:rPr>
              <w:t>)</w:t>
            </w:r>
            <w:r>
              <w:rPr>
                <w:rFonts w:ascii="Times New Roman" w:eastAsia="Times New Roman" w:hAnsi="Times New Roman" w:cs="Times New Roman"/>
                <w:sz w:val="22"/>
                <w:szCs w:val="22"/>
                <w:vertAlign w:val="superscript"/>
              </w:rPr>
              <w:t>1/2</w:t>
            </w:r>
          </w:p>
        </w:tc>
        <w:tc>
          <w:tcPr>
            <w:tcW w:w="3645" w:type="dxa"/>
            <w:tcBorders>
              <w:top w:val="nil"/>
              <w:left w:val="nil"/>
              <w:bottom w:val="nil"/>
              <w:right w:val="nil"/>
            </w:tcBorders>
            <w:tcMar>
              <w:top w:w="20" w:type="dxa"/>
              <w:left w:w="20" w:type="dxa"/>
              <w:bottom w:w="100" w:type="dxa"/>
              <w:right w:w="20" w:type="dxa"/>
            </w:tcMar>
            <w:vAlign w:val="bottom"/>
          </w:tcPr>
          <w:p w14:paraId="0604A4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T(</w:t>
            </w:r>
            <w:proofErr w:type="spellStart"/>
            <w:r>
              <w:rPr>
                <w:rFonts w:ascii="Times New Roman" w:eastAsia="Times New Roman" w:hAnsi="Times New Roman" w:cs="Times New Roman"/>
                <w:sz w:val="22"/>
                <w:szCs w:val="22"/>
              </w:rPr>
              <w:t>dnorm</w:t>
            </w:r>
            <w:proofErr w:type="spellEnd"/>
            <w:r>
              <w:rPr>
                <w:rFonts w:ascii="Times New Roman" w:eastAsia="Times New Roman" w:hAnsi="Times New Roman" w:cs="Times New Roman"/>
                <w:sz w:val="22"/>
                <w:szCs w:val="22"/>
              </w:rPr>
              <w:t xml:space="preserve">(1.0, </w:t>
            </w:r>
            <w:proofErr w:type="spellStart"/>
            <w:r>
              <w:rPr>
                <w:rFonts w:ascii="Times New Roman" w:eastAsia="Times New Roman" w:hAnsi="Times New Roman" w:cs="Times New Roman"/>
                <w:sz w:val="22"/>
                <w:szCs w:val="22"/>
              </w:rPr>
              <w:t>sd</w:t>
            </w:r>
            <w:proofErr w:type="spellEnd"/>
            <w:r>
              <w:rPr>
                <w:rFonts w:ascii="Times New Roman" w:eastAsia="Times New Roman" w:hAnsi="Times New Roman" w:cs="Times New Roman"/>
                <w:sz w:val="22"/>
                <w:szCs w:val="22"/>
              </w:rPr>
              <w:t xml:space="preserve"> = sqrt(1/2)), 0, 10)</w:t>
            </w:r>
          </w:p>
        </w:tc>
      </w:tr>
      <w:tr w:rsidR="00413978" w14:paraId="0A8FEB45" w14:textId="77777777">
        <w:trPr>
          <w:trHeight w:val="430"/>
        </w:trPr>
        <w:tc>
          <w:tcPr>
            <w:tcW w:w="1080" w:type="dxa"/>
            <w:tcBorders>
              <w:top w:val="nil"/>
              <w:left w:val="nil"/>
              <w:bottom w:val="single" w:sz="6" w:space="0" w:color="000000"/>
              <w:right w:val="nil"/>
            </w:tcBorders>
            <w:tcMar>
              <w:top w:w="20" w:type="dxa"/>
              <w:left w:w="20" w:type="dxa"/>
              <w:bottom w:w="100" w:type="dxa"/>
              <w:right w:w="20" w:type="dxa"/>
            </w:tcMar>
            <w:vAlign w:val="bottom"/>
          </w:tcPr>
          <w:p w14:paraId="19029CE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(1/ε</w:t>
            </w:r>
            <w:r>
              <w:rPr>
                <w:rFonts w:ascii="Times New Roman" w:eastAsia="Times New Roman" w:hAnsi="Times New Roman" w:cs="Times New Roman"/>
                <w:sz w:val="22"/>
                <w:szCs w:val="22"/>
                <w:vertAlign w:val="superscript"/>
              </w:rPr>
              <w:t>2</w:t>
            </w:r>
            <w:r>
              <w:rPr>
                <w:rFonts w:ascii="Times New Roman" w:eastAsia="Times New Roman" w:hAnsi="Times New Roman" w:cs="Times New Roman"/>
                <w:sz w:val="22"/>
                <w:szCs w:val="22"/>
              </w:rPr>
              <w:t>)</w:t>
            </w:r>
            <w:r>
              <w:rPr>
                <w:rFonts w:ascii="Times New Roman" w:eastAsia="Times New Roman" w:hAnsi="Times New Roman" w:cs="Times New Roman"/>
                <w:sz w:val="22"/>
                <w:szCs w:val="22"/>
                <w:vertAlign w:val="superscript"/>
              </w:rPr>
              <w:t>1/2</w:t>
            </w:r>
          </w:p>
        </w:tc>
        <w:tc>
          <w:tcPr>
            <w:tcW w:w="3645" w:type="dxa"/>
            <w:tcBorders>
              <w:top w:val="nil"/>
              <w:left w:val="nil"/>
              <w:bottom w:val="single" w:sz="6" w:space="0" w:color="000000"/>
              <w:right w:val="nil"/>
            </w:tcBorders>
            <w:tcMar>
              <w:top w:w="20" w:type="dxa"/>
              <w:left w:w="20" w:type="dxa"/>
              <w:bottom w:w="100" w:type="dxa"/>
              <w:right w:w="20" w:type="dxa"/>
            </w:tcMar>
            <w:vAlign w:val="bottom"/>
          </w:tcPr>
          <w:p w14:paraId="144A89A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T(</w:t>
            </w:r>
            <w:proofErr w:type="spellStart"/>
            <w:r>
              <w:rPr>
                <w:rFonts w:ascii="Times New Roman" w:eastAsia="Times New Roman" w:hAnsi="Times New Roman" w:cs="Times New Roman"/>
                <w:sz w:val="22"/>
                <w:szCs w:val="22"/>
              </w:rPr>
              <w:t>dnorm</w:t>
            </w:r>
            <w:proofErr w:type="spellEnd"/>
            <w:r>
              <w:rPr>
                <w:rFonts w:ascii="Times New Roman" w:eastAsia="Times New Roman" w:hAnsi="Times New Roman" w:cs="Times New Roman"/>
                <w:sz w:val="22"/>
                <w:szCs w:val="22"/>
              </w:rPr>
              <w:t xml:space="preserve">(0.10, </w:t>
            </w:r>
            <w:proofErr w:type="spellStart"/>
            <w:r>
              <w:rPr>
                <w:rFonts w:ascii="Times New Roman" w:eastAsia="Times New Roman" w:hAnsi="Times New Roman" w:cs="Times New Roman"/>
                <w:sz w:val="22"/>
                <w:szCs w:val="22"/>
              </w:rPr>
              <w:t>sd</w:t>
            </w:r>
            <w:proofErr w:type="spellEnd"/>
            <w:r>
              <w:rPr>
                <w:rFonts w:ascii="Times New Roman" w:eastAsia="Times New Roman" w:hAnsi="Times New Roman" w:cs="Times New Roman"/>
                <w:sz w:val="22"/>
                <w:szCs w:val="22"/>
              </w:rPr>
              <w:t xml:space="preserve"> = sqrt(1/2)), 0, 10)</w:t>
            </w:r>
          </w:p>
        </w:tc>
      </w:tr>
    </w:tbl>
    <w:p w14:paraId="4E41657F" w14:textId="77777777" w:rsidR="00413978" w:rsidRDefault="00000000">
      <w:pPr>
        <w:rPr>
          <w:rFonts w:ascii="Times New Roman" w:eastAsia="Times New Roman" w:hAnsi="Times New Roman" w:cs="Times New Roman"/>
        </w:rPr>
      </w:pPr>
      <w:r>
        <w:br w:type="page"/>
      </w:r>
    </w:p>
    <w:p w14:paraId="3DDF9227" w14:textId="77777777" w:rsidR="00413978" w:rsidRDefault="00000000">
      <w:pPr>
        <w:rPr>
          <w:rFonts w:ascii="Times New Roman" w:eastAsia="Times New Roman" w:hAnsi="Times New Roman" w:cs="Times New Roman"/>
        </w:rPr>
      </w:pPr>
      <w:r>
        <w:rPr>
          <w:rFonts w:ascii="Times New Roman" w:eastAsia="Times New Roman" w:hAnsi="Times New Roman" w:cs="Times New Roman"/>
        </w:rPr>
        <w:lastRenderedPageBreak/>
        <w:t>Table S3. Summary of the number of observed vs model estimated plant interactions per bee species. Tabular view of the information presented in Figure 1 of main text. We used conditional highlighting in the last column (model estimated number of interactions minus raw data) to show which differences were the largest between the two values.</w:t>
      </w:r>
    </w:p>
    <w:p w14:paraId="44F6B3EA" w14:textId="77777777" w:rsidR="00413978" w:rsidRDefault="00413978">
      <w:pPr>
        <w:rPr>
          <w:rFonts w:ascii="Times New Roman" w:eastAsia="Times New Roman" w:hAnsi="Times New Roman" w:cs="Times New Roman"/>
        </w:rPr>
      </w:pPr>
    </w:p>
    <w:p w14:paraId="4760F85E" w14:textId="77777777" w:rsidR="00413978" w:rsidRDefault="00413978">
      <w:pPr>
        <w:rPr>
          <w:rFonts w:ascii="Times New Roman" w:eastAsia="Times New Roman" w:hAnsi="Times New Roman" w:cs="Times New Roman"/>
        </w:rPr>
      </w:pP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2093"/>
        <w:gridCol w:w="1410"/>
        <w:gridCol w:w="1331"/>
        <w:gridCol w:w="1569"/>
        <w:gridCol w:w="581"/>
        <w:gridCol w:w="591"/>
        <w:gridCol w:w="1450"/>
      </w:tblGrid>
      <w:tr w:rsidR="00413978" w14:paraId="2181B552" w14:textId="77777777">
        <w:trPr>
          <w:trHeight w:val="1615"/>
        </w:trPr>
        <w:tc>
          <w:tcPr>
            <w:tcW w:w="2091"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6E24F840" w14:textId="77777777" w:rsidR="00413978" w:rsidRDefault="00000000">
            <w:pPr>
              <w:jc w:val="center"/>
              <w:rPr>
                <w:rFonts w:ascii="Times New Roman" w:eastAsia="Times New Roman" w:hAnsi="Times New Roman" w:cs="Times New Roman"/>
              </w:rPr>
            </w:pPr>
            <w:proofErr w:type="spellStart"/>
            <w:r>
              <w:rPr>
                <w:rFonts w:ascii="Times New Roman" w:eastAsia="Times New Roman" w:hAnsi="Times New Roman" w:cs="Times New Roman"/>
                <w:sz w:val="22"/>
                <w:szCs w:val="22"/>
              </w:rPr>
              <w:t>SpeciesID</w:t>
            </w:r>
            <w:proofErr w:type="spellEnd"/>
          </w:p>
        </w:tc>
        <w:tc>
          <w:tcPr>
            <w:tcW w:w="1410"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1B54A1BE" w14:textId="77777777" w:rsidR="00413978"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Number of observed plant interactions per bee species</w:t>
            </w:r>
          </w:p>
          <w:p w14:paraId="18CDBE7B" w14:textId="77777777" w:rsidR="00413978" w:rsidRDefault="00000000">
            <w:pPr>
              <w:jc w:val="center"/>
              <w:rPr>
                <w:rFonts w:ascii="Times New Roman" w:eastAsia="Times New Roman" w:hAnsi="Times New Roman" w:cs="Times New Roman"/>
              </w:rPr>
            </w:pPr>
            <w:r>
              <w:rPr>
                <w:rFonts w:ascii="Times New Roman" w:eastAsia="Times New Roman" w:hAnsi="Times New Roman" w:cs="Times New Roman"/>
                <w:sz w:val="22"/>
                <w:szCs w:val="22"/>
              </w:rPr>
              <w:t xml:space="preserve">(from raw </w:t>
            </w:r>
            <w:proofErr w:type="spellStart"/>
            <w:r>
              <w:rPr>
                <w:rFonts w:ascii="Times New Roman" w:eastAsia="Times New Roman" w:hAnsi="Times New Roman" w:cs="Times New Roman"/>
                <w:sz w:val="22"/>
                <w:szCs w:val="22"/>
              </w:rPr>
              <w:t>GloBI</w:t>
            </w:r>
            <w:proofErr w:type="spellEnd"/>
            <w:r>
              <w:rPr>
                <w:rFonts w:ascii="Times New Roman" w:eastAsia="Times New Roman" w:hAnsi="Times New Roman" w:cs="Times New Roman"/>
                <w:sz w:val="22"/>
                <w:szCs w:val="22"/>
              </w:rPr>
              <w:t xml:space="preserve"> data)</w:t>
            </w:r>
          </w:p>
        </w:tc>
        <w:tc>
          <w:tcPr>
            <w:tcW w:w="1331"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281140F6" w14:textId="77777777" w:rsidR="00413978"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Number of possible plant interactions per bee species</w:t>
            </w:r>
          </w:p>
          <w:p w14:paraId="38F5F3C3" w14:textId="77777777" w:rsidR="00413978" w:rsidRDefault="00000000">
            <w:pPr>
              <w:jc w:val="center"/>
              <w:rPr>
                <w:rFonts w:ascii="Times New Roman" w:eastAsia="Times New Roman" w:hAnsi="Times New Roman" w:cs="Times New Roman"/>
              </w:rPr>
            </w:pPr>
            <w:r>
              <w:rPr>
                <w:rFonts w:ascii="Times New Roman" w:eastAsia="Times New Roman" w:hAnsi="Times New Roman" w:cs="Times New Roman"/>
                <w:sz w:val="22"/>
                <w:szCs w:val="22"/>
              </w:rPr>
              <w:t>(based on bee-plant phenology data)</w:t>
            </w:r>
          </w:p>
        </w:tc>
        <w:tc>
          <w:tcPr>
            <w:tcW w:w="1568"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4E9543E0" w14:textId="77777777" w:rsidR="00413978"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Number of model estimated plant interactions per bee species</w:t>
            </w:r>
          </w:p>
          <w:p w14:paraId="4F59BF84" w14:textId="77777777" w:rsidR="00413978" w:rsidRDefault="00000000">
            <w:pPr>
              <w:jc w:val="center"/>
              <w:rPr>
                <w:rFonts w:ascii="Times New Roman" w:eastAsia="Times New Roman" w:hAnsi="Times New Roman" w:cs="Times New Roman"/>
              </w:rPr>
            </w:pPr>
            <w:r>
              <w:rPr>
                <w:rFonts w:ascii="Times New Roman" w:eastAsia="Times New Roman" w:hAnsi="Times New Roman" w:cs="Times New Roman"/>
                <w:sz w:val="22"/>
                <w:szCs w:val="22"/>
              </w:rPr>
              <w:t>(Model estimated mean)</w:t>
            </w:r>
          </w:p>
        </w:tc>
        <w:tc>
          <w:tcPr>
            <w:tcW w:w="581"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41150E4F" w14:textId="77777777" w:rsidR="00413978" w:rsidRDefault="00000000">
            <w:pPr>
              <w:jc w:val="center"/>
              <w:rPr>
                <w:rFonts w:ascii="Times New Roman" w:eastAsia="Times New Roman" w:hAnsi="Times New Roman" w:cs="Times New Roman"/>
              </w:rPr>
            </w:pPr>
            <w:r>
              <w:rPr>
                <w:rFonts w:ascii="Times New Roman" w:eastAsia="Times New Roman" w:hAnsi="Times New Roman" w:cs="Times New Roman"/>
                <w:sz w:val="22"/>
                <w:szCs w:val="22"/>
              </w:rPr>
              <w:t>Lower 95% CI</w:t>
            </w:r>
          </w:p>
        </w:tc>
        <w:tc>
          <w:tcPr>
            <w:tcW w:w="591"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5FD2C0FE" w14:textId="77777777" w:rsidR="00413978" w:rsidRDefault="00000000">
            <w:pPr>
              <w:jc w:val="center"/>
              <w:rPr>
                <w:rFonts w:ascii="Times New Roman" w:eastAsia="Times New Roman" w:hAnsi="Times New Roman" w:cs="Times New Roman"/>
              </w:rPr>
            </w:pPr>
            <w:r>
              <w:rPr>
                <w:rFonts w:ascii="Times New Roman" w:eastAsia="Times New Roman" w:hAnsi="Times New Roman" w:cs="Times New Roman"/>
                <w:sz w:val="22"/>
                <w:szCs w:val="22"/>
              </w:rPr>
              <w:t>Upper 95% CI</w:t>
            </w:r>
          </w:p>
        </w:tc>
        <w:tc>
          <w:tcPr>
            <w:tcW w:w="1450" w:type="dxa"/>
            <w:tcBorders>
              <w:top w:val="single" w:sz="6" w:space="0" w:color="000000"/>
              <w:left w:val="nil"/>
              <w:bottom w:val="single" w:sz="16" w:space="0" w:color="000000"/>
              <w:right w:val="nil"/>
            </w:tcBorders>
            <w:tcMar>
              <w:top w:w="20" w:type="dxa"/>
              <w:left w:w="20" w:type="dxa"/>
              <w:bottom w:w="100" w:type="dxa"/>
              <w:right w:w="20" w:type="dxa"/>
            </w:tcMar>
            <w:vAlign w:val="center"/>
          </w:tcPr>
          <w:p w14:paraId="3342B760" w14:textId="77777777" w:rsidR="00413978" w:rsidRDefault="00000000">
            <w:pPr>
              <w:jc w:val="center"/>
              <w:rPr>
                <w:rFonts w:ascii="Times New Roman" w:eastAsia="Times New Roman" w:hAnsi="Times New Roman" w:cs="Times New Roman"/>
              </w:rPr>
            </w:pPr>
            <w:r>
              <w:rPr>
                <w:rFonts w:ascii="Times New Roman" w:eastAsia="Times New Roman" w:hAnsi="Times New Roman" w:cs="Times New Roman"/>
                <w:sz w:val="22"/>
                <w:szCs w:val="22"/>
              </w:rPr>
              <w:t>Difference in number of plant interactions between model estimate and raw data</w:t>
            </w:r>
          </w:p>
        </w:tc>
      </w:tr>
      <w:tr w:rsidR="00413978" w14:paraId="72F60CED" w14:textId="77777777">
        <w:trPr>
          <w:trHeight w:val="445"/>
        </w:trPr>
        <w:tc>
          <w:tcPr>
            <w:tcW w:w="2091" w:type="dxa"/>
            <w:tcBorders>
              <w:top w:val="nil"/>
              <w:left w:val="nil"/>
              <w:bottom w:val="nil"/>
              <w:right w:val="nil"/>
            </w:tcBorders>
            <w:tcMar>
              <w:top w:w="20" w:type="dxa"/>
              <w:left w:w="20" w:type="dxa"/>
              <w:bottom w:w="100" w:type="dxa"/>
              <w:right w:w="20" w:type="dxa"/>
            </w:tcMar>
            <w:vAlign w:val="bottom"/>
          </w:tcPr>
          <w:p w14:paraId="0815BD4B" w14:textId="77777777" w:rsidR="00413978" w:rsidRDefault="00000000">
            <w:pPr>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angustitarsata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50BAA0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B87C3A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26B004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DF710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A40840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81684E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4B120E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45ACC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anisochlora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A761D1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046AA6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62045AA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C17ABA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32071A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EB584B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74814AF"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A48B9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auricoma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2F9A86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w:t>
            </w:r>
          </w:p>
        </w:tc>
        <w:tc>
          <w:tcPr>
            <w:tcW w:w="1331" w:type="dxa"/>
            <w:tcBorders>
              <w:top w:val="nil"/>
              <w:left w:val="nil"/>
              <w:bottom w:val="nil"/>
              <w:right w:val="nil"/>
            </w:tcBorders>
            <w:tcMar>
              <w:top w:w="20" w:type="dxa"/>
              <w:left w:w="20" w:type="dxa"/>
              <w:bottom w:w="100" w:type="dxa"/>
              <w:right w:w="20" w:type="dxa"/>
            </w:tcMar>
            <w:vAlign w:val="bottom"/>
          </w:tcPr>
          <w:p w14:paraId="1EBE1A5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7E05217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7.67</w:t>
            </w:r>
          </w:p>
        </w:tc>
        <w:tc>
          <w:tcPr>
            <w:tcW w:w="581" w:type="dxa"/>
            <w:tcBorders>
              <w:top w:val="nil"/>
              <w:left w:val="nil"/>
              <w:bottom w:val="nil"/>
              <w:right w:val="nil"/>
            </w:tcBorders>
            <w:tcMar>
              <w:top w:w="20" w:type="dxa"/>
              <w:left w:w="20" w:type="dxa"/>
              <w:bottom w:w="100" w:type="dxa"/>
              <w:right w:w="20" w:type="dxa"/>
            </w:tcMar>
            <w:vAlign w:val="bottom"/>
          </w:tcPr>
          <w:p w14:paraId="25E0E1D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2.05</w:t>
            </w:r>
          </w:p>
        </w:tc>
        <w:tc>
          <w:tcPr>
            <w:tcW w:w="591" w:type="dxa"/>
            <w:tcBorders>
              <w:top w:val="nil"/>
              <w:left w:val="nil"/>
              <w:bottom w:val="nil"/>
              <w:right w:val="nil"/>
            </w:tcBorders>
            <w:tcMar>
              <w:top w:w="20" w:type="dxa"/>
              <w:left w:w="20" w:type="dxa"/>
              <w:bottom w:w="100" w:type="dxa"/>
              <w:right w:w="20" w:type="dxa"/>
            </w:tcMar>
            <w:vAlign w:val="bottom"/>
          </w:tcPr>
          <w:p w14:paraId="3F44BD4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17.25</w:t>
            </w:r>
          </w:p>
        </w:tc>
        <w:tc>
          <w:tcPr>
            <w:tcW w:w="1450" w:type="dxa"/>
            <w:tcBorders>
              <w:top w:val="nil"/>
              <w:left w:val="nil"/>
              <w:bottom w:val="nil"/>
              <w:right w:val="nil"/>
            </w:tcBorders>
            <w:shd w:val="clear" w:color="auto" w:fill="F3F9F8"/>
            <w:tcMar>
              <w:top w:w="20" w:type="dxa"/>
              <w:left w:w="20" w:type="dxa"/>
              <w:bottom w:w="100" w:type="dxa"/>
              <w:right w:w="20" w:type="dxa"/>
            </w:tcMar>
            <w:vAlign w:val="bottom"/>
          </w:tcPr>
          <w:p w14:paraId="4B1D8A1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5.67</w:t>
            </w:r>
          </w:p>
        </w:tc>
      </w:tr>
      <w:tr w:rsidR="00413978" w14:paraId="5AA5D4A5"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34E66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baeriae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1BE152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43F951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2648B96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EFE6B6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16B425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ADC90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17CA720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6DB9B7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caerulea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1E77EF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8FFA58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27ECC7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1575EA1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7A1279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2C78225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0173BF3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C85F54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Andrena candida</w:t>
            </w:r>
          </w:p>
        </w:tc>
        <w:tc>
          <w:tcPr>
            <w:tcW w:w="1410" w:type="dxa"/>
            <w:tcBorders>
              <w:top w:val="nil"/>
              <w:left w:val="nil"/>
              <w:bottom w:val="nil"/>
              <w:right w:val="nil"/>
            </w:tcBorders>
            <w:tcMar>
              <w:top w:w="20" w:type="dxa"/>
              <w:left w:w="20" w:type="dxa"/>
              <w:bottom w:w="100" w:type="dxa"/>
              <w:right w:w="20" w:type="dxa"/>
            </w:tcMar>
            <w:vAlign w:val="bottom"/>
          </w:tcPr>
          <w:p w14:paraId="4A2054A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55B6D2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F77EBC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6.33</w:t>
            </w:r>
          </w:p>
        </w:tc>
        <w:tc>
          <w:tcPr>
            <w:tcW w:w="581" w:type="dxa"/>
            <w:tcBorders>
              <w:top w:val="nil"/>
              <w:left w:val="nil"/>
              <w:bottom w:val="nil"/>
              <w:right w:val="nil"/>
            </w:tcBorders>
            <w:tcMar>
              <w:top w:w="20" w:type="dxa"/>
              <w:left w:w="20" w:type="dxa"/>
              <w:bottom w:w="100" w:type="dxa"/>
              <w:right w:w="20" w:type="dxa"/>
            </w:tcMar>
            <w:vAlign w:val="bottom"/>
          </w:tcPr>
          <w:p w14:paraId="269E07D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7A094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18.05</w:t>
            </w:r>
          </w:p>
        </w:tc>
        <w:tc>
          <w:tcPr>
            <w:tcW w:w="1450" w:type="dxa"/>
            <w:tcBorders>
              <w:top w:val="nil"/>
              <w:left w:val="nil"/>
              <w:bottom w:val="nil"/>
              <w:right w:val="nil"/>
            </w:tcBorders>
            <w:shd w:val="clear" w:color="auto" w:fill="F2F8F7"/>
            <w:tcMar>
              <w:top w:w="20" w:type="dxa"/>
              <w:left w:w="20" w:type="dxa"/>
              <w:bottom w:w="100" w:type="dxa"/>
              <w:right w:w="20" w:type="dxa"/>
            </w:tcMar>
            <w:vAlign w:val="bottom"/>
          </w:tcPr>
          <w:p w14:paraId="067995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6.33</w:t>
            </w:r>
          </w:p>
        </w:tc>
      </w:tr>
      <w:tr w:rsidR="00413978" w14:paraId="7BAAE6F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07ABB1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chlorogaster</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F67C6E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B4693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7D82C70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6.33</w:t>
            </w:r>
          </w:p>
        </w:tc>
        <w:tc>
          <w:tcPr>
            <w:tcW w:w="581" w:type="dxa"/>
            <w:tcBorders>
              <w:top w:val="nil"/>
              <w:left w:val="nil"/>
              <w:bottom w:val="nil"/>
              <w:right w:val="nil"/>
            </w:tcBorders>
            <w:tcMar>
              <w:top w:w="20" w:type="dxa"/>
              <w:left w:w="20" w:type="dxa"/>
              <w:bottom w:w="100" w:type="dxa"/>
              <w:right w:w="20" w:type="dxa"/>
            </w:tcMar>
            <w:vAlign w:val="bottom"/>
          </w:tcPr>
          <w:p w14:paraId="1D1A82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D0002F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18.05</w:t>
            </w:r>
          </w:p>
        </w:tc>
        <w:tc>
          <w:tcPr>
            <w:tcW w:w="1450" w:type="dxa"/>
            <w:tcBorders>
              <w:top w:val="nil"/>
              <w:left w:val="nil"/>
              <w:bottom w:val="nil"/>
              <w:right w:val="nil"/>
            </w:tcBorders>
            <w:shd w:val="clear" w:color="auto" w:fill="F2F8F7"/>
            <w:tcMar>
              <w:top w:w="20" w:type="dxa"/>
              <w:left w:w="20" w:type="dxa"/>
              <w:bottom w:w="100" w:type="dxa"/>
              <w:right w:w="20" w:type="dxa"/>
            </w:tcMar>
            <w:vAlign w:val="bottom"/>
          </w:tcPr>
          <w:p w14:paraId="247D72D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6.33</w:t>
            </w:r>
          </w:p>
        </w:tc>
      </w:tr>
      <w:tr w:rsidR="00413978" w14:paraId="0F5AE1D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66C45A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chlorura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2BA396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D38A3F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20F737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47187A7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11E3E8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5052B0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4C5C3D4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C9702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duboisi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84A72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B16B18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50A6320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2DA458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AA9559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D4508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2C64FF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9A7955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gnaphalii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D18646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BD06F5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764BAE1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061F0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852A5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5A4EA8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213876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CF70B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hypoleuca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C796EE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99F626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28F4A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6E2D1A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3571CE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FFD438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5FF3862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23F391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Andrena nigripes</w:t>
            </w:r>
          </w:p>
        </w:tc>
        <w:tc>
          <w:tcPr>
            <w:tcW w:w="1410" w:type="dxa"/>
            <w:tcBorders>
              <w:top w:val="nil"/>
              <w:left w:val="nil"/>
              <w:bottom w:val="nil"/>
              <w:right w:val="nil"/>
            </w:tcBorders>
            <w:tcMar>
              <w:top w:w="20" w:type="dxa"/>
              <w:left w:w="20" w:type="dxa"/>
              <w:bottom w:w="100" w:type="dxa"/>
              <w:right w:w="20" w:type="dxa"/>
            </w:tcMar>
            <w:vAlign w:val="bottom"/>
          </w:tcPr>
          <w:p w14:paraId="4E7DEEB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503AAC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760353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3.00</w:t>
            </w:r>
          </w:p>
        </w:tc>
        <w:tc>
          <w:tcPr>
            <w:tcW w:w="581" w:type="dxa"/>
            <w:tcBorders>
              <w:top w:val="nil"/>
              <w:left w:val="nil"/>
              <w:bottom w:val="nil"/>
              <w:right w:val="nil"/>
            </w:tcBorders>
            <w:tcMar>
              <w:top w:w="20" w:type="dxa"/>
              <w:left w:w="20" w:type="dxa"/>
              <w:bottom w:w="100" w:type="dxa"/>
              <w:right w:w="20" w:type="dxa"/>
            </w:tcMar>
            <w:vAlign w:val="bottom"/>
          </w:tcPr>
          <w:p w14:paraId="789967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302F96D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6.70</w:t>
            </w:r>
          </w:p>
        </w:tc>
        <w:tc>
          <w:tcPr>
            <w:tcW w:w="1450" w:type="dxa"/>
            <w:tcBorders>
              <w:top w:val="nil"/>
              <w:left w:val="nil"/>
              <w:bottom w:val="nil"/>
              <w:right w:val="nil"/>
            </w:tcBorders>
            <w:shd w:val="clear" w:color="auto" w:fill="F8FBFC"/>
            <w:tcMar>
              <w:top w:w="20" w:type="dxa"/>
              <w:left w:w="20" w:type="dxa"/>
              <w:bottom w:w="100" w:type="dxa"/>
              <w:right w:w="20" w:type="dxa"/>
            </w:tcMar>
            <w:vAlign w:val="bottom"/>
          </w:tcPr>
          <w:p w14:paraId="2CB968B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2.00</w:t>
            </w:r>
          </w:p>
        </w:tc>
      </w:tr>
      <w:tr w:rsidR="00413978" w14:paraId="6EBD4CB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C6D82A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nigrocaerulea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03ABC6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585B876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A6734A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17.67</w:t>
            </w:r>
          </w:p>
        </w:tc>
        <w:tc>
          <w:tcPr>
            <w:tcW w:w="581" w:type="dxa"/>
            <w:tcBorders>
              <w:top w:val="nil"/>
              <w:left w:val="nil"/>
              <w:bottom w:val="nil"/>
              <w:right w:val="nil"/>
            </w:tcBorders>
            <w:tcMar>
              <w:top w:w="20" w:type="dxa"/>
              <w:left w:w="20" w:type="dxa"/>
              <w:bottom w:w="100" w:type="dxa"/>
              <w:right w:w="20" w:type="dxa"/>
            </w:tcMar>
            <w:vAlign w:val="bottom"/>
          </w:tcPr>
          <w:p w14:paraId="745C565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1568453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48.50</w:t>
            </w:r>
          </w:p>
        </w:tc>
        <w:tc>
          <w:tcPr>
            <w:tcW w:w="1450" w:type="dxa"/>
            <w:tcBorders>
              <w:top w:val="nil"/>
              <w:left w:val="nil"/>
              <w:bottom w:val="nil"/>
              <w:right w:val="nil"/>
            </w:tcBorders>
            <w:shd w:val="clear" w:color="auto" w:fill="E4F3EB"/>
            <w:tcMar>
              <w:top w:w="20" w:type="dxa"/>
              <w:left w:w="20" w:type="dxa"/>
              <w:bottom w:w="100" w:type="dxa"/>
              <w:right w:w="20" w:type="dxa"/>
            </w:tcMar>
            <w:vAlign w:val="bottom"/>
          </w:tcPr>
          <w:p w14:paraId="5C34C02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16.67</w:t>
            </w:r>
          </w:p>
        </w:tc>
      </w:tr>
      <w:tr w:rsidR="00413978" w14:paraId="022D669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F352EE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oenotherae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654F15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3BC65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D8D303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C7E96D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F6DF4D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1857FA6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BB59AA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2C61C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pallidifovea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53E674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60E12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44D63F3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6A44861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1D9CB8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B62787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6148776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0FA852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perimelas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5D41C5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550EF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2D0B96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30A8440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24697E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93E978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4156013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41A78D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piperi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69A038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D8639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7164F6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95CAAD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31356A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17EEDB0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50F975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B78E7F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Andrena plana</w:t>
            </w:r>
          </w:p>
        </w:tc>
        <w:tc>
          <w:tcPr>
            <w:tcW w:w="1410" w:type="dxa"/>
            <w:tcBorders>
              <w:top w:val="nil"/>
              <w:left w:val="nil"/>
              <w:bottom w:val="nil"/>
              <w:right w:val="nil"/>
            </w:tcBorders>
            <w:tcMar>
              <w:top w:w="20" w:type="dxa"/>
              <w:left w:w="20" w:type="dxa"/>
              <w:bottom w:w="100" w:type="dxa"/>
              <w:right w:w="20" w:type="dxa"/>
            </w:tcMar>
            <w:vAlign w:val="bottom"/>
          </w:tcPr>
          <w:p w14:paraId="0867611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0104AD5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2B79968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3.00</w:t>
            </w:r>
          </w:p>
        </w:tc>
        <w:tc>
          <w:tcPr>
            <w:tcW w:w="581" w:type="dxa"/>
            <w:tcBorders>
              <w:top w:val="nil"/>
              <w:left w:val="nil"/>
              <w:bottom w:val="nil"/>
              <w:right w:val="nil"/>
            </w:tcBorders>
            <w:tcMar>
              <w:top w:w="20" w:type="dxa"/>
              <w:left w:w="20" w:type="dxa"/>
              <w:bottom w:w="100" w:type="dxa"/>
              <w:right w:w="20" w:type="dxa"/>
            </w:tcMar>
            <w:vAlign w:val="bottom"/>
          </w:tcPr>
          <w:p w14:paraId="728F8E6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085806D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6.70</w:t>
            </w:r>
          </w:p>
        </w:tc>
        <w:tc>
          <w:tcPr>
            <w:tcW w:w="1450" w:type="dxa"/>
            <w:tcBorders>
              <w:top w:val="nil"/>
              <w:left w:val="nil"/>
              <w:bottom w:val="nil"/>
              <w:right w:val="nil"/>
            </w:tcBorders>
            <w:shd w:val="clear" w:color="auto" w:fill="F8FBFC"/>
            <w:tcMar>
              <w:top w:w="20" w:type="dxa"/>
              <w:left w:w="20" w:type="dxa"/>
              <w:bottom w:w="100" w:type="dxa"/>
              <w:right w:w="20" w:type="dxa"/>
            </w:tcMar>
            <w:vAlign w:val="bottom"/>
          </w:tcPr>
          <w:p w14:paraId="340A2A9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2.00</w:t>
            </w:r>
          </w:p>
        </w:tc>
      </w:tr>
      <w:tr w:rsidR="00413978" w14:paraId="59E87D7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22E24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lastRenderedPageBreak/>
              <w:t xml:space="preserve">Andrena </w:t>
            </w:r>
            <w:proofErr w:type="spellStart"/>
            <w:r>
              <w:rPr>
                <w:rFonts w:ascii="Times New Roman" w:eastAsia="Times New Roman" w:hAnsi="Times New Roman" w:cs="Times New Roman"/>
                <w:sz w:val="22"/>
                <w:szCs w:val="22"/>
              </w:rPr>
              <w:t>principalis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F40BCA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193713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406C58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78B0B0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C32C2B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263CE2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7916C3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72138A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prunorum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0867DD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297470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208D87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1.33</w:t>
            </w:r>
          </w:p>
        </w:tc>
        <w:tc>
          <w:tcPr>
            <w:tcW w:w="581" w:type="dxa"/>
            <w:tcBorders>
              <w:top w:val="nil"/>
              <w:left w:val="nil"/>
              <w:bottom w:val="nil"/>
              <w:right w:val="nil"/>
            </w:tcBorders>
            <w:tcMar>
              <w:top w:w="20" w:type="dxa"/>
              <w:left w:w="20" w:type="dxa"/>
              <w:bottom w:w="100" w:type="dxa"/>
              <w:right w:w="20" w:type="dxa"/>
            </w:tcMar>
            <w:vAlign w:val="bottom"/>
          </w:tcPr>
          <w:p w14:paraId="708C7D0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8A61AA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3.80</w:t>
            </w:r>
          </w:p>
        </w:tc>
        <w:tc>
          <w:tcPr>
            <w:tcW w:w="1450" w:type="dxa"/>
            <w:tcBorders>
              <w:top w:val="nil"/>
              <w:left w:val="nil"/>
              <w:bottom w:val="nil"/>
              <w:right w:val="nil"/>
            </w:tcBorders>
            <w:shd w:val="clear" w:color="auto" w:fill="F9FBFD"/>
            <w:tcMar>
              <w:top w:w="20" w:type="dxa"/>
              <w:left w:w="20" w:type="dxa"/>
              <w:bottom w:w="100" w:type="dxa"/>
              <w:right w:w="20" w:type="dxa"/>
            </w:tcMar>
            <w:vAlign w:val="bottom"/>
          </w:tcPr>
          <w:p w14:paraId="7759B56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1.33</w:t>
            </w:r>
          </w:p>
        </w:tc>
      </w:tr>
      <w:tr w:rsidR="00413978" w14:paraId="58447B8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0F04EC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Andrena sola</w:t>
            </w:r>
          </w:p>
        </w:tc>
        <w:tc>
          <w:tcPr>
            <w:tcW w:w="1410" w:type="dxa"/>
            <w:tcBorders>
              <w:top w:val="nil"/>
              <w:left w:val="nil"/>
              <w:bottom w:val="nil"/>
              <w:right w:val="nil"/>
            </w:tcBorders>
            <w:tcMar>
              <w:top w:w="20" w:type="dxa"/>
              <w:left w:w="20" w:type="dxa"/>
              <w:bottom w:w="100" w:type="dxa"/>
              <w:right w:w="20" w:type="dxa"/>
            </w:tcMar>
            <w:vAlign w:val="bottom"/>
          </w:tcPr>
          <w:p w14:paraId="0E0AB38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B964BB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5FE26C4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0C60319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15A386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D31BDA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49FA2DE7"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64443D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suavis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3EC29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60FB0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02F5B95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27D4127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DD4A97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274E82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2754CE9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DBFD0A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subaustralis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2B5944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B0645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6A9D8F2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398AF3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2B74D9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D27B4E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33BC010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B86B00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submoesta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91AE9D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88977B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6CC220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E719F0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7EEDD3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1AA0CD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54F15E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E8050B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Andrena subtilis</w:t>
            </w:r>
          </w:p>
        </w:tc>
        <w:tc>
          <w:tcPr>
            <w:tcW w:w="1410" w:type="dxa"/>
            <w:tcBorders>
              <w:top w:val="nil"/>
              <w:left w:val="nil"/>
              <w:bottom w:val="nil"/>
              <w:right w:val="nil"/>
            </w:tcBorders>
            <w:tcMar>
              <w:top w:w="20" w:type="dxa"/>
              <w:left w:w="20" w:type="dxa"/>
              <w:bottom w:w="100" w:type="dxa"/>
              <w:right w:w="20" w:type="dxa"/>
            </w:tcMar>
            <w:vAlign w:val="bottom"/>
          </w:tcPr>
          <w:p w14:paraId="2BA5814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75C6F5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0028E09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3B3D7F6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14CD41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3B70E6B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404C92C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609081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Andrena </w:t>
            </w:r>
            <w:proofErr w:type="spellStart"/>
            <w:r>
              <w:rPr>
                <w:rFonts w:ascii="Times New Roman" w:eastAsia="Times New Roman" w:hAnsi="Times New Roman" w:cs="Times New Roman"/>
                <w:sz w:val="22"/>
                <w:szCs w:val="22"/>
              </w:rPr>
              <w:t>vandykei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387BF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9BD3DE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124</w:t>
            </w:r>
          </w:p>
        </w:tc>
        <w:tc>
          <w:tcPr>
            <w:tcW w:w="1568" w:type="dxa"/>
            <w:tcBorders>
              <w:top w:val="nil"/>
              <w:left w:val="nil"/>
              <w:bottom w:val="nil"/>
              <w:right w:val="nil"/>
            </w:tcBorders>
            <w:tcMar>
              <w:top w:w="20" w:type="dxa"/>
              <w:left w:w="20" w:type="dxa"/>
              <w:bottom w:w="100" w:type="dxa"/>
              <w:right w:w="20" w:type="dxa"/>
            </w:tcMar>
            <w:vAlign w:val="bottom"/>
          </w:tcPr>
          <w:p w14:paraId="0BFD38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C785DC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0B1435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B719AC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B17497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4A795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Pseudopanurgus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californicus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C1690C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8BCB67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120</w:t>
            </w:r>
          </w:p>
        </w:tc>
        <w:tc>
          <w:tcPr>
            <w:tcW w:w="1568" w:type="dxa"/>
            <w:tcBorders>
              <w:top w:val="nil"/>
              <w:left w:val="nil"/>
              <w:bottom w:val="nil"/>
              <w:right w:val="nil"/>
            </w:tcBorders>
            <w:tcMar>
              <w:top w:w="20" w:type="dxa"/>
              <w:left w:w="20" w:type="dxa"/>
              <w:bottom w:w="100" w:type="dxa"/>
              <w:right w:w="20" w:type="dxa"/>
            </w:tcMar>
            <w:vAlign w:val="bottom"/>
          </w:tcPr>
          <w:p w14:paraId="0AB02E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3ECEF4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3A35BB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D016F4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769011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76B37E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Panurginus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armaticeps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74D27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5FC15B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12D9393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273B3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BA76C5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0F4B8F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B09D12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25BF15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Panurginus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gracilis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C46E3C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69C700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3A83961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522A5E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D42B6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365FF8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780DE9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2AA054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Panurginus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melanocephalus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F9990D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1577C3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64448B6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4A5480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3C8612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943C2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131478C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5E8BE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Perdita </w:t>
            </w:r>
            <w:proofErr w:type="spellStart"/>
            <w:r>
              <w:rPr>
                <w:rFonts w:ascii="Times New Roman" w:eastAsia="Times New Roman" w:hAnsi="Times New Roman" w:cs="Times New Roman"/>
                <w:sz w:val="22"/>
                <w:szCs w:val="22"/>
              </w:rPr>
              <w:t>layiae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CEC4D7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06467E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26F3FAE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8EDBA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31C74C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5B886B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C7B636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369B4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Anthophora</w:t>
            </w:r>
            <w:proofErr w:type="spellEnd"/>
            <w:r>
              <w:rPr>
                <w:rFonts w:ascii="Times New Roman" w:eastAsia="Times New Roman" w:hAnsi="Times New Roman" w:cs="Times New Roman"/>
                <w:sz w:val="22"/>
                <w:szCs w:val="22"/>
              </w:rPr>
              <w:t xml:space="preserve"> californica</w:t>
            </w:r>
          </w:p>
        </w:tc>
        <w:tc>
          <w:tcPr>
            <w:tcW w:w="1410" w:type="dxa"/>
            <w:tcBorders>
              <w:top w:val="nil"/>
              <w:left w:val="nil"/>
              <w:bottom w:val="nil"/>
              <w:right w:val="nil"/>
            </w:tcBorders>
            <w:tcMar>
              <w:top w:w="20" w:type="dxa"/>
              <w:left w:w="20" w:type="dxa"/>
              <w:bottom w:w="100" w:type="dxa"/>
              <w:right w:w="20" w:type="dxa"/>
            </w:tcMar>
            <w:vAlign w:val="bottom"/>
          </w:tcPr>
          <w:p w14:paraId="5946D58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w:t>
            </w:r>
          </w:p>
        </w:tc>
        <w:tc>
          <w:tcPr>
            <w:tcW w:w="1331" w:type="dxa"/>
            <w:tcBorders>
              <w:top w:val="nil"/>
              <w:left w:val="nil"/>
              <w:bottom w:val="nil"/>
              <w:right w:val="nil"/>
            </w:tcBorders>
            <w:tcMar>
              <w:top w:w="20" w:type="dxa"/>
              <w:left w:w="20" w:type="dxa"/>
              <w:bottom w:w="100" w:type="dxa"/>
              <w:right w:w="20" w:type="dxa"/>
            </w:tcMar>
            <w:vAlign w:val="bottom"/>
          </w:tcPr>
          <w:p w14:paraId="0D7B72D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3F17C2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16.33</w:t>
            </w:r>
          </w:p>
        </w:tc>
        <w:tc>
          <w:tcPr>
            <w:tcW w:w="581" w:type="dxa"/>
            <w:tcBorders>
              <w:top w:val="nil"/>
              <w:left w:val="nil"/>
              <w:bottom w:val="nil"/>
              <w:right w:val="nil"/>
            </w:tcBorders>
            <w:tcMar>
              <w:top w:w="20" w:type="dxa"/>
              <w:left w:w="20" w:type="dxa"/>
              <w:bottom w:w="100" w:type="dxa"/>
              <w:right w:w="20" w:type="dxa"/>
            </w:tcMar>
            <w:vAlign w:val="bottom"/>
          </w:tcPr>
          <w:p w14:paraId="7235643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5.10</w:t>
            </w:r>
          </w:p>
        </w:tc>
        <w:tc>
          <w:tcPr>
            <w:tcW w:w="591" w:type="dxa"/>
            <w:tcBorders>
              <w:top w:val="nil"/>
              <w:left w:val="nil"/>
              <w:bottom w:val="nil"/>
              <w:right w:val="nil"/>
            </w:tcBorders>
            <w:tcMar>
              <w:top w:w="20" w:type="dxa"/>
              <w:left w:w="20" w:type="dxa"/>
              <w:bottom w:w="100" w:type="dxa"/>
              <w:right w:w="20" w:type="dxa"/>
            </w:tcMar>
            <w:vAlign w:val="bottom"/>
          </w:tcPr>
          <w:p w14:paraId="0551C58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35.50</w:t>
            </w:r>
          </w:p>
        </w:tc>
        <w:tc>
          <w:tcPr>
            <w:tcW w:w="1450" w:type="dxa"/>
            <w:tcBorders>
              <w:top w:val="nil"/>
              <w:left w:val="nil"/>
              <w:bottom w:val="nil"/>
              <w:right w:val="nil"/>
            </w:tcBorders>
            <w:shd w:val="clear" w:color="auto" w:fill="ECF6F1"/>
            <w:tcMar>
              <w:top w:w="20" w:type="dxa"/>
              <w:left w:w="20" w:type="dxa"/>
              <w:bottom w:w="100" w:type="dxa"/>
              <w:right w:w="20" w:type="dxa"/>
            </w:tcMar>
            <w:vAlign w:val="bottom"/>
          </w:tcPr>
          <w:p w14:paraId="2D14A7F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11.33</w:t>
            </w:r>
          </w:p>
        </w:tc>
      </w:tr>
      <w:tr w:rsidR="00413978" w14:paraId="2065595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4A034C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Anthophora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edwardsii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115035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E2E0D0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7B699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318EF4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E9FE21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6B2474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43176C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B2143A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Anthophora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urbana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62E6BA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w:t>
            </w:r>
          </w:p>
        </w:tc>
        <w:tc>
          <w:tcPr>
            <w:tcW w:w="1331" w:type="dxa"/>
            <w:tcBorders>
              <w:top w:val="nil"/>
              <w:left w:val="nil"/>
              <w:bottom w:val="nil"/>
              <w:right w:val="nil"/>
            </w:tcBorders>
            <w:tcMar>
              <w:top w:w="20" w:type="dxa"/>
              <w:left w:w="20" w:type="dxa"/>
              <w:bottom w:w="100" w:type="dxa"/>
              <w:right w:w="20" w:type="dxa"/>
            </w:tcMar>
            <w:vAlign w:val="bottom"/>
          </w:tcPr>
          <w:p w14:paraId="6DE613F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E99645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50.67</w:t>
            </w:r>
          </w:p>
        </w:tc>
        <w:tc>
          <w:tcPr>
            <w:tcW w:w="581" w:type="dxa"/>
            <w:tcBorders>
              <w:top w:val="nil"/>
              <w:left w:val="nil"/>
              <w:bottom w:val="nil"/>
              <w:right w:val="nil"/>
            </w:tcBorders>
            <w:tcMar>
              <w:top w:w="20" w:type="dxa"/>
              <w:left w:w="20" w:type="dxa"/>
              <w:bottom w:w="100" w:type="dxa"/>
              <w:right w:w="20" w:type="dxa"/>
            </w:tcMar>
            <w:vAlign w:val="bottom"/>
          </w:tcPr>
          <w:p w14:paraId="4DAA531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8.30</w:t>
            </w:r>
          </w:p>
        </w:tc>
        <w:tc>
          <w:tcPr>
            <w:tcW w:w="591" w:type="dxa"/>
            <w:tcBorders>
              <w:top w:val="nil"/>
              <w:left w:val="nil"/>
              <w:bottom w:val="nil"/>
              <w:right w:val="nil"/>
            </w:tcBorders>
            <w:tcMar>
              <w:top w:w="20" w:type="dxa"/>
              <w:left w:w="20" w:type="dxa"/>
              <w:bottom w:w="100" w:type="dxa"/>
              <w:right w:w="20" w:type="dxa"/>
            </w:tcMar>
            <w:vAlign w:val="bottom"/>
          </w:tcPr>
          <w:p w14:paraId="1A416C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108.05</w:t>
            </w:r>
          </w:p>
        </w:tc>
        <w:tc>
          <w:tcPr>
            <w:tcW w:w="1450" w:type="dxa"/>
            <w:tcBorders>
              <w:top w:val="nil"/>
              <w:left w:val="nil"/>
              <w:bottom w:val="nil"/>
              <w:right w:val="nil"/>
            </w:tcBorders>
            <w:shd w:val="clear" w:color="auto" w:fill="BEE3CA"/>
            <w:tcMar>
              <w:top w:w="20" w:type="dxa"/>
              <w:left w:w="20" w:type="dxa"/>
              <w:bottom w:w="100" w:type="dxa"/>
              <w:right w:w="20" w:type="dxa"/>
            </w:tcMar>
            <w:vAlign w:val="bottom"/>
          </w:tcPr>
          <w:p w14:paraId="5AE37C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44.67</w:t>
            </w:r>
          </w:p>
        </w:tc>
      </w:tr>
      <w:tr w:rsidR="00413978" w14:paraId="0619FDC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8A7341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Bombus </w:t>
            </w:r>
            <w:proofErr w:type="spellStart"/>
            <w:r>
              <w:rPr>
                <w:rFonts w:ascii="Times New Roman" w:eastAsia="Times New Roman" w:hAnsi="Times New Roman" w:cs="Times New Roman"/>
                <w:sz w:val="22"/>
                <w:szCs w:val="22"/>
              </w:rPr>
              <w:t>californicus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18566B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7</w:t>
            </w:r>
          </w:p>
        </w:tc>
        <w:tc>
          <w:tcPr>
            <w:tcW w:w="1331" w:type="dxa"/>
            <w:tcBorders>
              <w:top w:val="nil"/>
              <w:left w:val="nil"/>
              <w:bottom w:val="nil"/>
              <w:right w:val="nil"/>
            </w:tcBorders>
            <w:tcMar>
              <w:top w:w="20" w:type="dxa"/>
              <w:left w:w="20" w:type="dxa"/>
              <w:bottom w:w="100" w:type="dxa"/>
              <w:right w:w="20" w:type="dxa"/>
            </w:tcMar>
            <w:vAlign w:val="bottom"/>
          </w:tcPr>
          <w:p w14:paraId="15C23B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7750A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117.67</w:t>
            </w:r>
          </w:p>
        </w:tc>
        <w:tc>
          <w:tcPr>
            <w:tcW w:w="581" w:type="dxa"/>
            <w:tcBorders>
              <w:top w:val="nil"/>
              <w:left w:val="nil"/>
              <w:bottom w:val="nil"/>
              <w:right w:val="nil"/>
            </w:tcBorders>
            <w:tcMar>
              <w:top w:w="20" w:type="dxa"/>
              <w:left w:w="20" w:type="dxa"/>
              <w:bottom w:w="100" w:type="dxa"/>
              <w:right w:w="20" w:type="dxa"/>
            </w:tcMar>
            <w:vAlign w:val="bottom"/>
          </w:tcPr>
          <w:p w14:paraId="4012CB5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104.10</w:t>
            </w:r>
          </w:p>
        </w:tc>
        <w:tc>
          <w:tcPr>
            <w:tcW w:w="591" w:type="dxa"/>
            <w:tcBorders>
              <w:top w:val="nil"/>
              <w:left w:val="nil"/>
              <w:bottom w:val="nil"/>
              <w:right w:val="nil"/>
            </w:tcBorders>
            <w:tcMar>
              <w:top w:w="20" w:type="dxa"/>
              <w:left w:w="20" w:type="dxa"/>
              <w:bottom w:w="100" w:type="dxa"/>
              <w:right w:w="20" w:type="dxa"/>
            </w:tcMar>
            <w:vAlign w:val="bottom"/>
          </w:tcPr>
          <w:p w14:paraId="2C0F8E4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125.00</w:t>
            </w:r>
          </w:p>
        </w:tc>
        <w:tc>
          <w:tcPr>
            <w:tcW w:w="1450" w:type="dxa"/>
            <w:tcBorders>
              <w:top w:val="nil"/>
              <w:left w:val="nil"/>
              <w:bottom w:val="nil"/>
              <w:right w:val="nil"/>
            </w:tcBorders>
            <w:shd w:val="clear" w:color="auto" w:fill="63BE7B"/>
            <w:tcMar>
              <w:top w:w="20" w:type="dxa"/>
              <w:left w:w="20" w:type="dxa"/>
              <w:bottom w:w="100" w:type="dxa"/>
              <w:right w:w="20" w:type="dxa"/>
            </w:tcMar>
            <w:vAlign w:val="bottom"/>
          </w:tcPr>
          <w:p w14:paraId="6BD283D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110.67</w:t>
            </w:r>
          </w:p>
        </w:tc>
      </w:tr>
      <w:tr w:rsidR="00413978" w14:paraId="06FA9AF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E2A314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Bombus </w:t>
            </w:r>
            <w:proofErr w:type="spellStart"/>
            <w:r>
              <w:rPr>
                <w:rFonts w:ascii="Times New Roman" w:eastAsia="Times New Roman" w:hAnsi="Times New Roman" w:cs="Times New Roman"/>
                <w:sz w:val="22"/>
                <w:szCs w:val="22"/>
              </w:rPr>
              <w:t>crotchii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3B17D8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7</w:t>
            </w:r>
          </w:p>
        </w:tc>
        <w:tc>
          <w:tcPr>
            <w:tcW w:w="1331" w:type="dxa"/>
            <w:tcBorders>
              <w:top w:val="nil"/>
              <w:left w:val="nil"/>
              <w:bottom w:val="nil"/>
              <w:right w:val="nil"/>
            </w:tcBorders>
            <w:tcMar>
              <w:top w:w="20" w:type="dxa"/>
              <w:left w:w="20" w:type="dxa"/>
              <w:bottom w:w="100" w:type="dxa"/>
              <w:right w:w="20" w:type="dxa"/>
            </w:tcMar>
            <w:vAlign w:val="bottom"/>
          </w:tcPr>
          <w:p w14:paraId="6B28C2B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5C29BD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109.33</w:t>
            </w:r>
          </w:p>
        </w:tc>
        <w:tc>
          <w:tcPr>
            <w:tcW w:w="581" w:type="dxa"/>
            <w:tcBorders>
              <w:top w:val="nil"/>
              <w:left w:val="nil"/>
              <w:bottom w:val="nil"/>
              <w:right w:val="nil"/>
            </w:tcBorders>
            <w:tcMar>
              <w:top w:w="20" w:type="dxa"/>
              <w:left w:w="20" w:type="dxa"/>
              <w:bottom w:w="100" w:type="dxa"/>
              <w:right w:w="20" w:type="dxa"/>
            </w:tcMar>
            <w:vAlign w:val="bottom"/>
          </w:tcPr>
          <w:p w14:paraId="65E0FA7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81.25</w:t>
            </w:r>
          </w:p>
        </w:tc>
        <w:tc>
          <w:tcPr>
            <w:tcW w:w="591" w:type="dxa"/>
            <w:tcBorders>
              <w:top w:val="nil"/>
              <w:left w:val="nil"/>
              <w:bottom w:val="nil"/>
              <w:right w:val="nil"/>
            </w:tcBorders>
            <w:tcMar>
              <w:top w:w="20" w:type="dxa"/>
              <w:left w:w="20" w:type="dxa"/>
              <w:bottom w:w="100" w:type="dxa"/>
              <w:right w:w="20" w:type="dxa"/>
            </w:tcMar>
            <w:vAlign w:val="bottom"/>
          </w:tcPr>
          <w:p w14:paraId="02F4A68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124.95</w:t>
            </w:r>
          </w:p>
        </w:tc>
        <w:tc>
          <w:tcPr>
            <w:tcW w:w="1450" w:type="dxa"/>
            <w:tcBorders>
              <w:top w:val="nil"/>
              <w:left w:val="nil"/>
              <w:bottom w:val="nil"/>
              <w:right w:val="nil"/>
            </w:tcBorders>
            <w:shd w:val="clear" w:color="auto" w:fill="6FC385"/>
            <w:tcMar>
              <w:top w:w="20" w:type="dxa"/>
              <w:left w:w="20" w:type="dxa"/>
              <w:bottom w:w="100" w:type="dxa"/>
              <w:right w:w="20" w:type="dxa"/>
            </w:tcMar>
            <w:vAlign w:val="bottom"/>
          </w:tcPr>
          <w:p w14:paraId="7EA47A7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102.33</w:t>
            </w:r>
          </w:p>
        </w:tc>
      </w:tr>
      <w:tr w:rsidR="00413978" w14:paraId="4055EE7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717088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Bombus </w:t>
            </w:r>
            <w:proofErr w:type="spellStart"/>
            <w:r>
              <w:rPr>
                <w:rFonts w:ascii="Times New Roman" w:eastAsia="Times New Roman" w:hAnsi="Times New Roman" w:cs="Times New Roman"/>
                <w:sz w:val="22"/>
                <w:szCs w:val="22"/>
              </w:rPr>
              <w:t>melanopygus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9B03D3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w:t>
            </w:r>
          </w:p>
        </w:tc>
        <w:tc>
          <w:tcPr>
            <w:tcW w:w="1331" w:type="dxa"/>
            <w:tcBorders>
              <w:top w:val="nil"/>
              <w:left w:val="nil"/>
              <w:bottom w:val="nil"/>
              <w:right w:val="nil"/>
            </w:tcBorders>
            <w:tcMar>
              <w:top w:w="20" w:type="dxa"/>
              <w:left w:w="20" w:type="dxa"/>
              <w:bottom w:w="100" w:type="dxa"/>
              <w:right w:w="20" w:type="dxa"/>
            </w:tcMar>
            <w:vAlign w:val="bottom"/>
          </w:tcPr>
          <w:p w14:paraId="6928B2E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9643EE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80.67</w:t>
            </w:r>
          </w:p>
        </w:tc>
        <w:tc>
          <w:tcPr>
            <w:tcW w:w="581" w:type="dxa"/>
            <w:tcBorders>
              <w:top w:val="nil"/>
              <w:left w:val="nil"/>
              <w:bottom w:val="nil"/>
              <w:right w:val="nil"/>
            </w:tcBorders>
            <w:tcMar>
              <w:top w:w="20" w:type="dxa"/>
              <w:left w:w="20" w:type="dxa"/>
              <w:bottom w:w="100" w:type="dxa"/>
              <w:right w:w="20" w:type="dxa"/>
            </w:tcMar>
            <w:vAlign w:val="bottom"/>
          </w:tcPr>
          <w:p w14:paraId="75CE0ED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35.55</w:t>
            </w:r>
          </w:p>
        </w:tc>
        <w:tc>
          <w:tcPr>
            <w:tcW w:w="591" w:type="dxa"/>
            <w:tcBorders>
              <w:top w:val="nil"/>
              <w:left w:val="nil"/>
              <w:bottom w:val="nil"/>
              <w:right w:val="nil"/>
            </w:tcBorders>
            <w:tcMar>
              <w:top w:w="20" w:type="dxa"/>
              <w:left w:w="20" w:type="dxa"/>
              <w:bottom w:w="100" w:type="dxa"/>
              <w:right w:w="20" w:type="dxa"/>
            </w:tcMar>
            <w:vAlign w:val="bottom"/>
          </w:tcPr>
          <w:p w14:paraId="7D1C2FA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122.95</w:t>
            </w:r>
          </w:p>
        </w:tc>
        <w:tc>
          <w:tcPr>
            <w:tcW w:w="1450" w:type="dxa"/>
            <w:tcBorders>
              <w:top w:val="nil"/>
              <w:left w:val="nil"/>
              <w:bottom w:val="nil"/>
              <w:right w:val="nil"/>
            </w:tcBorders>
            <w:shd w:val="clear" w:color="auto" w:fill="9AD5AB"/>
            <w:tcMar>
              <w:top w:w="20" w:type="dxa"/>
              <w:left w:w="20" w:type="dxa"/>
              <w:bottom w:w="100" w:type="dxa"/>
              <w:right w:w="20" w:type="dxa"/>
            </w:tcMar>
            <w:vAlign w:val="bottom"/>
          </w:tcPr>
          <w:p w14:paraId="3D5D536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70.67</w:t>
            </w:r>
          </w:p>
        </w:tc>
      </w:tr>
      <w:tr w:rsidR="00413978" w14:paraId="1F17653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BA90BD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Bombus occidentalis</w:t>
            </w:r>
          </w:p>
        </w:tc>
        <w:tc>
          <w:tcPr>
            <w:tcW w:w="1410" w:type="dxa"/>
            <w:tcBorders>
              <w:top w:val="nil"/>
              <w:left w:val="nil"/>
              <w:bottom w:val="nil"/>
              <w:right w:val="nil"/>
            </w:tcBorders>
            <w:tcMar>
              <w:top w:w="20" w:type="dxa"/>
              <w:left w:w="20" w:type="dxa"/>
              <w:bottom w:w="100" w:type="dxa"/>
              <w:right w:w="20" w:type="dxa"/>
            </w:tcMar>
            <w:vAlign w:val="bottom"/>
          </w:tcPr>
          <w:p w14:paraId="5F38FA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7F1925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79883B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48.33</w:t>
            </w:r>
          </w:p>
        </w:tc>
        <w:tc>
          <w:tcPr>
            <w:tcW w:w="581" w:type="dxa"/>
            <w:tcBorders>
              <w:top w:val="nil"/>
              <w:left w:val="nil"/>
              <w:bottom w:val="nil"/>
              <w:right w:val="nil"/>
            </w:tcBorders>
            <w:tcMar>
              <w:top w:w="20" w:type="dxa"/>
              <w:left w:w="20" w:type="dxa"/>
              <w:bottom w:w="100" w:type="dxa"/>
              <w:right w:w="20" w:type="dxa"/>
            </w:tcMar>
            <w:vAlign w:val="bottom"/>
          </w:tcPr>
          <w:p w14:paraId="7A71788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1.95</w:t>
            </w:r>
          </w:p>
        </w:tc>
        <w:tc>
          <w:tcPr>
            <w:tcW w:w="591" w:type="dxa"/>
            <w:tcBorders>
              <w:top w:val="nil"/>
              <w:left w:val="nil"/>
              <w:bottom w:val="nil"/>
              <w:right w:val="nil"/>
            </w:tcBorders>
            <w:tcMar>
              <w:top w:w="20" w:type="dxa"/>
              <w:left w:w="20" w:type="dxa"/>
              <w:bottom w:w="100" w:type="dxa"/>
              <w:right w:w="20" w:type="dxa"/>
            </w:tcMar>
            <w:vAlign w:val="bottom"/>
          </w:tcPr>
          <w:p w14:paraId="6E2AA2F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118.80</w:t>
            </w:r>
          </w:p>
        </w:tc>
        <w:tc>
          <w:tcPr>
            <w:tcW w:w="1450" w:type="dxa"/>
            <w:tcBorders>
              <w:top w:val="nil"/>
              <w:left w:val="nil"/>
              <w:bottom w:val="nil"/>
              <w:right w:val="nil"/>
            </w:tcBorders>
            <w:shd w:val="clear" w:color="auto" w:fill="B9E1C5"/>
            <w:tcMar>
              <w:top w:w="20" w:type="dxa"/>
              <w:left w:w="20" w:type="dxa"/>
              <w:bottom w:w="100" w:type="dxa"/>
              <w:right w:w="20" w:type="dxa"/>
            </w:tcMar>
            <w:vAlign w:val="bottom"/>
          </w:tcPr>
          <w:p w14:paraId="74BA032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48.33</w:t>
            </w:r>
          </w:p>
        </w:tc>
      </w:tr>
      <w:tr w:rsidR="00413978" w14:paraId="23464AF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F924FB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Bombus </w:t>
            </w:r>
            <w:proofErr w:type="spellStart"/>
            <w:r>
              <w:rPr>
                <w:rFonts w:ascii="Times New Roman" w:eastAsia="Times New Roman" w:hAnsi="Times New Roman" w:cs="Times New Roman"/>
                <w:sz w:val="22"/>
                <w:szCs w:val="22"/>
              </w:rPr>
              <w:t>vosnesenskii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B09C2F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14</w:t>
            </w:r>
          </w:p>
        </w:tc>
        <w:tc>
          <w:tcPr>
            <w:tcW w:w="1331" w:type="dxa"/>
            <w:tcBorders>
              <w:top w:val="nil"/>
              <w:left w:val="nil"/>
              <w:bottom w:val="nil"/>
              <w:right w:val="nil"/>
            </w:tcBorders>
            <w:tcMar>
              <w:top w:w="20" w:type="dxa"/>
              <w:left w:w="20" w:type="dxa"/>
              <w:bottom w:w="100" w:type="dxa"/>
              <w:right w:w="20" w:type="dxa"/>
            </w:tcMar>
            <w:vAlign w:val="bottom"/>
          </w:tcPr>
          <w:p w14:paraId="1088D47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6C4AF00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109.33</w:t>
            </w:r>
          </w:p>
        </w:tc>
        <w:tc>
          <w:tcPr>
            <w:tcW w:w="581" w:type="dxa"/>
            <w:tcBorders>
              <w:top w:val="nil"/>
              <w:left w:val="nil"/>
              <w:bottom w:val="nil"/>
              <w:right w:val="nil"/>
            </w:tcBorders>
            <w:tcMar>
              <w:top w:w="20" w:type="dxa"/>
              <w:left w:w="20" w:type="dxa"/>
              <w:bottom w:w="100" w:type="dxa"/>
              <w:right w:w="20" w:type="dxa"/>
            </w:tcMar>
            <w:vAlign w:val="bottom"/>
          </w:tcPr>
          <w:p w14:paraId="11E73BD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87.60</w:t>
            </w:r>
          </w:p>
        </w:tc>
        <w:tc>
          <w:tcPr>
            <w:tcW w:w="591" w:type="dxa"/>
            <w:tcBorders>
              <w:top w:val="nil"/>
              <w:left w:val="nil"/>
              <w:bottom w:val="nil"/>
              <w:right w:val="nil"/>
            </w:tcBorders>
            <w:tcMar>
              <w:top w:w="20" w:type="dxa"/>
              <w:left w:w="20" w:type="dxa"/>
              <w:bottom w:w="100" w:type="dxa"/>
              <w:right w:w="20" w:type="dxa"/>
            </w:tcMar>
            <w:vAlign w:val="bottom"/>
          </w:tcPr>
          <w:p w14:paraId="6EEFBEA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123.70</w:t>
            </w:r>
          </w:p>
        </w:tc>
        <w:tc>
          <w:tcPr>
            <w:tcW w:w="1450" w:type="dxa"/>
            <w:tcBorders>
              <w:top w:val="nil"/>
              <w:left w:val="nil"/>
              <w:bottom w:val="nil"/>
              <w:right w:val="nil"/>
            </w:tcBorders>
            <w:shd w:val="clear" w:color="auto" w:fill="79C78E"/>
            <w:tcMar>
              <w:top w:w="20" w:type="dxa"/>
              <w:left w:w="20" w:type="dxa"/>
              <w:bottom w:w="100" w:type="dxa"/>
              <w:right w:w="20" w:type="dxa"/>
            </w:tcMar>
            <w:vAlign w:val="bottom"/>
          </w:tcPr>
          <w:p w14:paraId="7E732B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95.33</w:t>
            </w:r>
          </w:p>
        </w:tc>
      </w:tr>
      <w:tr w:rsidR="00413978" w14:paraId="6B04D9A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AB5B73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Ceratina</w:t>
            </w:r>
            <w:proofErr w:type="spellEnd"/>
            <w:r>
              <w:rPr>
                <w:rFonts w:ascii="Times New Roman" w:eastAsia="Times New Roman" w:hAnsi="Times New Roman" w:cs="Times New Roman"/>
                <w:sz w:val="22"/>
                <w:szCs w:val="22"/>
              </w:rPr>
              <w:t xml:space="preserve"> acantha</w:t>
            </w:r>
          </w:p>
        </w:tc>
        <w:tc>
          <w:tcPr>
            <w:tcW w:w="1410" w:type="dxa"/>
            <w:tcBorders>
              <w:top w:val="nil"/>
              <w:left w:val="nil"/>
              <w:bottom w:val="nil"/>
              <w:right w:val="nil"/>
            </w:tcBorders>
            <w:tcMar>
              <w:top w:w="20" w:type="dxa"/>
              <w:left w:w="20" w:type="dxa"/>
              <w:bottom w:w="100" w:type="dxa"/>
              <w:right w:w="20" w:type="dxa"/>
            </w:tcMar>
            <w:vAlign w:val="bottom"/>
          </w:tcPr>
          <w:p w14:paraId="0842DDF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w:t>
            </w:r>
          </w:p>
        </w:tc>
        <w:tc>
          <w:tcPr>
            <w:tcW w:w="1331" w:type="dxa"/>
            <w:tcBorders>
              <w:top w:val="nil"/>
              <w:left w:val="nil"/>
              <w:bottom w:val="nil"/>
              <w:right w:val="nil"/>
            </w:tcBorders>
            <w:tcMar>
              <w:top w:w="20" w:type="dxa"/>
              <w:left w:w="20" w:type="dxa"/>
              <w:bottom w:w="100" w:type="dxa"/>
              <w:right w:w="20" w:type="dxa"/>
            </w:tcMar>
            <w:vAlign w:val="bottom"/>
          </w:tcPr>
          <w:p w14:paraId="084A724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B0DBE1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6.00</w:t>
            </w:r>
          </w:p>
        </w:tc>
        <w:tc>
          <w:tcPr>
            <w:tcW w:w="581" w:type="dxa"/>
            <w:tcBorders>
              <w:top w:val="nil"/>
              <w:left w:val="nil"/>
              <w:bottom w:val="nil"/>
              <w:right w:val="nil"/>
            </w:tcBorders>
            <w:tcMar>
              <w:top w:w="20" w:type="dxa"/>
              <w:left w:w="20" w:type="dxa"/>
              <w:bottom w:w="100" w:type="dxa"/>
              <w:right w:w="20" w:type="dxa"/>
            </w:tcMar>
            <w:vAlign w:val="bottom"/>
          </w:tcPr>
          <w:p w14:paraId="4942651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2.00</w:t>
            </w:r>
          </w:p>
        </w:tc>
        <w:tc>
          <w:tcPr>
            <w:tcW w:w="591" w:type="dxa"/>
            <w:tcBorders>
              <w:top w:val="nil"/>
              <w:left w:val="nil"/>
              <w:bottom w:val="nil"/>
              <w:right w:val="nil"/>
            </w:tcBorders>
            <w:tcMar>
              <w:top w:w="20" w:type="dxa"/>
              <w:left w:w="20" w:type="dxa"/>
              <w:bottom w:w="100" w:type="dxa"/>
              <w:right w:w="20" w:type="dxa"/>
            </w:tcMar>
            <w:vAlign w:val="bottom"/>
          </w:tcPr>
          <w:p w14:paraId="132C794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13.40</w:t>
            </w:r>
          </w:p>
        </w:tc>
        <w:tc>
          <w:tcPr>
            <w:tcW w:w="1450" w:type="dxa"/>
            <w:tcBorders>
              <w:top w:val="nil"/>
              <w:left w:val="nil"/>
              <w:bottom w:val="nil"/>
              <w:right w:val="nil"/>
            </w:tcBorders>
            <w:shd w:val="clear" w:color="auto" w:fill="F6FAFA"/>
            <w:tcMar>
              <w:top w:w="20" w:type="dxa"/>
              <w:left w:w="20" w:type="dxa"/>
              <w:bottom w:w="100" w:type="dxa"/>
              <w:right w:w="20" w:type="dxa"/>
            </w:tcMar>
            <w:vAlign w:val="bottom"/>
          </w:tcPr>
          <w:p w14:paraId="2C343C9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4.00</w:t>
            </w:r>
          </w:p>
        </w:tc>
      </w:tr>
      <w:tr w:rsidR="00413978" w14:paraId="54FB16D5"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41F888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Ceratina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nanula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8C4A1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A7FB5E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072FC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163B2B2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6F246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477E57C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357CC89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FA7CE8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lastRenderedPageBreak/>
              <w:t>Diadasia</w:t>
            </w:r>
            <w:proofErr w:type="spellEnd"/>
            <w:r>
              <w:rPr>
                <w:rFonts w:ascii="Times New Roman" w:eastAsia="Times New Roman" w:hAnsi="Times New Roman" w:cs="Times New Roman"/>
                <w:sz w:val="22"/>
                <w:szCs w:val="22"/>
              </w:rPr>
              <w:t xml:space="preserve"> australis</w:t>
            </w:r>
          </w:p>
        </w:tc>
        <w:tc>
          <w:tcPr>
            <w:tcW w:w="1410" w:type="dxa"/>
            <w:tcBorders>
              <w:top w:val="nil"/>
              <w:left w:val="nil"/>
              <w:bottom w:val="nil"/>
              <w:right w:val="nil"/>
            </w:tcBorders>
            <w:tcMar>
              <w:top w:w="20" w:type="dxa"/>
              <w:left w:w="20" w:type="dxa"/>
              <w:bottom w:w="100" w:type="dxa"/>
              <w:right w:w="20" w:type="dxa"/>
            </w:tcMar>
            <w:vAlign w:val="bottom"/>
          </w:tcPr>
          <w:p w14:paraId="23AB19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5FDA15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E231A5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3B5403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B6D269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56E59E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EC138F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F282D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Diadasia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bituberculata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365C5B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w:t>
            </w:r>
          </w:p>
        </w:tc>
        <w:tc>
          <w:tcPr>
            <w:tcW w:w="1331" w:type="dxa"/>
            <w:tcBorders>
              <w:top w:val="nil"/>
              <w:left w:val="nil"/>
              <w:bottom w:val="nil"/>
              <w:right w:val="nil"/>
            </w:tcBorders>
            <w:tcMar>
              <w:top w:w="20" w:type="dxa"/>
              <w:left w:w="20" w:type="dxa"/>
              <w:bottom w:w="100" w:type="dxa"/>
              <w:right w:w="20" w:type="dxa"/>
            </w:tcMar>
            <w:vAlign w:val="bottom"/>
          </w:tcPr>
          <w:p w14:paraId="425EC4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8B416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42.00</w:t>
            </w:r>
          </w:p>
        </w:tc>
        <w:tc>
          <w:tcPr>
            <w:tcW w:w="581" w:type="dxa"/>
            <w:tcBorders>
              <w:top w:val="nil"/>
              <w:left w:val="nil"/>
              <w:bottom w:val="nil"/>
              <w:right w:val="nil"/>
            </w:tcBorders>
            <w:tcMar>
              <w:top w:w="20" w:type="dxa"/>
              <w:left w:w="20" w:type="dxa"/>
              <w:bottom w:w="100" w:type="dxa"/>
              <w:right w:w="20" w:type="dxa"/>
            </w:tcMar>
            <w:vAlign w:val="bottom"/>
          </w:tcPr>
          <w:p w14:paraId="3FC7652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3.60</w:t>
            </w:r>
          </w:p>
        </w:tc>
        <w:tc>
          <w:tcPr>
            <w:tcW w:w="591" w:type="dxa"/>
            <w:tcBorders>
              <w:top w:val="nil"/>
              <w:left w:val="nil"/>
              <w:bottom w:val="nil"/>
              <w:right w:val="nil"/>
            </w:tcBorders>
            <w:tcMar>
              <w:top w:w="20" w:type="dxa"/>
              <w:left w:w="20" w:type="dxa"/>
              <w:bottom w:w="100" w:type="dxa"/>
              <w:right w:w="20" w:type="dxa"/>
            </w:tcMar>
            <w:vAlign w:val="bottom"/>
          </w:tcPr>
          <w:p w14:paraId="5F806E5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87.20</w:t>
            </w:r>
          </w:p>
        </w:tc>
        <w:tc>
          <w:tcPr>
            <w:tcW w:w="1450" w:type="dxa"/>
            <w:tcBorders>
              <w:top w:val="nil"/>
              <w:left w:val="nil"/>
              <w:bottom w:val="nil"/>
              <w:right w:val="nil"/>
            </w:tcBorders>
            <w:shd w:val="clear" w:color="auto" w:fill="C4E6CF"/>
            <w:tcMar>
              <w:top w:w="20" w:type="dxa"/>
              <w:left w:w="20" w:type="dxa"/>
              <w:bottom w:w="100" w:type="dxa"/>
              <w:right w:w="20" w:type="dxa"/>
            </w:tcMar>
            <w:vAlign w:val="bottom"/>
          </w:tcPr>
          <w:p w14:paraId="5D1521D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40.00</w:t>
            </w:r>
          </w:p>
        </w:tc>
      </w:tr>
      <w:tr w:rsidR="00413978" w14:paraId="2B06B67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5B209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Diadasia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nigrifrons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A19FA0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19A8CB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7115AAC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6744E9F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9D0443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5D6585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1CE8299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B932FC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Diadasia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nitidifrons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89BB2E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82A9C0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05AFE80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863F15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D2F3A7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7E23A6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2329485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19120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Diadasia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ochracea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79814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05A62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67A43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B87AD8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F189A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DFCB7F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3B2C72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1C9A08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Diadasia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rinconis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F2124B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258AD5C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A390F5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6.33</w:t>
            </w:r>
          </w:p>
        </w:tc>
        <w:tc>
          <w:tcPr>
            <w:tcW w:w="581" w:type="dxa"/>
            <w:tcBorders>
              <w:top w:val="nil"/>
              <w:left w:val="nil"/>
              <w:bottom w:val="nil"/>
              <w:right w:val="nil"/>
            </w:tcBorders>
            <w:tcMar>
              <w:top w:w="20" w:type="dxa"/>
              <w:left w:w="20" w:type="dxa"/>
              <w:bottom w:w="100" w:type="dxa"/>
              <w:right w:w="20" w:type="dxa"/>
            </w:tcMar>
            <w:vAlign w:val="bottom"/>
          </w:tcPr>
          <w:p w14:paraId="5A0E255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6BBC59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16.20</w:t>
            </w:r>
          </w:p>
        </w:tc>
        <w:tc>
          <w:tcPr>
            <w:tcW w:w="1450" w:type="dxa"/>
            <w:tcBorders>
              <w:top w:val="nil"/>
              <w:left w:val="nil"/>
              <w:bottom w:val="nil"/>
              <w:right w:val="nil"/>
            </w:tcBorders>
            <w:shd w:val="clear" w:color="auto" w:fill="F4F9F8"/>
            <w:tcMar>
              <w:top w:w="20" w:type="dxa"/>
              <w:left w:w="20" w:type="dxa"/>
              <w:bottom w:w="100" w:type="dxa"/>
              <w:right w:w="20" w:type="dxa"/>
            </w:tcMar>
            <w:vAlign w:val="bottom"/>
          </w:tcPr>
          <w:p w14:paraId="33CDA80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5.33</w:t>
            </w:r>
          </w:p>
        </w:tc>
      </w:tr>
      <w:tr w:rsidR="00413978" w14:paraId="46D5415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C8F74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Epeolus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minimus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68158C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7B36D45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123</w:t>
            </w:r>
          </w:p>
        </w:tc>
        <w:tc>
          <w:tcPr>
            <w:tcW w:w="1568" w:type="dxa"/>
            <w:tcBorders>
              <w:top w:val="nil"/>
              <w:left w:val="nil"/>
              <w:bottom w:val="nil"/>
              <w:right w:val="nil"/>
            </w:tcBorders>
            <w:tcMar>
              <w:top w:w="20" w:type="dxa"/>
              <w:left w:w="20" w:type="dxa"/>
              <w:bottom w:w="100" w:type="dxa"/>
              <w:right w:w="20" w:type="dxa"/>
            </w:tcMar>
            <w:vAlign w:val="bottom"/>
          </w:tcPr>
          <w:p w14:paraId="017D84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75682D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CE61DD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CFCFF"/>
            <w:tcMar>
              <w:top w:w="20" w:type="dxa"/>
              <w:left w:w="20" w:type="dxa"/>
              <w:bottom w:w="100" w:type="dxa"/>
              <w:right w:w="20" w:type="dxa"/>
            </w:tcMar>
            <w:vAlign w:val="bottom"/>
          </w:tcPr>
          <w:p w14:paraId="03148F9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710D423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E3863E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Eucera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actuosa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45D4F5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ABA705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7D746D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7686B06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82B498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1FB154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3DE270C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4B2D4A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Eucera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amsinckiae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B9426C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DA0E85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20FE9DF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2FDC08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BD0BC3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1D0448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4526B7E"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30E15F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Eucera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edwardsii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E6D154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9D6CE6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40B98F2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81" w:type="dxa"/>
            <w:tcBorders>
              <w:top w:val="nil"/>
              <w:left w:val="nil"/>
              <w:bottom w:val="nil"/>
              <w:right w:val="nil"/>
            </w:tcBorders>
            <w:tcMar>
              <w:top w:w="20" w:type="dxa"/>
              <w:left w:w="20" w:type="dxa"/>
              <w:bottom w:w="100" w:type="dxa"/>
              <w:right w:w="20" w:type="dxa"/>
            </w:tcMar>
            <w:vAlign w:val="bottom"/>
          </w:tcPr>
          <w:p w14:paraId="29B4979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02760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2.85</w:t>
            </w:r>
          </w:p>
        </w:tc>
        <w:tc>
          <w:tcPr>
            <w:tcW w:w="1450" w:type="dxa"/>
            <w:tcBorders>
              <w:top w:val="nil"/>
              <w:left w:val="nil"/>
              <w:bottom w:val="nil"/>
              <w:right w:val="nil"/>
            </w:tcBorders>
            <w:shd w:val="clear" w:color="auto" w:fill="FAFBFD"/>
            <w:tcMar>
              <w:top w:w="20" w:type="dxa"/>
              <w:left w:w="20" w:type="dxa"/>
              <w:bottom w:w="100" w:type="dxa"/>
              <w:right w:w="20" w:type="dxa"/>
            </w:tcMar>
            <w:vAlign w:val="bottom"/>
          </w:tcPr>
          <w:p w14:paraId="51AC269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4785F78E"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8F2906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Eucera</w:t>
            </w:r>
            <w:proofErr w:type="spellEnd"/>
            <w:r>
              <w:rPr>
                <w:rFonts w:ascii="Times New Roman" w:eastAsia="Times New Roman" w:hAnsi="Times New Roman" w:cs="Times New Roman"/>
                <w:sz w:val="22"/>
                <w:szCs w:val="22"/>
              </w:rPr>
              <w:t xml:space="preserve"> frater</w:t>
            </w:r>
          </w:p>
        </w:tc>
        <w:tc>
          <w:tcPr>
            <w:tcW w:w="1410" w:type="dxa"/>
            <w:tcBorders>
              <w:top w:val="nil"/>
              <w:left w:val="nil"/>
              <w:bottom w:val="nil"/>
              <w:right w:val="nil"/>
            </w:tcBorders>
            <w:tcMar>
              <w:top w:w="20" w:type="dxa"/>
              <w:left w:w="20" w:type="dxa"/>
              <w:bottom w:w="100" w:type="dxa"/>
              <w:right w:w="20" w:type="dxa"/>
            </w:tcMar>
            <w:vAlign w:val="bottom"/>
          </w:tcPr>
          <w:p w14:paraId="0C9B5C4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F309A2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w:t>
            </w:r>
          </w:p>
        </w:tc>
        <w:tc>
          <w:tcPr>
            <w:tcW w:w="1568" w:type="dxa"/>
            <w:tcBorders>
              <w:top w:val="nil"/>
              <w:left w:val="nil"/>
              <w:bottom w:val="nil"/>
              <w:right w:val="nil"/>
            </w:tcBorders>
            <w:tcMar>
              <w:top w:w="20" w:type="dxa"/>
              <w:left w:w="20" w:type="dxa"/>
              <w:bottom w:w="100" w:type="dxa"/>
              <w:right w:w="20" w:type="dxa"/>
            </w:tcMar>
            <w:vAlign w:val="bottom"/>
          </w:tcPr>
          <w:p w14:paraId="46970CD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BD41D7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37B797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2F04B4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1730E695"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976E4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Eucera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lunata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13AC4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26923EF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538768D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10.00</w:t>
            </w:r>
          </w:p>
        </w:tc>
        <w:tc>
          <w:tcPr>
            <w:tcW w:w="581" w:type="dxa"/>
            <w:tcBorders>
              <w:top w:val="nil"/>
              <w:left w:val="nil"/>
              <w:bottom w:val="nil"/>
              <w:right w:val="nil"/>
            </w:tcBorders>
            <w:tcMar>
              <w:top w:w="20" w:type="dxa"/>
              <w:left w:w="20" w:type="dxa"/>
              <w:bottom w:w="100" w:type="dxa"/>
              <w:right w:w="20" w:type="dxa"/>
            </w:tcMar>
            <w:vAlign w:val="bottom"/>
          </w:tcPr>
          <w:p w14:paraId="0CCE06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56E5DD3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26.65</w:t>
            </w:r>
          </w:p>
        </w:tc>
        <w:tc>
          <w:tcPr>
            <w:tcW w:w="1450" w:type="dxa"/>
            <w:tcBorders>
              <w:top w:val="nil"/>
              <w:left w:val="nil"/>
              <w:bottom w:val="nil"/>
              <w:right w:val="nil"/>
            </w:tcBorders>
            <w:shd w:val="clear" w:color="auto" w:fill="EFF7F4"/>
            <w:tcMar>
              <w:top w:w="20" w:type="dxa"/>
              <w:left w:w="20" w:type="dxa"/>
              <w:bottom w:w="100" w:type="dxa"/>
              <w:right w:w="20" w:type="dxa"/>
            </w:tcMar>
            <w:vAlign w:val="bottom"/>
          </w:tcPr>
          <w:p w14:paraId="4B65B07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9.00</w:t>
            </w:r>
          </w:p>
        </w:tc>
      </w:tr>
      <w:tr w:rsidR="00413978" w14:paraId="14E506F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A0AB1E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Anthophorula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cerei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758BC1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234CD3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115</w:t>
            </w:r>
          </w:p>
        </w:tc>
        <w:tc>
          <w:tcPr>
            <w:tcW w:w="1568" w:type="dxa"/>
            <w:tcBorders>
              <w:top w:val="nil"/>
              <w:left w:val="nil"/>
              <w:bottom w:val="nil"/>
              <w:right w:val="nil"/>
            </w:tcBorders>
            <w:tcMar>
              <w:top w:w="20" w:type="dxa"/>
              <w:left w:w="20" w:type="dxa"/>
              <w:bottom w:w="100" w:type="dxa"/>
              <w:right w:w="20" w:type="dxa"/>
            </w:tcMar>
            <w:vAlign w:val="bottom"/>
          </w:tcPr>
          <w:p w14:paraId="7EB2AC4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81" w:type="dxa"/>
            <w:tcBorders>
              <w:top w:val="nil"/>
              <w:left w:val="nil"/>
              <w:bottom w:val="nil"/>
              <w:right w:val="nil"/>
            </w:tcBorders>
            <w:tcMar>
              <w:top w:w="20" w:type="dxa"/>
              <w:left w:w="20" w:type="dxa"/>
              <w:bottom w:w="100" w:type="dxa"/>
              <w:right w:w="20" w:type="dxa"/>
            </w:tcMar>
            <w:vAlign w:val="bottom"/>
          </w:tcPr>
          <w:p w14:paraId="2787D0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05F143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2.85</w:t>
            </w:r>
          </w:p>
        </w:tc>
        <w:tc>
          <w:tcPr>
            <w:tcW w:w="1450" w:type="dxa"/>
            <w:tcBorders>
              <w:top w:val="nil"/>
              <w:left w:val="nil"/>
              <w:bottom w:val="nil"/>
              <w:right w:val="nil"/>
            </w:tcBorders>
            <w:shd w:val="clear" w:color="auto" w:fill="FAFBFD"/>
            <w:tcMar>
              <w:top w:w="20" w:type="dxa"/>
              <w:left w:w="20" w:type="dxa"/>
              <w:bottom w:w="100" w:type="dxa"/>
              <w:right w:w="20" w:type="dxa"/>
            </w:tcMar>
            <w:vAlign w:val="bottom"/>
          </w:tcPr>
          <w:p w14:paraId="7A972EA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367B2DB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14842C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Habropoda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depressa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C360C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w:t>
            </w:r>
          </w:p>
        </w:tc>
        <w:tc>
          <w:tcPr>
            <w:tcW w:w="1331" w:type="dxa"/>
            <w:tcBorders>
              <w:top w:val="nil"/>
              <w:left w:val="nil"/>
              <w:bottom w:val="nil"/>
              <w:right w:val="nil"/>
            </w:tcBorders>
            <w:tcMar>
              <w:top w:w="20" w:type="dxa"/>
              <w:left w:w="20" w:type="dxa"/>
              <w:bottom w:w="100" w:type="dxa"/>
              <w:right w:w="20" w:type="dxa"/>
            </w:tcMar>
            <w:vAlign w:val="bottom"/>
          </w:tcPr>
          <w:p w14:paraId="0082E18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3812E60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39.67</w:t>
            </w:r>
          </w:p>
        </w:tc>
        <w:tc>
          <w:tcPr>
            <w:tcW w:w="581" w:type="dxa"/>
            <w:tcBorders>
              <w:top w:val="nil"/>
              <w:left w:val="nil"/>
              <w:bottom w:val="nil"/>
              <w:right w:val="nil"/>
            </w:tcBorders>
            <w:tcMar>
              <w:top w:w="20" w:type="dxa"/>
              <w:left w:w="20" w:type="dxa"/>
              <w:bottom w:w="100" w:type="dxa"/>
              <w:right w:w="20" w:type="dxa"/>
            </w:tcMar>
            <w:vAlign w:val="bottom"/>
          </w:tcPr>
          <w:p w14:paraId="480FD9F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2.85</w:t>
            </w:r>
          </w:p>
        </w:tc>
        <w:tc>
          <w:tcPr>
            <w:tcW w:w="591" w:type="dxa"/>
            <w:tcBorders>
              <w:top w:val="nil"/>
              <w:left w:val="nil"/>
              <w:bottom w:val="nil"/>
              <w:right w:val="nil"/>
            </w:tcBorders>
            <w:tcMar>
              <w:top w:w="20" w:type="dxa"/>
              <w:left w:w="20" w:type="dxa"/>
              <w:bottom w:w="100" w:type="dxa"/>
              <w:right w:w="20" w:type="dxa"/>
            </w:tcMar>
            <w:vAlign w:val="bottom"/>
          </w:tcPr>
          <w:p w14:paraId="232A816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94.05</w:t>
            </w:r>
          </w:p>
        </w:tc>
        <w:tc>
          <w:tcPr>
            <w:tcW w:w="1450" w:type="dxa"/>
            <w:tcBorders>
              <w:top w:val="nil"/>
              <w:left w:val="nil"/>
              <w:bottom w:val="nil"/>
              <w:right w:val="nil"/>
            </w:tcBorders>
            <w:shd w:val="clear" w:color="auto" w:fill="C8E7D2"/>
            <w:tcMar>
              <w:top w:w="20" w:type="dxa"/>
              <w:left w:w="20" w:type="dxa"/>
              <w:bottom w:w="100" w:type="dxa"/>
              <w:right w:w="20" w:type="dxa"/>
            </w:tcMar>
            <w:vAlign w:val="bottom"/>
          </w:tcPr>
          <w:p w14:paraId="30B1F7C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37.67</w:t>
            </w:r>
          </w:p>
        </w:tc>
      </w:tr>
      <w:tr w:rsidR="00413978" w14:paraId="6385B7A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E96781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Habropoda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miserabilis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D89C85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9D6D3F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118DC2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13.33</w:t>
            </w:r>
          </w:p>
        </w:tc>
        <w:tc>
          <w:tcPr>
            <w:tcW w:w="581" w:type="dxa"/>
            <w:tcBorders>
              <w:top w:val="nil"/>
              <w:left w:val="nil"/>
              <w:bottom w:val="nil"/>
              <w:right w:val="nil"/>
            </w:tcBorders>
            <w:tcMar>
              <w:top w:w="20" w:type="dxa"/>
              <w:left w:w="20" w:type="dxa"/>
              <w:bottom w:w="100" w:type="dxa"/>
              <w:right w:w="20" w:type="dxa"/>
            </w:tcMar>
            <w:vAlign w:val="bottom"/>
          </w:tcPr>
          <w:p w14:paraId="0677352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63EC44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38.00</w:t>
            </w:r>
          </w:p>
        </w:tc>
        <w:tc>
          <w:tcPr>
            <w:tcW w:w="1450" w:type="dxa"/>
            <w:tcBorders>
              <w:top w:val="nil"/>
              <w:left w:val="nil"/>
              <w:bottom w:val="nil"/>
              <w:right w:val="nil"/>
            </w:tcBorders>
            <w:shd w:val="clear" w:color="auto" w:fill="E9F5EF"/>
            <w:tcMar>
              <w:top w:w="20" w:type="dxa"/>
              <w:left w:w="20" w:type="dxa"/>
              <w:bottom w:w="100" w:type="dxa"/>
              <w:right w:w="20" w:type="dxa"/>
            </w:tcMar>
            <w:vAlign w:val="bottom"/>
          </w:tcPr>
          <w:p w14:paraId="50FBB61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13.33</w:t>
            </w:r>
          </w:p>
        </w:tc>
      </w:tr>
      <w:tr w:rsidR="00413978" w14:paraId="7726E8F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BE40C1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Melecta</w:t>
            </w:r>
            <w:proofErr w:type="spellEnd"/>
            <w:r>
              <w:rPr>
                <w:rFonts w:ascii="Times New Roman" w:eastAsia="Times New Roman" w:hAnsi="Times New Roman" w:cs="Times New Roman"/>
                <w:sz w:val="22"/>
                <w:szCs w:val="22"/>
              </w:rPr>
              <w:t xml:space="preserve"> separata</w:t>
            </w:r>
          </w:p>
        </w:tc>
        <w:tc>
          <w:tcPr>
            <w:tcW w:w="1410" w:type="dxa"/>
            <w:tcBorders>
              <w:top w:val="nil"/>
              <w:left w:val="nil"/>
              <w:bottom w:val="nil"/>
              <w:right w:val="nil"/>
            </w:tcBorders>
            <w:tcMar>
              <w:top w:w="20" w:type="dxa"/>
              <w:left w:w="20" w:type="dxa"/>
              <w:bottom w:w="100" w:type="dxa"/>
              <w:right w:w="20" w:type="dxa"/>
            </w:tcMar>
            <w:vAlign w:val="bottom"/>
          </w:tcPr>
          <w:p w14:paraId="16B18B1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431503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w:t>
            </w:r>
          </w:p>
        </w:tc>
        <w:tc>
          <w:tcPr>
            <w:tcW w:w="1568" w:type="dxa"/>
            <w:tcBorders>
              <w:top w:val="nil"/>
              <w:left w:val="nil"/>
              <w:bottom w:val="nil"/>
              <w:right w:val="nil"/>
            </w:tcBorders>
            <w:tcMar>
              <w:top w:w="20" w:type="dxa"/>
              <w:left w:w="20" w:type="dxa"/>
              <w:bottom w:w="100" w:type="dxa"/>
              <w:right w:w="20" w:type="dxa"/>
            </w:tcMar>
            <w:vAlign w:val="bottom"/>
          </w:tcPr>
          <w:p w14:paraId="62E0030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6E23A8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FED26D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7F7C3F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1DA1A93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AC482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Melissodes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lupinus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FCE836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0949EC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09CECC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F343AA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1BAE0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94455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191968F"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DE4577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Melissodes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lustrus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BFCB0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80335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41</w:t>
            </w:r>
          </w:p>
        </w:tc>
        <w:tc>
          <w:tcPr>
            <w:tcW w:w="1568" w:type="dxa"/>
            <w:tcBorders>
              <w:top w:val="nil"/>
              <w:left w:val="nil"/>
              <w:bottom w:val="nil"/>
              <w:right w:val="nil"/>
            </w:tcBorders>
            <w:tcMar>
              <w:top w:w="20" w:type="dxa"/>
              <w:left w:w="20" w:type="dxa"/>
              <w:bottom w:w="100" w:type="dxa"/>
              <w:right w:w="20" w:type="dxa"/>
            </w:tcMar>
            <w:vAlign w:val="bottom"/>
          </w:tcPr>
          <w:p w14:paraId="3E3431D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36A12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75588B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76A3C2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1A92B1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94993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Melissodes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stearnsi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6BB3E3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84D8A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1D10DB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5C080C3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BC9283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F18B37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03232A25"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1E6721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Melissodes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tepidus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0B47FD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798B1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123</w:t>
            </w:r>
          </w:p>
        </w:tc>
        <w:tc>
          <w:tcPr>
            <w:tcW w:w="1568" w:type="dxa"/>
            <w:tcBorders>
              <w:top w:val="nil"/>
              <w:left w:val="nil"/>
              <w:bottom w:val="nil"/>
              <w:right w:val="nil"/>
            </w:tcBorders>
            <w:tcMar>
              <w:top w:w="20" w:type="dxa"/>
              <w:left w:w="20" w:type="dxa"/>
              <w:bottom w:w="100" w:type="dxa"/>
              <w:right w:w="20" w:type="dxa"/>
            </w:tcMar>
            <w:vAlign w:val="bottom"/>
          </w:tcPr>
          <w:p w14:paraId="17EA9BF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3.00</w:t>
            </w:r>
          </w:p>
        </w:tc>
        <w:tc>
          <w:tcPr>
            <w:tcW w:w="581" w:type="dxa"/>
            <w:tcBorders>
              <w:top w:val="nil"/>
              <w:left w:val="nil"/>
              <w:bottom w:val="nil"/>
              <w:right w:val="nil"/>
            </w:tcBorders>
            <w:tcMar>
              <w:top w:w="20" w:type="dxa"/>
              <w:left w:w="20" w:type="dxa"/>
              <w:bottom w:w="100" w:type="dxa"/>
              <w:right w:w="20" w:type="dxa"/>
            </w:tcMar>
            <w:vAlign w:val="bottom"/>
          </w:tcPr>
          <w:p w14:paraId="1E6ECC1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B987B6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8.55</w:t>
            </w:r>
          </w:p>
        </w:tc>
        <w:tc>
          <w:tcPr>
            <w:tcW w:w="1450" w:type="dxa"/>
            <w:tcBorders>
              <w:top w:val="nil"/>
              <w:left w:val="nil"/>
              <w:bottom w:val="nil"/>
              <w:right w:val="nil"/>
            </w:tcBorders>
            <w:shd w:val="clear" w:color="auto" w:fill="F7FAFB"/>
            <w:tcMar>
              <w:top w:w="20" w:type="dxa"/>
              <w:left w:w="20" w:type="dxa"/>
              <w:bottom w:w="100" w:type="dxa"/>
              <w:right w:w="20" w:type="dxa"/>
            </w:tcMar>
            <w:vAlign w:val="bottom"/>
          </w:tcPr>
          <w:p w14:paraId="43C1F6B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3.00</w:t>
            </w:r>
          </w:p>
        </w:tc>
      </w:tr>
      <w:tr w:rsidR="00413978" w14:paraId="7AB8BB4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71488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Nomada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edwardsii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9C4DBF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038225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448A74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EB610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99A765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5BBA51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751EB6F"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BF5191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Nomada</w:t>
            </w:r>
            <w:proofErr w:type="spellEnd"/>
            <w:r>
              <w:rPr>
                <w:rFonts w:ascii="Times New Roman" w:eastAsia="Times New Roman" w:hAnsi="Times New Roman" w:cs="Times New Roman"/>
                <w:sz w:val="22"/>
                <w:szCs w:val="22"/>
              </w:rPr>
              <w:t xml:space="preserve"> formula</w:t>
            </w:r>
          </w:p>
        </w:tc>
        <w:tc>
          <w:tcPr>
            <w:tcW w:w="1410" w:type="dxa"/>
            <w:tcBorders>
              <w:top w:val="nil"/>
              <w:left w:val="nil"/>
              <w:bottom w:val="nil"/>
              <w:right w:val="nil"/>
            </w:tcBorders>
            <w:tcMar>
              <w:top w:w="20" w:type="dxa"/>
              <w:left w:w="20" w:type="dxa"/>
              <w:bottom w:w="100" w:type="dxa"/>
              <w:right w:w="20" w:type="dxa"/>
            </w:tcMar>
            <w:vAlign w:val="bottom"/>
          </w:tcPr>
          <w:p w14:paraId="24D044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4E93DF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104</w:t>
            </w:r>
          </w:p>
        </w:tc>
        <w:tc>
          <w:tcPr>
            <w:tcW w:w="1568" w:type="dxa"/>
            <w:tcBorders>
              <w:top w:val="nil"/>
              <w:left w:val="nil"/>
              <w:bottom w:val="nil"/>
              <w:right w:val="nil"/>
            </w:tcBorders>
            <w:tcMar>
              <w:top w:w="20" w:type="dxa"/>
              <w:left w:w="20" w:type="dxa"/>
              <w:bottom w:w="100" w:type="dxa"/>
              <w:right w:w="20" w:type="dxa"/>
            </w:tcMar>
            <w:vAlign w:val="bottom"/>
          </w:tcPr>
          <w:p w14:paraId="62FB98A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691D24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E0F16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3D757D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6F1B5C02"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CC1E5B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Nomada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hesperia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596F9B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BF5F56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05D580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6A9CC10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AA58CB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C13652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4C387CF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7A59B5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Nomada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semisuavis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744E73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96712E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568" w:type="dxa"/>
            <w:tcBorders>
              <w:top w:val="nil"/>
              <w:left w:val="nil"/>
              <w:bottom w:val="nil"/>
              <w:right w:val="nil"/>
            </w:tcBorders>
            <w:tcMar>
              <w:top w:w="20" w:type="dxa"/>
              <w:left w:w="20" w:type="dxa"/>
              <w:bottom w:w="100" w:type="dxa"/>
              <w:right w:w="20" w:type="dxa"/>
            </w:tcMar>
            <w:vAlign w:val="bottom"/>
          </w:tcPr>
          <w:p w14:paraId="724E08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6A17BF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C1E893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A835A9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223F053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E1F35E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Nomada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suavis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E6473E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EC0391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F5B1A1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2.33</w:t>
            </w:r>
          </w:p>
        </w:tc>
        <w:tc>
          <w:tcPr>
            <w:tcW w:w="581" w:type="dxa"/>
            <w:tcBorders>
              <w:top w:val="nil"/>
              <w:left w:val="nil"/>
              <w:bottom w:val="nil"/>
              <w:right w:val="nil"/>
            </w:tcBorders>
            <w:tcMar>
              <w:top w:w="20" w:type="dxa"/>
              <w:left w:w="20" w:type="dxa"/>
              <w:bottom w:w="100" w:type="dxa"/>
              <w:right w:w="20" w:type="dxa"/>
            </w:tcMar>
            <w:vAlign w:val="bottom"/>
          </w:tcPr>
          <w:p w14:paraId="450401F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5CC9AB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6.65</w:t>
            </w:r>
          </w:p>
        </w:tc>
        <w:tc>
          <w:tcPr>
            <w:tcW w:w="1450" w:type="dxa"/>
            <w:tcBorders>
              <w:top w:val="nil"/>
              <w:left w:val="nil"/>
              <w:bottom w:val="nil"/>
              <w:right w:val="nil"/>
            </w:tcBorders>
            <w:shd w:val="clear" w:color="auto" w:fill="F8FBFC"/>
            <w:tcMar>
              <w:top w:w="20" w:type="dxa"/>
              <w:left w:w="20" w:type="dxa"/>
              <w:bottom w:w="100" w:type="dxa"/>
              <w:right w:w="20" w:type="dxa"/>
            </w:tcMar>
            <w:vAlign w:val="bottom"/>
          </w:tcPr>
          <w:p w14:paraId="5557BEC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2.33</w:t>
            </w:r>
          </w:p>
        </w:tc>
      </w:tr>
      <w:tr w:rsidR="00413978" w14:paraId="740CB95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6B864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Triepeolus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utahensis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AF83C5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02EB72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104</w:t>
            </w:r>
          </w:p>
        </w:tc>
        <w:tc>
          <w:tcPr>
            <w:tcW w:w="1568" w:type="dxa"/>
            <w:tcBorders>
              <w:top w:val="nil"/>
              <w:left w:val="nil"/>
              <w:bottom w:val="nil"/>
              <w:right w:val="nil"/>
            </w:tcBorders>
            <w:tcMar>
              <w:top w:w="20" w:type="dxa"/>
              <w:left w:w="20" w:type="dxa"/>
              <w:bottom w:w="100" w:type="dxa"/>
              <w:right w:w="20" w:type="dxa"/>
            </w:tcMar>
            <w:vAlign w:val="bottom"/>
          </w:tcPr>
          <w:p w14:paraId="0B3466A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7453AD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93C78D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FF5641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71801D1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72F1E4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lastRenderedPageBreak/>
              <w:t>Brachymelecta</w:t>
            </w:r>
            <w:proofErr w:type="spellEnd"/>
            <w:r>
              <w:rPr>
                <w:rFonts w:ascii="Times New Roman" w:eastAsia="Times New Roman" w:hAnsi="Times New Roman" w:cs="Times New Roman"/>
                <w:sz w:val="22"/>
                <w:szCs w:val="22"/>
              </w:rPr>
              <w:t xml:space="preserve"> californica</w:t>
            </w:r>
          </w:p>
        </w:tc>
        <w:tc>
          <w:tcPr>
            <w:tcW w:w="1410" w:type="dxa"/>
            <w:tcBorders>
              <w:top w:val="nil"/>
              <w:left w:val="nil"/>
              <w:bottom w:val="nil"/>
              <w:right w:val="nil"/>
            </w:tcBorders>
            <w:tcMar>
              <w:top w:w="20" w:type="dxa"/>
              <w:left w:w="20" w:type="dxa"/>
              <w:bottom w:w="100" w:type="dxa"/>
              <w:right w:w="20" w:type="dxa"/>
            </w:tcMar>
            <w:vAlign w:val="bottom"/>
          </w:tcPr>
          <w:p w14:paraId="55A9D51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6F600B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2AE9F8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02B10D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F31687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CFCFF"/>
            <w:tcMar>
              <w:top w:w="20" w:type="dxa"/>
              <w:left w:w="20" w:type="dxa"/>
              <w:bottom w:w="100" w:type="dxa"/>
              <w:right w:w="20" w:type="dxa"/>
            </w:tcMar>
            <w:vAlign w:val="bottom"/>
          </w:tcPr>
          <w:p w14:paraId="0582443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2A33ED4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AE9DC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Colletes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hyalinus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8C26A3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571129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DE2686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1CBC01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095CEB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E27DC1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1AC5C1E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52315C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Colletes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kincaidii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E06E31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9437A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CACEB4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0CAFE8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6924A1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53058A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BB2F32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FACED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Colletes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slevini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82EDE5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91398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FC05C9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1AC847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26295E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1B1CD20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CED3E0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B25D8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Hylaeus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mesillae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5E265F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696DF8E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3AF3EAF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3A8A3FD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4C06F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CFCFF"/>
            <w:tcMar>
              <w:top w:w="20" w:type="dxa"/>
              <w:left w:w="20" w:type="dxa"/>
              <w:bottom w:w="100" w:type="dxa"/>
              <w:right w:w="20" w:type="dxa"/>
            </w:tcMar>
            <w:vAlign w:val="bottom"/>
          </w:tcPr>
          <w:p w14:paraId="4583660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56B5462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470A00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Hylaeus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polifolii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FB8FDF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36F303F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3EC90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573097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93E8DD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CFCFF"/>
            <w:tcMar>
              <w:top w:w="20" w:type="dxa"/>
              <w:left w:w="20" w:type="dxa"/>
              <w:bottom w:w="100" w:type="dxa"/>
              <w:right w:w="20" w:type="dxa"/>
            </w:tcMar>
            <w:vAlign w:val="bottom"/>
          </w:tcPr>
          <w:p w14:paraId="1FD5589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1564F00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350BB6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Hylaeus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rudbeckiae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B314C1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D40A54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7411C25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858DE1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44C0C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475C72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D9C047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C5897A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Agapostemon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texanus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DBFB9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w:t>
            </w:r>
          </w:p>
        </w:tc>
        <w:tc>
          <w:tcPr>
            <w:tcW w:w="1331" w:type="dxa"/>
            <w:tcBorders>
              <w:top w:val="nil"/>
              <w:left w:val="nil"/>
              <w:bottom w:val="nil"/>
              <w:right w:val="nil"/>
            </w:tcBorders>
            <w:tcMar>
              <w:top w:w="20" w:type="dxa"/>
              <w:left w:w="20" w:type="dxa"/>
              <w:bottom w:w="100" w:type="dxa"/>
              <w:right w:w="20" w:type="dxa"/>
            </w:tcMar>
            <w:vAlign w:val="bottom"/>
          </w:tcPr>
          <w:p w14:paraId="4F4E04B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7F1774A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31.00</w:t>
            </w:r>
          </w:p>
        </w:tc>
        <w:tc>
          <w:tcPr>
            <w:tcW w:w="581" w:type="dxa"/>
            <w:tcBorders>
              <w:top w:val="nil"/>
              <w:left w:val="nil"/>
              <w:bottom w:val="nil"/>
              <w:right w:val="nil"/>
            </w:tcBorders>
            <w:tcMar>
              <w:top w:w="20" w:type="dxa"/>
              <w:left w:w="20" w:type="dxa"/>
              <w:bottom w:w="100" w:type="dxa"/>
              <w:right w:w="20" w:type="dxa"/>
            </w:tcMar>
            <w:vAlign w:val="bottom"/>
          </w:tcPr>
          <w:p w14:paraId="41E265B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15.25</w:t>
            </w:r>
          </w:p>
        </w:tc>
        <w:tc>
          <w:tcPr>
            <w:tcW w:w="591" w:type="dxa"/>
            <w:tcBorders>
              <w:top w:val="nil"/>
              <w:left w:val="nil"/>
              <w:bottom w:val="nil"/>
              <w:right w:val="nil"/>
            </w:tcBorders>
            <w:tcMar>
              <w:top w:w="20" w:type="dxa"/>
              <w:left w:w="20" w:type="dxa"/>
              <w:bottom w:w="100" w:type="dxa"/>
              <w:right w:w="20" w:type="dxa"/>
            </w:tcMar>
            <w:vAlign w:val="bottom"/>
          </w:tcPr>
          <w:p w14:paraId="2565B2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56.10</w:t>
            </w:r>
          </w:p>
        </w:tc>
        <w:tc>
          <w:tcPr>
            <w:tcW w:w="1450" w:type="dxa"/>
            <w:tcBorders>
              <w:top w:val="nil"/>
              <w:left w:val="nil"/>
              <w:bottom w:val="nil"/>
              <w:right w:val="nil"/>
            </w:tcBorders>
            <w:shd w:val="clear" w:color="auto" w:fill="E7F4ED"/>
            <w:tcMar>
              <w:top w:w="20" w:type="dxa"/>
              <w:left w:w="20" w:type="dxa"/>
              <w:bottom w:w="100" w:type="dxa"/>
              <w:right w:w="20" w:type="dxa"/>
            </w:tcMar>
            <w:vAlign w:val="bottom"/>
          </w:tcPr>
          <w:p w14:paraId="498E92A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15.00</w:t>
            </w:r>
          </w:p>
        </w:tc>
      </w:tr>
      <w:tr w:rsidR="00413978" w14:paraId="6EBE28D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5649BE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Augochlorella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pomoniella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FBECA9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w:t>
            </w:r>
          </w:p>
        </w:tc>
        <w:tc>
          <w:tcPr>
            <w:tcW w:w="1331" w:type="dxa"/>
            <w:tcBorders>
              <w:top w:val="nil"/>
              <w:left w:val="nil"/>
              <w:bottom w:val="nil"/>
              <w:right w:val="nil"/>
            </w:tcBorders>
            <w:tcMar>
              <w:top w:w="20" w:type="dxa"/>
              <w:left w:w="20" w:type="dxa"/>
              <w:bottom w:w="100" w:type="dxa"/>
              <w:right w:w="20" w:type="dxa"/>
            </w:tcMar>
            <w:vAlign w:val="bottom"/>
          </w:tcPr>
          <w:p w14:paraId="356F91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43352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32.00</w:t>
            </w:r>
          </w:p>
        </w:tc>
        <w:tc>
          <w:tcPr>
            <w:tcW w:w="581" w:type="dxa"/>
            <w:tcBorders>
              <w:top w:val="nil"/>
              <w:left w:val="nil"/>
              <w:bottom w:val="nil"/>
              <w:right w:val="nil"/>
            </w:tcBorders>
            <w:tcMar>
              <w:top w:w="20" w:type="dxa"/>
              <w:left w:w="20" w:type="dxa"/>
              <w:bottom w:w="100" w:type="dxa"/>
              <w:right w:w="20" w:type="dxa"/>
            </w:tcMar>
            <w:vAlign w:val="bottom"/>
          </w:tcPr>
          <w:p w14:paraId="0FDE2C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12.40</w:t>
            </w:r>
          </w:p>
        </w:tc>
        <w:tc>
          <w:tcPr>
            <w:tcW w:w="591" w:type="dxa"/>
            <w:tcBorders>
              <w:top w:val="nil"/>
              <w:left w:val="nil"/>
              <w:bottom w:val="nil"/>
              <w:right w:val="nil"/>
            </w:tcBorders>
            <w:tcMar>
              <w:top w:w="20" w:type="dxa"/>
              <w:left w:w="20" w:type="dxa"/>
              <w:bottom w:w="100" w:type="dxa"/>
              <w:right w:w="20" w:type="dxa"/>
            </w:tcMar>
            <w:vAlign w:val="bottom"/>
          </w:tcPr>
          <w:p w14:paraId="596134C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61.80</w:t>
            </w:r>
          </w:p>
        </w:tc>
        <w:tc>
          <w:tcPr>
            <w:tcW w:w="1450" w:type="dxa"/>
            <w:tcBorders>
              <w:top w:val="nil"/>
              <w:left w:val="nil"/>
              <w:bottom w:val="nil"/>
              <w:right w:val="nil"/>
            </w:tcBorders>
            <w:shd w:val="clear" w:color="auto" w:fill="E0F1E7"/>
            <w:tcMar>
              <w:top w:w="20" w:type="dxa"/>
              <w:left w:w="20" w:type="dxa"/>
              <w:bottom w:w="100" w:type="dxa"/>
              <w:right w:w="20" w:type="dxa"/>
            </w:tcMar>
            <w:vAlign w:val="bottom"/>
          </w:tcPr>
          <w:p w14:paraId="0131CE2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20.00</w:t>
            </w:r>
          </w:p>
        </w:tc>
      </w:tr>
      <w:tr w:rsidR="00413978" w14:paraId="0AF1923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031EA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Halictus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farinosus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6038AD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w:t>
            </w:r>
          </w:p>
        </w:tc>
        <w:tc>
          <w:tcPr>
            <w:tcW w:w="1331" w:type="dxa"/>
            <w:tcBorders>
              <w:top w:val="nil"/>
              <w:left w:val="nil"/>
              <w:bottom w:val="nil"/>
              <w:right w:val="nil"/>
            </w:tcBorders>
            <w:tcMar>
              <w:top w:w="20" w:type="dxa"/>
              <w:left w:w="20" w:type="dxa"/>
              <w:bottom w:w="100" w:type="dxa"/>
              <w:right w:w="20" w:type="dxa"/>
            </w:tcMar>
            <w:vAlign w:val="bottom"/>
          </w:tcPr>
          <w:p w14:paraId="30F23E3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8496AD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35.67</w:t>
            </w:r>
          </w:p>
        </w:tc>
        <w:tc>
          <w:tcPr>
            <w:tcW w:w="581" w:type="dxa"/>
            <w:tcBorders>
              <w:top w:val="nil"/>
              <w:left w:val="nil"/>
              <w:bottom w:val="nil"/>
              <w:right w:val="nil"/>
            </w:tcBorders>
            <w:tcMar>
              <w:top w:w="20" w:type="dxa"/>
              <w:left w:w="20" w:type="dxa"/>
              <w:bottom w:w="100" w:type="dxa"/>
              <w:right w:w="20" w:type="dxa"/>
            </w:tcMar>
            <w:vAlign w:val="bottom"/>
          </w:tcPr>
          <w:p w14:paraId="1395AAE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10.65</w:t>
            </w:r>
          </w:p>
        </w:tc>
        <w:tc>
          <w:tcPr>
            <w:tcW w:w="591" w:type="dxa"/>
            <w:tcBorders>
              <w:top w:val="nil"/>
              <w:left w:val="nil"/>
              <w:bottom w:val="nil"/>
              <w:right w:val="nil"/>
            </w:tcBorders>
            <w:tcMar>
              <w:top w:w="20" w:type="dxa"/>
              <w:left w:w="20" w:type="dxa"/>
              <w:bottom w:w="100" w:type="dxa"/>
              <w:right w:w="20" w:type="dxa"/>
            </w:tcMar>
            <w:vAlign w:val="bottom"/>
          </w:tcPr>
          <w:p w14:paraId="6FCA3B1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71.45</w:t>
            </w:r>
          </w:p>
        </w:tc>
        <w:tc>
          <w:tcPr>
            <w:tcW w:w="1450" w:type="dxa"/>
            <w:tcBorders>
              <w:top w:val="nil"/>
              <w:left w:val="nil"/>
              <w:bottom w:val="nil"/>
              <w:right w:val="nil"/>
            </w:tcBorders>
            <w:shd w:val="clear" w:color="auto" w:fill="D8EEE0"/>
            <w:tcMar>
              <w:top w:w="20" w:type="dxa"/>
              <w:left w:w="20" w:type="dxa"/>
              <w:bottom w:w="100" w:type="dxa"/>
              <w:right w:w="20" w:type="dxa"/>
            </w:tcMar>
            <w:vAlign w:val="bottom"/>
          </w:tcPr>
          <w:p w14:paraId="3C4A56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25.67</w:t>
            </w:r>
          </w:p>
        </w:tc>
      </w:tr>
      <w:tr w:rsidR="00413978" w14:paraId="266B24E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083900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Halictus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harmonius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239A8B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90A99F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123</w:t>
            </w:r>
          </w:p>
        </w:tc>
        <w:tc>
          <w:tcPr>
            <w:tcW w:w="1568" w:type="dxa"/>
            <w:tcBorders>
              <w:top w:val="nil"/>
              <w:left w:val="nil"/>
              <w:bottom w:val="nil"/>
              <w:right w:val="nil"/>
            </w:tcBorders>
            <w:tcMar>
              <w:top w:w="20" w:type="dxa"/>
              <w:left w:w="20" w:type="dxa"/>
              <w:bottom w:w="100" w:type="dxa"/>
              <w:right w:w="20" w:type="dxa"/>
            </w:tcMar>
            <w:vAlign w:val="bottom"/>
          </w:tcPr>
          <w:p w14:paraId="26C2AED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15BA71E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CB0982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DCA56A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009E4E2F"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77287E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Halictus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ligatus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FD4A3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9</w:t>
            </w:r>
          </w:p>
        </w:tc>
        <w:tc>
          <w:tcPr>
            <w:tcW w:w="1331" w:type="dxa"/>
            <w:tcBorders>
              <w:top w:val="nil"/>
              <w:left w:val="nil"/>
              <w:bottom w:val="nil"/>
              <w:right w:val="nil"/>
            </w:tcBorders>
            <w:tcMar>
              <w:top w:w="20" w:type="dxa"/>
              <w:left w:w="20" w:type="dxa"/>
              <w:bottom w:w="100" w:type="dxa"/>
              <w:right w:w="20" w:type="dxa"/>
            </w:tcMar>
            <w:vAlign w:val="bottom"/>
          </w:tcPr>
          <w:p w14:paraId="1B97058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0BBBC7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17.67</w:t>
            </w:r>
          </w:p>
        </w:tc>
        <w:tc>
          <w:tcPr>
            <w:tcW w:w="581" w:type="dxa"/>
            <w:tcBorders>
              <w:top w:val="nil"/>
              <w:left w:val="nil"/>
              <w:bottom w:val="nil"/>
              <w:right w:val="nil"/>
            </w:tcBorders>
            <w:tcMar>
              <w:top w:w="20" w:type="dxa"/>
              <w:left w:w="20" w:type="dxa"/>
              <w:bottom w:w="100" w:type="dxa"/>
              <w:right w:w="20" w:type="dxa"/>
            </w:tcMar>
            <w:vAlign w:val="bottom"/>
          </w:tcPr>
          <w:p w14:paraId="3DCE960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8.10</w:t>
            </w:r>
          </w:p>
        </w:tc>
        <w:tc>
          <w:tcPr>
            <w:tcW w:w="591" w:type="dxa"/>
            <w:tcBorders>
              <w:top w:val="nil"/>
              <w:left w:val="nil"/>
              <w:bottom w:val="nil"/>
              <w:right w:val="nil"/>
            </w:tcBorders>
            <w:tcMar>
              <w:top w:w="20" w:type="dxa"/>
              <w:left w:w="20" w:type="dxa"/>
              <w:bottom w:w="100" w:type="dxa"/>
              <w:right w:w="20" w:type="dxa"/>
            </w:tcMar>
            <w:vAlign w:val="bottom"/>
          </w:tcPr>
          <w:p w14:paraId="395F7A5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33.75</w:t>
            </w:r>
          </w:p>
        </w:tc>
        <w:tc>
          <w:tcPr>
            <w:tcW w:w="1450" w:type="dxa"/>
            <w:tcBorders>
              <w:top w:val="nil"/>
              <w:left w:val="nil"/>
              <w:bottom w:val="nil"/>
              <w:right w:val="nil"/>
            </w:tcBorders>
            <w:shd w:val="clear" w:color="auto" w:fill="EFF7F4"/>
            <w:tcMar>
              <w:top w:w="20" w:type="dxa"/>
              <w:left w:w="20" w:type="dxa"/>
              <w:bottom w:w="100" w:type="dxa"/>
              <w:right w:w="20" w:type="dxa"/>
            </w:tcMar>
            <w:vAlign w:val="bottom"/>
          </w:tcPr>
          <w:p w14:paraId="1EE635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8.67</w:t>
            </w:r>
          </w:p>
        </w:tc>
      </w:tr>
      <w:tr w:rsidR="00413978" w14:paraId="0BB635E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42A11C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Halictus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rubicundus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CF8DBA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210861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6EF4FF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81" w:type="dxa"/>
            <w:tcBorders>
              <w:top w:val="nil"/>
              <w:left w:val="nil"/>
              <w:bottom w:val="nil"/>
              <w:right w:val="nil"/>
            </w:tcBorders>
            <w:tcMar>
              <w:top w:w="20" w:type="dxa"/>
              <w:left w:w="20" w:type="dxa"/>
              <w:bottom w:w="100" w:type="dxa"/>
              <w:right w:w="20" w:type="dxa"/>
            </w:tcMar>
            <w:vAlign w:val="bottom"/>
          </w:tcPr>
          <w:p w14:paraId="47ECD9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45934E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2.85</w:t>
            </w:r>
          </w:p>
        </w:tc>
        <w:tc>
          <w:tcPr>
            <w:tcW w:w="1450" w:type="dxa"/>
            <w:tcBorders>
              <w:top w:val="nil"/>
              <w:left w:val="nil"/>
              <w:bottom w:val="nil"/>
              <w:right w:val="nil"/>
            </w:tcBorders>
            <w:shd w:val="clear" w:color="auto" w:fill="FAFBFD"/>
            <w:tcMar>
              <w:top w:w="20" w:type="dxa"/>
              <w:left w:w="20" w:type="dxa"/>
              <w:bottom w:w="100" w:type="dxa"/>
              <w:right w:w="20" w:type="dxa"/>
            </w:tcMar>
            <w:vAlign w:val="bottom"/>
          </w:tcPr>
          <w:p w14:paraId="4D4FDBF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69ABF04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83D8D1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Halictus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tripartitus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C5BA15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w:t>
            </w:r>
          </w:p>
        </w:tc>
        <w:tc>
          <w:tcPr>
            <w:tcW w:w="1331" w:type="dxa"/>
            <w:tcBorders>
              <w:top w:val="nil"/>
              <w:left w:val="nil"/>
              <w:bottom w:val="nil"/>
              <w:right w:val="nil"/>
            </w:tcBorders>
            <w:tcMar>
              <w:top w:w="20" w:type="dxa"/>
              <w:left w:w="20" w:type="dxa"/>
              <w:bottom w:w="100" w:type="dxa"/>
              <w:right w:w="20" w:type="dxa"/>
            </w:tcMar>
            <w:vAlign w:val="bottom"/>
          </w:tcPr>
          <w:p w14:paraId="0248B67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3A8B8C8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34.67</w:t>
            </w:r>
          </w:p>
        </w:tc>
        <w:tc>
          <w:tcPr>
            <w:tcW w:w="581" w:type="dxa"/>
            <w:tcBorders>
              <w:top w:val="nil"/>
              <w:left w:val="nil"/>
              <w:bottom w:val="nil"/>
              <w:right w:val="nil"/>
            </w:tcBorders>
            <w:tcMar>
              <w:top w:w="20" w:type="dxa"/>
              <w:left w:w="20" w:type="dxa"/>
              <w:bottom w:w="100" w:type="dxa"/>
              <w:right w:w="20" w:type="dxa"/>
            </w:tcMar>
            <w:vAlign w:val="bottom"/>
          </w:tcPr>
          <w:p w14:paraId="169AE67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16.30</w:t>
            </w:r>
          </w:p>
        </w:tc>
        <w:tc>
          <w:tcPr>
            <w:tcW w:w="591" w:type="dxa"/>
            <w:tcBorders>
              <w:top w:val="nil"/>
              <w:left w:val="nil"/>
              <w:bottom w:val="nil"/>
              <w:right w:val="nil"/>
            </w:tcBorders>
            <w:tcMar>
              <w:top w:w="20" w:type="dxa"/>
              <w:left w:w="20" w:type="dxa"/>
              <w:bottom w:w="100" w:type="dxa"/>
              <w:right w:w="20" w:type="dxa"/>
            </w:tcMar>
            <w:vAlign w:val="bottom"/>
          </w:tcPr>
          <w:p w14:paraId="4F8868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63.80</w:t>
            </w:r>
          </w:p>
        </w:tc>
        <w:tc>
          <w:tcPr>
            <w:tcW w:w="1450" w:type="dxa"/>
            <w:tcBorders>
              <w:top w:val="nil"/>
              <w:left w:val="nil"/>
              <w:bottom w:val="nil"/>
              <w:right w:val="nil"/>
            </w:tcBorders>
            <w:shd w:val="clear" w:color="auto" w:fill="E6F3EC"/>
            <w:tcMar>
              <w:top w:w="20" w:type="dxa"/>
              <w:left w:w="20" w:type="dxa"/>
              <w:bottom w:w="100" w:type="dxa"/>
              <w:right w:w="20" w:type="dxa"/>
            </w:tcMar>
            <w:vAlign w:val="bottom"/>
          </w:tcPr>
          <w:p w14:paraId="3F2781D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15.67</w:t>
            </w:r>
          </w:p>
        </w:tc>
      </w:tr>
      <w:tr w:rsidR="00413978" w14:paraId="5050D0B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42D232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albohirtum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2AAE08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074152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1568" w:type="dxa"/>
            <w:tcBorders>
              <w:top w:val="nil"/>
              <w:left w:val="nil"/>
              <w:bottom w:val="nil"/>
              <w:right w:val="nil"/>
            </w:tcBorders>
            <w:tcMar>
              <w:top w:w="20" w:type="dxa"/>
              <w:left w:w="20" w:type="dxa"/>
              <w:bottom w:w="100" w:type="dxa"/>
              <w:right w:w="20" w:type="dxa"/>
            </w:tcMar>
            <w:vAlign w:val="bottom"/>
          </w:tcPr>
          <w:p w14:paraId="005B390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6A88C0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B11BC6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274A7A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22511BE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764D46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argemonis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23559E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3C778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104</w:t>
            </w:r>
          </w:p>
        </w:tc>
        <w:tc>
          <w:tcPr>
            <w:tcW w:w="1568" w:type="dxa"/>
            <w:tcBorders>
              <w:top w:val="nil"/>
              <w:left w:val="nil"/>
              <w:bottom w:val="nil"/>
              <w:right w:val="nil"/>
            </w:tcBorders>
            <w:tcMar>
              <w:top w:w="20" w:type="dxa"/>
              <w:left w:w="20" w:type="dxa"/>
              <w:bottom w:w="100" w:type="dxa"/>
              <w:right w:w="20" w:type="dxa"/>
            </w:tcMar>
            <w:vAlign w:val="bottom"/>
          </w:tcPr>
          <w:p w14:paraId="2671D73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85A57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CCE953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C401AC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8C0BD0E"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CA8BA0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avalonense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FF44B4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9F7810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71E053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5BC069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955E4B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F33FEB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55F499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52189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brunneiventre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2AA445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90C05A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0D40FDC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153B0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299963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925ACB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27210DB2"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397C5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cabrilli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08C4B6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135608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7C5A23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4.00</w:t>
            </w:r>
          </w:p>
        </w:tc>
        <w:tc>
          <w:tcPr>
            <w:tcW w:w="581" w:type="dxa"/>
            <w:tcBorders>
              <w:top w:val="nil"/>
              <w:left w:val="nil"/>
              <w:bottom w:val="nil"/>
              <w:right w:val="nil"/>
            </w:tcBorders>
            <w:tcMar>
              <w:top w:w="20" w:type="dxa"/>
              <w:left w:w="20" w:type="dxa"/>
              <w:bottom w:w="100" w:type="dxa"/>
              <w:right w:w="20" w:type="dxa"/>
            </w:tcMar>
            <w:vAlign w:val="bottom"/>
          </w:tcPr>
          <w:p w14:paraId="53EC08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114696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11.40</w:t>
            </w:r>
          </w:p>
        </w:tc>
        <w:tc>
          <w:tcPr>
            <w:tcW w:w="1450" w:type="dxa"/>
            <w:tcBorders>
              <w:top w:val="nil"/>
              <w:left w:val="nil"/>
              <w:bottom w:val="nil"/>
              <w:right w:val="nil"/>
            </w:tcBorders>
            <w:shd w:val="clear" w:color="auto" w:fill="F6FAFA"/>
            <w:tcMar>
              <w:top w:w="20" w:type="dxa"/>
              <w:left w:w="20" w:type="dxa"/>
              <w:bottom w:w="100" w:type="dxa"/>
              <w:right w:w="20" w:type="dxa"/>
            </w:tcMar>
            <w:vAlign w:val="bottom"/>
          </w:tcPr>
          <w:p w14:paraId="271D39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4.00</w:t>
            </w:r>
          </w:p>
        </w:tc>
      </w:tr>
      <w:tr w:rsidR="00413978" w14:paraId="406E033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A1724D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californiae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4ECB79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84B651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w:t>
            </w:r>
          </w:p>
        </w:tc>
        <w:tc>
          <w:tcPr>
            <w:tcW w:w="1568" w:type="dxa"/>
            <w:tcBorders>
              <w:top w:val="nil"/>
              <w:left w:val="nil"/>
              <w:bottom w:val="nil"/>
              <w:right w:val="nil"/>
            </w:tcBorders>
            <w:tcMar>
              <w:top w:w="20" w:type="dxa"/>
              <w:left w:w="20" w:type="dxa"/>
              <w:bottom w:w="100" w:type="dxa"/>
              <w:right w:w="20" w:type="dxa"/>
            </w:tcMar>
            <w:vAlign w:val="bottom"/>
          </w:tcPr>
          <w:p w14:paraId="6F71B8E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8D08E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3FD70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CDDB4C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E8CE22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77D96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channelense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80326E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BF76E0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E4549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320B10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835107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6C6AAA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2FE2575"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DCD52E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diversopunctatum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8F151B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CD79F8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70F1E8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A124AB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AC991D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1EBED5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43DFEB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AEFF27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lastRenderedPageBreak/>
              <w:t>hammondi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23492F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lastRenderedPageBreak/>
              <w:t>0</w:t>
            </w:r>
          </w:p>
        </w:tc>
        <w:tc>
          <w:tcPr>
            <w:tcW w:w="1331" w:type="dxa"/>
            <w:tcBorders>
              <w:top w:val="nil"/>
              <w:left w:val="nil"/>
              <w:bottom w:val="nil"/>
              <w:right w:val="nil"/>
            </w:tcBorders>
            <w:tcMar>
              <w:top w:w="20" w:type="dxa"/>
              <w:left w:w="20" w:type="dxa"/>
              <w:bottom w:w="100" w:type="dxa"/>
              <w:right w:w="20" w:type="dxa"/>
            </w:tcMar>
            <w:vAlign w:val="bottom"/>
          </w:tcPr>
          <w:p w14:paraId="65F71D9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437207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1E563A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82DB3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C51ABF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17EC04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96174D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hyalinum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ACD401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F208B3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0E89CDA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7A3E94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639C9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1FC922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D6B98F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6A21CE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incompletum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43CD3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C96CE5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3076E28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BDC553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EBDFD7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9B199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84F59B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3D8944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kincaidii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6BD190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F75BB9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02AB7E5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081A45D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2F717F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C5F1FB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59AB0C3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7316C7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mellipes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E1BDB4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DB8849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AC385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9E44D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66B9F6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9CEB2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ED104C9"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1FF9B5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microlepoides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5F7A6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8BE88A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08C74E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76DE21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D8859B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2E6798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AE721C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3B17D9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miguelense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B2B08E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D016EF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102</w:t>
            </w:r>
          </w:p>
        </w:tc>
        <w:tc>
          <w:tcPr>
            <w:tcW w:w="1568" w:type="dxa"/>
            <w:tcBorders>
              <w:top w:val="nil"/>
              <w:left w:val="nil"/>
              <w:bottom w:val="nil"/>
              <w:right w:val="nil"/>
            </w:tcBorders>
            <w:tcMar>
              <w:top w:w="20" w:type="dxa"/>
              <w:left w:w="20" w:type="dxa"/>
              <w:bottom w:w="100" w:type="dxa"/>
              <w:right w:w="20" w:type="dxa"/>
            </w:tcMar>
            <w:vAlign w:val="bottom"/>
          </w:tcPr>
          <w:p w14:paraId="2B0AECE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D2EEDF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C6D438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6C551F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4BEE59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007214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nevadense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C94D97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56886C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60819A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4.67</w:t>
            </w:r>
          </w:p>
        </w:tc>
        <w:tc>
          <w:tcPr>
            <w:tcW w:w="581" w:type="dxa"/>
            <w:tcBorders>
              <w:top w:val="nil"/>
              <w:left w:val="nil"/>
              <w:bottom w:val="nil"/>
              <w:right w:val="nil"/>
            </w:tcBorders>
            <w:tcMar>
              <w:top w:w="20" w:type="dxa"/>
              <w:left w:w="20" w:type="dxa"/>
              <w:bottom w:w="100" w:type="dxa"/>
              <w:right w:w="20" w:type="dxa"/>
            </w:tcMar>
            <w:vAlign w:val="bottom"/>
          </w:tcPr>
          <w:p w14:paraId="4FCCD17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F8CAC1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13.30</w:t>
            </w:r>
          </w:p>
        </w:tc>
        <w:tc>
          <w:tcPr>
            <w:tcW w:w="1450" w:type="dxa"/>
            <w:tcBorders>
              <w:top w:val="nil"/>
              <w:left w:val="nil"/>
              <w:bottom w:val="nil"/>
              <w:right w:val="nil"/>
            </w:tcBorders>
            <w:shd w:val="clear" w:color="auto" w:fill="F5F9F9"/>
            <w:tcMar>
              <w:top w:w="20" w:type="dxa"/>
              <w:left w:w="20" w:type="dxa"/>
              <w:bottom w:w="100" w:type="dxa"/>
              <w:right w:w="20" w:type="dxa"/>
            </w:tcMar>
            <w:vAlign w:val="bottom"/>
          </w:tcPr>
          <w:p w14:paraId="52B3548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4.67</w:t>
            </w:r>
          </w:p>
        </w:tc>
      </w:tr>
      <w:tr w:rsidR="00413978" w14:paraId="7310CB8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A7B635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nigrescens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A9F005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0DD97A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96</w:t>
            </w:r>
          </w:p>
        </w:tc>
        <w:tc>
          <w:tcPr>
            <w:tcW w:w="1568" w:type="dxa"/>
            <w:tcBorders>
              <w:top w:val="nil"/>
              <w:left w:val="nil"/>
              <w:bottom w:val="nil"/>
              <w:right w:val="nil"/>
            </w:tcBorders>
            <w:tcMar>
              <w:top w:w="20" w:type="dxa"/>
              <w:left w:w="20" w:type="dxa"/>
              <w:bottom w:w="100" w:type="dxa"/>
              <w:right w:w="20" w:type="dxa"/>
            </w:tcMar>
            <w:vAlign w:val="bottom"/>
          </w:tcPr>
          <w:p w14:paraId="300F870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EBD166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712347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074273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D09BCD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65D11D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ovaliceps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B828BF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7A4096A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1ADFDA7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5.00</w:t>
            </w:r>
          </w:p>
        </w:tc>
        <w:tc>
          <w:tcPr>
            <w:tcW w:w="581" w:type="dxa"/>
            <w:tcBorders>
              <w:top w:val="nil"/>
              <w:left w:val="nil"/>
              <w:bottom w:val="nil"/>
              <w:right w:val="nil"/>
            </w:tcBorders>
            <w:tcMar>
              <w:top w:w="20" w:type="dxa"/>
              <w:left w:w="20" w:type="dxa"/>
              <w:bottom w:w="100" w:type="dxa"/>
              <w:right w:w="20" w:type="dxa"/>
            </w:tcMar>
            <w:vAlign w:val="bottom"/>
          </w:tcPr>
          <w:p w14:paraId="18CD96D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2220C77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12.40</w:t>
            </w:r>
          </w:p>
        </w:tc>
        <w:tc>
          <w:tcPr>
            <w:tcW w:w="1450" w:type="dxa"/>
            <w:tcBorders>
              <w:top w:val="nil"/>
              <w:left w:val="nil"/>
              <w:bottom w:val="nil"/>
              <w:right w:val="nil"/>
            </w:tcBorders>
            <w:shd w:val="clear" w:color="auto" w:fill="F6FAFA"/>
            <w:tcMar>
              <w:top w:w="20" w:type="dxa"/>
              <w:left w:w="20" w:type="dxa"/>
              <w:bottom w:w="100" w:type="dxa"/>
              <w:right w:w="20" w:type="dxa"/>
            </w:tcMar>
            <w:vAlign w:val="bottom"/>
          </w:tcPr>
          <w:p w14:paraId="5E9108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4.00</w:t>
            </w:r>
          </w:p>
        </w:tc>
      </w:tr>
      <w:tr w:rsidR="00413978" w14:paraId="7C0D8712"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99F419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perichlarus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DA395C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7B579A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115</w:t>
            </w:r>
          </w:p>
        </w:tc>
        <w:tc>
          <w:tcPr>
            <w:tcW w:w="1568" w:type="dxa"/>
            <w:tcBorders>
              <w:top w:val="nil"/>
              <w:left w:val="nil"/>
              <w:bottom w:val="nil"/>
              <w:right w:val="nil"/>
            </w:tcBorders>
            <w:tcMar>
              <w:top w:w="20" w:type="dxa"/>
              <w:left w:w="20" w:type="dxa"/>
              <w:bottom w:w="100" w:type="dxa"/>
              <w:right w:w="20" w:type="dxa"/>
            </w:tcMar>
            <w:vAlign w:val="bottom"/>
          </w:tcPr>
          <w:p w14:paraId="4809332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3FCCC3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43435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1EC94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7B562F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2E03C76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punctatoventre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205C30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21728F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1D8ACA7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0862F6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6D5DCD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585C3C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DF532E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4A19EB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tegulare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75323F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B9828E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6766F6A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410FD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AC783E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31D168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167AFC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2AF5C5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Lasioglossum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titusi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C75DF3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1009BE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6F69570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73CF2F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8421A4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AF76EE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A2D92A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1D0114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Anthidium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collectum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634C24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10D77E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6CBCD00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285557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02D780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1B6343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A11AED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15FCF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Anthidium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illustre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3A69D9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9F8546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16CB46F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0F6D5CA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1872E2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6A01972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31257FA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36CE32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Anthidium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maculosum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353AE8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w:t>
            </w:r>
          </w:p>
        </w:tc>
        <w:tc>
          <w:tcPr>
            <w:tcW w:w="1331" w:type="dxa"/>
            <w:tcBorders>
              <w:top w:val="nil"/>
              <w:left w:val="nil"/>
              <w:bottom w:val="nil"/>
              <w:right w:val="nil"/>
            </w:tcBorders>
            <w:tcMar>
              <w:top w:w="20" w:type="dxa"/>
              <w:left w:w="20" w:type="dxa"/>
              <w:bottom w:w="100" w:type="dxa"/>
              <w:right w:w="20" w:type="dxa"/>
            </w:tcMar>
            <w:vAlign w:val="bottom"/>
          </w:tcPr>
          <w:p w14:paraId="2C5B5D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80C32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10.33</w:t>
            </w:r>
          </w:p>
        </w:tc>
        <w:tc>
          <w:tcPr>
            <w:tcW w:w="581" w:type="dxa"/>
            <w:tcBorders>
              <w:top w:val="nil"/>
              <w:left w:val="nil"/>
              <w:bottom w:val="nil"/>
              <w:right w:val="nil"/>
            </w:tcBorders>
            <w:tcMar>
              <w:top w:w="20" w:type="dxa"/>
              <w:left w:w="20" w:type="dxa"/>
              <w:bottom w:w="100" w:type="dxa"/>
              <w:right w:w="20" w:type="dxa"/>
            </w:tcMar>
            <w:vAlign w:val="bottom"/>
          </w:tcPr>
          <w:p w14:paraId="16F94BD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2.05</w:t>
            </w:r>
          </w:p>
        </w:tc>
        <w:tc>
          <w:tcPr>
            <w:tcW w:w="591" w:type="dxa"/>
            <w:tcBorders>
              <w:top w:val="nil"/>
              <w:left w:val="nil"/>
              <w:bottom w:val="nil"/>
              <w:right w:val="nil"/>
            </w:tcBorders>
            <w:tcMar>
              <w:top w:w="20" w:type="dxa"/>
              <w:left w:w="20" w:type="dxa"/>
              <w:bottom w:w="100" w:type="dxa"/>
              <w:right w:w="20" w:type="dxa"/>
            </w:tcMar>
            <w:vAlign w:val="bottom"/>
          </w:tcPr>
          <w:p w14:paraId="74E0131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24.85</w:t>
            </w:r>
          </w:p>
        </w:tc>
        <w:tc>
          <w:tcPr>
            <w:tcW w:w="1450" w:type="dxa"/>
            <w:tcBorders>
              <w:top w:val="nil"/>
              <w:left w:val="nil"/>
              <w:bottom w:val="nil"/>
              <w:right w:val="nil"/>
            </w:tcBorders>
            <w:shd w:val="clear" w:color="auto" w:fill="F2F8F7"/>
            <w:tcMar>
              <w:top w:w="20" w:type="dxa"/>
              <w:left w:w="20" w:type="dxa"/>
              <w:bottom w:w="100" w:type="dxa"/>
              <w:right w:w="20" w:type="dxa"/>
            </w:tcMar>
            <w:vAlign w:val="bottom"/>
          </w:tcPr>
          <w:p w14:paraId="5348F68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6.33</w:t>
            </w:r>
          </w:p>
        </w:tc>
      </w:tr>
      <w:tr w:rsidR="00413978" w14:paraId="2CCFF0CF"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69F7D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Ashmeadiella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cactorum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FA0F13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C5317D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AC6377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149EDE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C396AF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1C8BB8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C15FC62"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055EDD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Ashmeadiella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chumashae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B925D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91D802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1568" w:type="dxa"/>
            <w:tcBorders>
              <w:top w:val="nil"/>
              <w:left w:val="nil"/>
              <w:bottom w:val="nil"/>
              <w:right w:val="nil"/>
            </w:tcBorders>
            <w:tcMar>
              <w:top w:w="20" w:type="dxa"/>
              <w:left w:w="20" w:type="dxa"/>
              <w:bottom w:w="100" w:type="dxa"/>
              <w:right w:w="20" w:type="dxa"/>
            </w:tcMar>
            <w:vAlign w:val="bottom"/>
          </w:tcPr>
          <w:p w14:paraId="7BCA8C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48EEB7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9EC51A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1A05659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AB811F6"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28028D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Ashmeadiella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cubiceps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9ABE03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1C5F14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1C6135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6E02B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0F55B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FBAC22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4C0033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295ED8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Ashmeadiella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opuntiae</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CC506E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DA625E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A09F1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A8D42B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8458E7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F77749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680522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54850B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Ashmeadiella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timberlakei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024C458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313505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6FDD15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62555FE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04E1F6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0187D0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08A205A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3DB77C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lastRenderedPageBreak/>
              <w:t>Ashmeadiella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xenomastax</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58F0B8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BBAD62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09B7276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27091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43968C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1A3EC0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1660C2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ABEE9D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Atoposmia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copelandica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91D1E0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D16CB8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w:t>
            </w:r>
          </w:p>
        </w:tc>
        <w:tc>
          <w:tcPr>
            <w:tcW w:w="1568" w:type="dxa"/>
            <w:tcBorders>
              <w:top w:val="nil"/>
              <w:left w:val="nil"/>
              <w:bottom w:val="nil"/>
              <w:right w:val="nil"/>
            </w:tcBorders>
            <w:tcMar>
              <w:top w:w="20" w:type="dxa"/>
              <w:left w:w="20" w:type="dxa"/>
              <w:bottom w:w="100" w:type="dxa"/>
              <w:right w:w="20" w:type="dxa"/>
            </w:tcMar>
            <w:vAlign w:val="bottom"/>
          </w:tcPr>
          <w:p w14:paraId="3E8A44E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5982CD8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A138BF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2AEC2C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2313EA7"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2ED6BB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Coelioxys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octodentatus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94B329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4E17BA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123</w:t>
            </w:r>
          </w:p>
        </w:tc>
        <w:tc>
          <w:tcPr>
            <w:tcW w:w="1568" w:type="dxa"/>
            <w:tcBorders>
              <w:top w:val="nil"/>
              <w:left w:val="nil"/>
              <w:bottom w:val="nil"/>
              <w:right w:val="nil"/>
            </w:tcBorders>
            <w:tcMar>
              <w:top w:w="20" w:type="dxa"/>
              <w:left w:w="20" w:type="dxa"/>
              <w:bottom w:w="100" w:type="dxa"/>
              <w:right w:w="20" w:type="dxa"/>
            </w:tcMar>
            <w:vAlign w:val="bottom"/>
          </w:tcPr>
          <w:p w14:paraId="595216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3D2E773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AA1553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A5035E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047CBF2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63D750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Dioxys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productus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3EC001C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71241B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568" w:type="dxa"/>
            <w:tcBorders>
              <w:top w:val="nil"/>
              <w:left w:val="nil"/>
              <w:bottom w:val="nil"/>
              <w:right w:val="nil"/>
            </w:tcBorders>
            <w:tcMar>
              <w:top w:w="20" w:type="dxa"/>
              <w:left w:w="20" w:type="dxa"/>
              <w:bottom w:w="100" w:type="dxa"/>
              <w:right w:w="20" w:type="dxa"/>
            </w:tcMar>
            <w:vAlign w:val="bottom"/>
          </w:tcPr>
          <w:p w14:paraId="4270937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3D6826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756073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A5F48E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64DAB20"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0BE10F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angelarum</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569D866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4392F5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0DA49B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149D58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89282A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7AB00E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2985DBA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CAAE05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apicalis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26D2A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10F88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7BFF551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D705E0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2AD4D49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1EC83B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57E6571"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F49274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brevis</w:t>
            </w:r>
          </w:p>
        </w:tc>
        <w:tc>
          <w:tcPr>
            <w:tcW w:w="1410" w:type="dxa"/>
            <w:tcBorders>
              <w:top w:val="nil"/>
              <w:left w:val="nil"/>
              <w:bottom w:val="nil"/>
              <w:right w:val="nil"/>
            </w:tcBorders>
            <w:tcMar>
              <w:top w:w="20" w:type="dxa"/>
              <w:left w:w="20" w:type="dxa"/>
              <w:bottom w:w="100" w:type="dxa"/>
              <w:right w:w="20" w:type="dxa"/>
            </w:tcMar>
            <w:vAlign w:val="bottom"/>
          </w:tcPr>
          <w:p w14:paraId="0475C2A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4B9B9B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4177A8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23C451F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D89C1D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8DEC6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57BCF87F"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D06834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coquilletti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DE6415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2565493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39B6E66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38B1B6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4C4E86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11402D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6593EE17"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796018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fidelis</w:t>
            </w:r>
          </w:p>
        </w:tc>
        <w:tc>
          <w:tcPr>
            <w:tcW w:w="1410" w:type="dxa"/>
            <w:tcBorders>
              <w:top w:val="nil"/>
              <w:left w:val="nil"/>
              <w:bottom w:val="nil"/>
              <w:right w:val="nil"/>
            </w:tcBorders>
            <w:tcMar>
              <w:top w:w="20" w:type="dxa"/>
              <w:left w:w="20" w:type="dxa"/>
              <w:bottom w:w="100" w:type="dxa"/>
              <w:right w:w="20" w:type="dxa"/>
            </w:tcMar>
            <w:vAlign w:val="bottom"/>
          </w:tcPr>
          <w:p w14:paraId="20C6106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9712B1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123</w:t>
            </w:r>
          </w:p>
        </w:tc>
        <w:tc>
          <w:tcPr>
            <w:tcW w:w="1568" w:type="dxa"/>
            <w:tcBorders>
              <w:top w:val="nil"/>
              <w:left w:val="nil"/>
              <w:bottom w:val="nil"/>
              <w:right w:val="nil"/>
            </w:tcBorders>
            <w:tcMar>
              <w:top w:w="20" w:type="dxa"/>
              <w:left w:w="20" w:type="dxa"/>
              <w:bottom w:w="100" w:type="dxa"/>
              <w:right w:w="20" w:type="dxa"/>
            </w:tcMar>
            <w:vAlign w:val="bottom"/>
          </w:tcPr>
          <w:p w14:paraId="359011F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730DF21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90C5EF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6AA5615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35C066E3"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721DDF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montivaga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94E39D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90E65A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385E31A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0A47F4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1B4BBC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5D94EFC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79F4D57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137DD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onobrychidis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726D86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8484A6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85BDFC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07A3FD1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931B0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42455C5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6FEDDFC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0AF12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Megachile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rotundata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76E15D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549337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44781C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64B197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A1BF5F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DB6FBF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9AA4E32"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3AF424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albolateralis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58EFF1A"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9DD69B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5E2CEF6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81" w:type="dxa"/>
            <w:tcBorders>
              <w:top w:val="nil"/>
              <w:left w:val="nil"/>
              <w:bottom w:val="nil"/>
              <w:right w:val="nil"/>
            </w:tcBorders>
            <w:tcMar>
              <w:top w:w="20" w:type="dxa"/>
              <w:left w:w="20" w:type="dxa"/>
              <w:bottom w:w="100" w:type="dxa"/>
              <w:right w:w="20" w:type="dxa"/>
            </w:tcMar>
            <w:vAlign w:val="bottom"/>
          </w:tcPr>
          <w:p w14:paraId="7CE8905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0F7331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2.85</w:t>
            </w:r>
          </w:p>
        </w:tc>
        <w:tc>
          <w:tcPr>
            <w:tcW w:w="1450" w:type="dxa"/>
            <w:tcBorders>
              <w:top w:val="nil"/>
              <w:left w:val="nil"/>
              <w:bottom w:val="nil"/>
              <w:right w:val="nil"/>
            </w:tcBorders>
            <w:shd w:val="clear" w:color="auto" w:fill="FAFBFD"/>
            <w:tcMar>
              <w:top w:w="20" w:type="dxa"/>
              <w:left w:w="20" w:type="dxa"/>
              <w:bottom w:w="100" w:type="dxa"/>
              <w:right w:w="20" w:type="dxa"/>
            </w:tcMar>
            <w:vAlign w:val="bottom"/>
          </w:tcPr>
          <w:p w14:paraId="267034E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r>
      <w:tr w:rsidR="00413978" w14:paraId="19CE3FC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586B60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austromaritima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2C03302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115BCFD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81</w:t>
            </w:r>
          </w:p>
        </w:tc>
        <w:tc>
          <w:tcPr>
            <w:tcW w:w="1568" w:type="dxa"/>
            <w:tcBorders>
              <w:top w:val="nil"/>
              <w:left w:val="nil"/>
              <w:bottom w:val="nil"/>
              <w:right w:val="nil"/>
            </w:tcBorders>
            <w:tcMar>
              <w:top w:w="20" w:type="dxa"/>
              <w:left w:w="20" w:type="dxa"/>
              <w:bottom w:w="100" w:type="dxa"/>
              <w:right w:w="20" w:type="dxa"/>
            </w:tcMar>
            <w:vAlign w:val="bottom"/>
          </w:tcPr>
          <w:p w14:paraId="0A414C5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061B5CC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2C34C0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949A86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ECCE974"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87260E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bruneri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76FD72E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42E366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2BEACF1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6A1750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B7B834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6C680D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6FED23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624FD2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Osmia californica</w:t>
            </w:r>
          </w:p>
        </w:tc>
        <w:tc>
          <w:tcPr>
            <w:tcW w:w="1410" w:type="dxa"/>
            <w:tcBorders>
              <w:top w:val="nil"/>
              <w:left w:val="nil"/>
              <w:bottom w:val="nil"/>
              <w:right w:val="nil"/>
            </w:tcBorders>
            <w:tcMar>
              <w:top w:w="20" w:type="dxa"/>
              <w:left w:w="20" w:type="dxa"/>
              <w:bottom w:w="100" w:type="dxa"/>
              <w:right w:w="20" w:type="dxa"/>
            </w:tcMar>
            <w:vAlign w:val="bottom"/>
          </w:tcPr>
          <w:p w14:paraId="14109E4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5C95E7B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7DE6EEA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1F5D9B9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6525AD9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71806DB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4D29407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8D43B4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Osmia calla</w:t>
            </w:r>
          </w:p>
        </w:tc>
        <w:tc>
          <w:tcPr>
            <w:tcW w:w="1410" w:type="dxa"/>
            <w:tcBorders>
              <w:top w:val="nil"/>
              <w:left w:val="nil"/>
              <w:bottom w:val="nil"/>
              <w:right w:val="nil"/>
            </w:tcBorders>
            <w:tcMar>
              <w:top w:w="20" w:type="dxa"/>
              <w:left w:w="20" w:type="dxa"/>
              <w:bottom w:w="100" w:type="dxa"/>
              <w:right w:w="20" w:type="dxa"/>
            </w:tcMar>
            <w:vAlign w:val="bottom"/>
          </w:tcPr>
          <w:p w14:paraId="60F24FA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AE6C37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1E5612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27CC11F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5ADA2EE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7F4675F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1731308C"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429B72F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clarescens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095739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60808B9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117</w:t>
            </w:r>
          </w:p>
        </w:tc>
        <w:tc>
          <w:tcPr>
            <w:tcW w:w="1568" w:type="dxa"/>
            <w:tcBorders>
              <w:top w:val="nil"/>
              <w:left w:val="nil"/>
              <w:bottom w:val="nil"/>
              <w:right w:val="nil"/>
            </w:tcBorders>
            <w:tcMar>
              <w:top w:w="20" w:type="dxa"/>
              <w:left w:w="20" w:type="dxa"/>
              <w:bottom w:w="100" w:type="dxa"/>
              <w:right w:w="20" w:type="dxa"/>
            </w:tcMar>
            <w:vAlign w:val="bottom"/>
          </w:tcPr>
          <w:p w14:paraId="3E775BD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c>
          <w:tcPr>
            <w:tcW w:w="581" w:type="dxa"/>
            <w:tcBorders>
              <w:top w:val="nil"/>
              <w:left w:val="nil"/>
              <w:bottom w:val="nil"/>
              <w:right w:val="nil"/>
            </w:tcBorders>
            <w:tcMar>
              <w:top w:w="20" w:type="dxa"/>
              <w:left w:w="20" w:type="dxa"/>
              <w:bottom w:w="100" w:type="dxa"/>
              <w:right w:w="20" w:type="dxa"/>
            </w:tcMar>
            <w:vAlign w:val="bottom"/>
          </w:tcPr>
          <w:p w14:paraId="040A63D4"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DA47C0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0.95</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A3610D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0.33</w:t>
            </w:r>
          </w:p>
        </w:tc>
      </w:tr>
      <w:tr w:rsidR="00413978" w14:paraId="723E6F4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55202AE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coloradensis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E1B853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w:t>
            </w:r>
          </w:p>
        </w:tc>
        <w:tc>
          <w:tcPr>
            <w:tcW w:w="1331" w:type="dxa"/>
            <w:tcBorders>
              <w:top w:val="nil"/>
              <w:left w:val="nil"/>
              <w:bottom w:val="nil"/>
              <w:right w:val="nil"/>
            </w:tcBorders>
            <w:tcMar>
              <w:top w:w="20" w:type="dxa"/>
              <w:left w:w="20" w:type="dxa"/>
              <w:bottom w:w="100" w:type="dxa"/>
              <w:right w:w="20" w:type="dxa"/>
            </w:tcMar>
            <w:vAlign w:val="bottom"/>
          </w:tcPr>
          <w:p w14:paraId="10D15A0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4A77A55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3.33</w:t>
            </w:r>
          </w:p>
        </w:tc>
        <w:tc>
          <w:tcPr>
            <w:tcW w:w="581" w:type="dxa"/>
            <w:tcBorders>
              <w:top w:val="nil"/>
              <w:left w:val="nil"/>
              <w:bottom w:val="nil"/>
              <w:right w:val="nil"/>
            </w:tcBorders>
            <w:tcMar>
              <w:top w:w="20" w:type="dxa"/>
              <w:left w:w="20" w:type="dxa"/>
              <w:bottom w:w="100" w:type="dxa"/>
              <w:right w:w="20" w:type="dxa"/>
            </w:tcMar>
            <w:vAlign w:val="bottom"/>
          </w:tcPr>
          <w:p w14:paraId="6B0F02E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1.00</w:t>
            </w:r>
          </w:p>
        </w:tc>
        <w:tc>
          <w:tcPr>
            <w:tcW w:w="591" w:type="dxa"/>
            <w:tcBorders>
              <w:top w:val="nil"/>
              <w:left w:val="nil"/>
              <w:bottom w:val="nil"/>
              <w:right w:val="nil"/>
            </w:tcBorders>
            <w:tcMar>
              <w:top w:w="20" w:type="dxa"/>
              <w:left w:w="20" w:type="dxa"/>
              <w:bottom w:w="100" w:type="dxa"/>
              <w:right w:w="20" w:type="dxa"/>
            </w:tcMar>
            <w:vAlign w:val="bottom"/>
          </w:tcPr>
          <w:p w14:paraId="39EF1AE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7.65</w:t>
            </w:r>
          </w:p>
        </w:tc>
        <w:tc>
          <w:tcPr>
            <w:tcW w:w="1450" w:type="dxa"/>
            <w:tcBorders>
              <w:top w:val="nil"/>
              <w:left w:val="nil"/>
              <w:bottom w:val="nil"/>
              <w:right w:val="nil"/>
            </w:tcBorders>
            <w:shd w:val="clear" w:color="auto" w:fill="F8FBFC"/>
            <w:tcMar>
              <w:top w:w="20" w:type="dxa"/>
              <w:left w:w="20" w:type="dxa"/>
              <w:bottom w:w="100" w:type="dxa"/>
              <w:right w:w="20" w:type="dxa"/>
            </w:tcMar>
            <w:vAlign w:val="bottom"/>
          </w:tcPr>
          <w:p w14:paraId="24E7F8B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2.33</w:t>
            </w:r>
          </w:p>
        </w:tc>
      </w:tr>
      <w:tr w:rsidR="00413978" w14:paraId="5055FB6B"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60400A5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gabrielis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3D9050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7A255C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124</w:t>
            </w:r>
          </w:p>
        </w:tc>
        <w:tc>
          <w:tcPr>
            <w:tcW w:w="1568" w:type="dxa"/>
            <w:tcBorders>
              <w:top w:val="nil"/>
              <w:left w:val="nil"/>
              <w:bottom w:val="nil"/>
              <w:right w:val="nil"/>
            </w:tcBorders>
            <w:tcMar>
              <w:top w:w="20" w:type="dxa"/>
              <w:left w:w="20" w:type="dxa"/>
              <w:bottom w:w="100" w:type="dxa"/>
              <w:right w:w="20" w:type="dxa"/>
            </w:tcMar>
            <w:vAlign w:val="bottom"/>
          </w:tcPr>
          <w:p w14:paraId="79C084C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1.67</w:t>
            </w:r>
          </w:p>
        </w:tc>
        <w:tc>
          <w:tcPr>
            <w:tcW w:w="581" w:type="dxa"/>
            <w:tcBorders>
              <w:top w:val="nil"/>
              <w:left w:val="nil"/>
              <w:bottom w:val="nil"/>
              <w:right w:val="nil"/>
            </w:tcBorders>
            <w:tcMar>
              <w:top w:w="20" w:type="dxa"/>
              <w:left w:w="20" w:type="dxa"/>
              <w:bottom w:w="100" w:type="dxa"/>
              <w:right w:w="20" w:type="dxa"/>
            </w:tcMar>
            <w:vAlign w:val="bottom"/>
          </w:tcPr>
          <w:p w14:paraId="69B2EB4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FF9287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4.75</w:t>
            </w:r>
          </w:p>
        </w:tc>
        <w:tc>
          <w:tcPr>
            <w:tcW w:w="1450" w:type="dxa"/>
            <w:tcBorders>
              <w:top w:val="nil"/>
              <w:left w:val="nil"/>
              <w:bottom w:val="nil"/>
              <w:right w:val="nil"/>
            </w:tcBorders>
            <w:shd w:val="clear" w:color="auto" w:fill="F9FBFC"/>
            <w:tcMar>
              <w:top w:w="20" w:type="dxa"/>
              <w:left w:w="20" w:type="dxa"/>
              <w:bottom w:w="100" w:type="dxa"/>
              <w:right w:w="20" w:type="dxa"/>
            </w:tcMar>
            <w:vAlign w:val="bottom"/>
          </w:tcPr>
          <w:p w14:paraId="649201A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1.67</w:t>
            </w:r>
          </w:p>
        </w:tc>
      </w:tr>
      <w:tr w:rsidR="00413978" w14:paraId="6852495E"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D9B27F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gaudiosa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458FE6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523AC4D"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3495D06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267DAD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1544A1B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04FC90F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348FA43D"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37D57BB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kincaidii</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13F893F2"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42506AAE"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22195EC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4256537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4CC94D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377592D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374BA17"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059C995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laeta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3B38EF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7A81B82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nil"/>
              <w:right w:val="nil"/>
            </w:tcBorders>
            <w:tcMar>
              <w:top w:w="20" w:type="dxa"/>
              <w:left w:w="20" w:type="dxa"/>
              <w:bottom w:w="100" w:type="dxa"/>
              <w:right w:w="20" w:type="dxa"/>
            </w:tcMar>
            <w:vAlign w:val="bottom"/>
          </w:tcPr>
          <w:p w14:paraId="5D82C97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nil"/>
              <w:right w:val="nil"/>
            </w:tcBorders>
            <w:tcMar>
              <w:top w:w="20" w:type="dxa"/>
              <w:left w:w="20" w:type="dxa"/>
              <w:bottom w:w="100" w:type="dxa"/>
              <w:right w:w="20" w:type="dxa"/>
            </w:tcMar>
            <w:vAlign w:val="bottom"/>
          </w:tcPr>
          <w:p w14:paraId="7D77F3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7DB27B9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nil"/>
              <w:right w:val="nil"/>
            </w:tcBorders>
            <w:shd w:val="clear" w:color="auto" w:fill="FBFCFE"/>
            <w:tcMar>
              <w:top w:w="20" w:type="dxa"/>
              <w:left w:w="20" w:type="dxa"/>
              <w:bottom w:w="100" w:type="dxa"/>
              <w:right w:w="20" w:type="dxa"/>
            </w:tcMar>
            <w:vAlign w:val="bottom"/>
          </w:tcPr>
          <w:p w14:paraId="433BAD5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r w:rsidR="00413978" w14:paraId="6896AA7A"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1013F10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 xml:space="preserve">Osmia </w:t>
            </w:r>
            <w:proofErr w:type="spellStart"/>
            <w:r>
              <w:rPr>
                <w:rFonts w:ascii="Times New Roman" w:eastAsia="Times New Roman" w:hAnsi="Times New Roman" w:cs="Times New Roman"/>
                <w:sz w:val="22"/>
                <w:szCs w:val="22"/>
              </w:rPr>
              <w:t>nemoris</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6811755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00D0BEB1"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6330457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2.33</w:t>
            </w:r>
          </w:p>
        </w:tc>
        <w:tc>
          <w:tcPr>
            <w:tcW w:w="581" w:type="dxa"/>
            <w:tcBorders>
              <w:top w:val="nil"/>
              <w:left w:val="nil"/>
              <w:bottom w:val="nil"/>
              <w:right w:val="nil"/>
            </w:tcBorders>
            <w:tcMar>
              <w:top w:w="20" w:type="dxa"/>
              <w:left w:w="20" w:type="dxa"/>
              <w:bottom w:w="100" w:type="dxa"/>
              <w:right w:w="20" w:type="dxa"/>
            </w:tcMar>
            <w:vAlign w:val="bottom"/>
          </w:tcPr>
          <w:p w14:paraId="4DE5FD23"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0B2D0647"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6.65</w:t>
            </w:r>
          </w:p>
        </w:tc>
        <w:tc>
          <w:tcPr>
            <w:tcW w:w="1450" w:type="dxa"/>
            <w:tcBorders>
              <w:top w:val="nil"/>
              <w:left w:val="nil"/>
              <w:bottom w:val="nil"/>
              <w:right w:val="nil"/>
            </w:tcBorders>
            <w:shd w:val="clear" w:color="auto" w:fill="F8FBFC"/>
            <w:tcMar>
              <w:top w:w="20" w:type="dxa"/>
              <w:left w:w="20" w:type="dxa"/>
              <w:bottom w:w="100" w:type="dxa"/>
              <w:right w:w="20" w:type="dxa"/>
            </w:tcMar>
            <w:vAlign w:val="bottom"/>
          </w:tcPr>
          <w:p w14:paraId="59568E1C"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2.33</w:t>
            </w:r>
          </w:p>
        </w:tc>
      </w:tr>
      <w:tr w:rsidR="00413978" w14:paraId="4F523C48" w14:textId="77777777">
        <w:trPr>
          <w:trHeight w:val="415"/>
        </w:trPr>
        <w:tc>
          <w:tcPr>
            <w:tcW w:w="2091" w:type="dxa"/>
            <w:tcBorders>
              <w:top w:val="nil"/>
              <w:left w:val="nil"/>
              <w:bottom w:val="nil"/>
              <w:right w:val="nil"/>
            </w:tcBorders>
            <w:tcMar>
              <w:top w:w="20" w:type="dxa"/>
              <w:left w:w="20" w:type="dxa"/>
              <w:bottom w:w="100" w:type="dxa"/>
              <w:right w:w="20" w:type="dxa"/>
            </w:tcMar>
            <w:vAlign w:val="bottom"/>
          </w:tcPr>
          <w:p w14:paraId="7716F02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lastRenderedPageBreak/>
              <w:t xml:space="preserve">Osmia </w:t>
            </w:r>
            <w:proofErr w:type="spellStart"/>
            <w:r>
              <w:rPr>
                <w:rFonts w:ascii="Times New Roman" w:eastAsia="Times New Roman" w:hAnsi="Times New Roman" w:cs="Times New Roman"/>
                <w:sz w:val="22"/>
                <w:szCs w:val="22"/>
              </w:rPr>
              <w:t>tristella</w:t>
            </w:r>
            <w:proofErr w:type="spellEnd"/>
          </w:p>
        </w:tc>
        <w:tc>
          <w:tcPr>
            <w:tcW w:w="1410" w:type="dxa"/>
            <w:tcBorders>
              <w:top w:val="nil"/>
              <w:left w:val="nil"/>
              <w:bottom w:val="nil"/>
              <w:right w:val="nil"/>
            </w:tcBorders>
            <w:tcMar>
              <w:top w:w="20" w:type="dxa"/>
              <w:left w:w="20" w:type="dxa"/>
              <w:bottom w:w="100" w:type="dxa"/>
              <w:right w:w="20" w:type="dxa"/>
            </w:tcMar>
            <w:vAlign w:val="bottom"/>
          </w:tcPr>
          <w:p w14:paraId="4607B5E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nil"/>
              <w:right w:val="nil"/>
            </w:tcBorders>
            <w:tcMar>
              <w:top w:w="20" w:type="dxa"/>
              <w:left w:w="20" w:type="dxa"/>
              <w:bottom w:w="100" w:type="dxa"/>
              <w:right w:w="20" w:type="dxa"/>
            </w:tcMar>
            <w:vAlign w:val="bottom"/>
          </w:tcPr>
          <w:p w14:paraId="30D924B9"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125</w:t>
            </w:r>
          </w:p>
        </w:tc>
        <w:tc>
          <w:tcPr>
            <w:tcW w:w="1568" w:type="dxa"/>
            <w:tcBorders>
              <w:top w:val="nil"/>
              <w:left w:val="nil"/>
              <w:bottom w:val="nil"/>
              <w:right w:val="nil"/>
            </w:tcBorders>
            <w:tcMar>
              <w:top w:w="20" w:type="dxa"/>
              <w:left w:w="20" w:type="dxa"/>
              <w:bottom w:w="100" w:type="dxa"/>
              <w:right w:w="20" w:type="dxa"/>
            </w:tcMar>
            <w:vAlign w:val="bottom"/>
          </w:tcPr>
          <w:p w14:paraId="1562989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c>
          <w:tcPr>
            <w:tcW w:w="581" w:type="dxa"/>
            <w:tcBorders>
              <w:top w:val="nil"/>
              <w:left w:val="nil"/>
              <w:bottom w:val="nil"/>
              <w:right w:val="nil"/>
            </w:tcBorders>
            <w:tcMar>
              <w:top w:w="20" w:type="dxa"/>
              <w:left w:w="20" w:type="dxa"/>
              <w:bottom w:w="100" w:type="dxa"/>
              <w:right w:w="20" w:type="dxa"/>
            </w:tcMar>
            <w:vAlign w:val="bottom"/>
          </w:tcPr>
          <w:p w14:paraId="028481F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nil"/>
              <w:right w:val="nil"/>
            </w:tcBorders>
            <w:tcMar>
              <w:top w:w="20" w:type="dxa"/>
              <w:left w:w="20" w:type="dxa"/>
              <w:bottom w:w="100" w:type="dxa"/>
              <w:right w:w="20" w:type="dxa"/>
            </w:tcMar>
            <w:vAlign w:val="bottom"/>
          </w:tcPr>
          <w:p w14:paraId="307BBC6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1.90</w:t>
            </w:r>
          </w:p>
        </w:tc>
        <w:tc>
          <w:tcPr>
            <w:tcW w:w="1450" w:type="dxa"/>
            <w:tcBorders>
              <w:top w:val="nil"/>
              <w:left w:val="nil"/>
              <w:bottom w:val="nil"/>
              <w:right w:val="nil"/>
            </w:tcBorders>
            <w:shd w:val="clear" w:color="auto" w:fill="FAFCFE"/>
            <w:tcMar>
              <w:top w:w="20" w:type="dxa"/>
              <w:left w:w="20" w:type="dxa"/>
              <w:bottom w:w="100" w:type="dxa"/>
              <w:right w:w="20" w:type="dxa"/>
            </w:tcMar>
            <w:vAlign w:val="bottom"/>
          </w:tcPr>
          <w:p w14:paraId="15F767B5"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0.67</w:t>
            </w:r>
          </w:p>
        </w:tc>
      </w:tr>
      <w:tr w:rsidR="00413978" w14:paraId="035958CA" w14:textId="77777777">
        <w:trPr>
          <w:trHeight w:val="415"/>
        </w:trPr>
        <w:tc>
          <w:tcPr>
            <w:tcW w:w="2091" w:type="dxa"/>
            <w:tcBorders>
              <w:top w:val="nil"/>
              <w:left w:val="nil"/>
              <w:bottom w:val="single" w:sz="6" w:space="0" w:color="000000"/>
              <w:right w:val="nil"/>
            </w:tcBorders>
            <w:tcMar>
              <w:top w:w="20" w:type="dxa"/>
              <w:left w:w="20" w:type="dxa"/>
              <w:bottom w:w="100" w:type="dxa"/>
              <w:right w:w="20" w:type="dxa"/>
            </w:tcMar>
            <w:vAlign w:val="bottom"/>
          </w:tcPr>
          <w:p w14:paraId="20DF7278"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proofErr w:type="spellStart"/>
            <w:r>
              <w:rPr>
                <w:rFonts w:ascii="Times New Roman" w:eastAsia="Times New Roman" w:hAnsi="Times New Roman" w:cs="Times New Roman"/>
                <w:sz w:val="22"/>
                <w:szCs w:val="22"/>
              </w:rPr>
              <w:t>Protosmia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rubifloris</w:t>
            </w:r>
            <w:proofErr w:type="spellEnd"/>
          </w:p>
        </w:tc>
        <w:tc>
          <w:tcPr>
            <w:tcW w:w="1410" w:type="dxa"/>
            <w:tcBorders>
              <w:top w:val="nil"/>
              <w:left w:val="nil"/>
              <w:bottom w:val="single" w:sz="6" w:space="0" w:color="000000"/>
              <w:right w:val="nil"/>
            </w:tcBorders>
            <w:tcMar>
              <w:top w:w="20" w:type="dxa"/>
              <w:left w:w="20" w:type="dxa"/>
              <w:bottom w:w="100" w:type="dxa"/>
              <w:right w:w="20" w:type="dxa"/>
            </w:tcMar>
            <w:vAlign w:val="bottom"/>
          </w:tcPr>
          <w:p w14:paraId="3737370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w:t>
            </w:r>
          </w:p>
        </w:tc>
        <w:tc>
          <w:tcPr>
            <w:tcW w:w="1331" w:type="dxa"/>
            <w:tcBorders>
              <w:top w:val="nil"/>
              <w:left w:val="nil"/>
              <w:bottom w:val="single" w:sz="6" w:space="0" w:color="000000"/>
              <w:right w:val="nil"/>
            </w:tcBorders>
            <w:tcMar>
              <w:top w:w="20" w:type="dxa"/>
              <w:left w:w="20" w:type="dxa"/>
              <w:bottom w:w="100" w:type="dxa"/>
              <w:right w:w="20" w:type="dxa"/>
            </w:tcMar>
            <w:vAlign w:val="bottom"/>
          </w:tcPr>
          <w:p w14:paraId="5C47657B"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122</w:t>
            </w:r>
          </w:p>
        </w:tc>
        <w:tc>
          <w:tcPr>
            <w:tcW w:w="1568" w:type="dxa"/>
            <w:tcBorders>
              <w:top w:val="nil"/>
              <w:left w:val="nil"/>
              <w:bottom w:val="single" w:sz="6" w:space="0" w:color="000000"/>
              <w:right w:val="nil"/>
            </w:tcBorders>
            <w:tcMar>
              <w:top w:w="20" w:type="dxa"/>
              <w:left w:w="20" w:type="dxa"/>
              <w:bottom w:w="100" w:type="dxa"/>
              <w:right w:w="20" w:type="dxa"/>
            </w:tcMar>
            <w:vAlign w:val="bottom"/>
          </w:tcPr>
          <w:p w14:paraId="3A0CFA46"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81" w:type="dxa"/>
            <w:tcBorders>
              <w:top w:val="nil"/>
              <w:left w:val="nil"/>
              <w:bottom w:val="single" w:sz="6" w:space="0" w:color="000000"/>
              <w:right w:val="nil"/>
            </w:tcBorders>
            <w:tcMar>
              <w:top w:w="20" w:type="dxa"/>
              <w:left w:w="20" w:type="dxa"/>
              <w:bottom w:w="100" w:type="dxa"/>
              <w:right w:w="20" w:type="dxa"/>
            </w:tcMar>
            <w:vAlign w:val="bottom"/>
          </w:tcPr>
          <w:p w14:paraId="1EEA1A10"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591" w:type="dxa"/>
            <w:tcBorders>
              <w:top w:val="nil"/>
              <w:left w:val="nil"/>
              <w:bottom w:val="single" w:sz="6" w:space="0" w:color="000000"/>
              <w:right w:val="nil"/>
            </w:tcBorders>
            <w:tcMar>
              <w:top w:w="20" w:type="dxa"/>
              <w:left w:w="20" w:type="dxa"/>
              <w:bottom w:w="100" w:type="dxa"/>
              <w:right w:w="20" w:type="dxa"/>
            </w:tcMar>
            <w:vAlign w:val="bottom"/>
          </w:tcPr>
          <w:p w14:paraId="15F687F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c>
          <w:tcPr>
            <w:tcW w:w="1450" w:type="dxa"/>
            <w:tcBorders>
              <w:top w:val="nil"/>
              <w:left w:val="nil"/>
              <w:bottom w:val="single" w:sz="6" w:space="0" w:color="000000"/>
              <w:right w:val="nil"/>
            </w:tcBorders>
            <w:shd w:val="clear" w:color="auto" w:fill="FBFCFE"/>
            <w:tcMar>
              <w:top w:w="20" w:type="dxa"/>
              <w:left w:w="20" w:type="dxa"/>
              <w:bottom w:w="100" w:type="dxa"/>
              <w:right w:w="20" w:type="dxa"/>
            </w:tcMar>
            <w:vAlign w:val="bottom"/>
          </w:tcPr>
          <w:p w14:paraId="2DCBED3F" w14:textId="77777777" w:rsidR="00413978" w:rsidRDefault="00000000">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sz w:val="22"/>
                <w:szCs w:val="22"/>
              </w:rPr>
              <w:t>0.00</w:t>
            </w:r>
          </w:p>
        </w:tc>
      </w:tr>
    </w:tbl>
    <w:p w14:paraId="15AFFB20" w14:textId="77777777" w:rsidR="00413978" w:rsidRDefault="00413978">
      <w:pPr>
        <w:rPr>
          <w:rFonts w:ascii="Times New Roman" w:eastAsia="Times New Roman" w:hAnsi="Times New Roman" w:cs="Times New Roman"/>
        </w:rPr>
      </w:pPr>
    </w:p>
    <w:sectPr w:rsidR="00413978">
      <w:pgSz w:w="11900" w:h="16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ziella DiRenzo" w:date="2022-10-07T18:31:00Z" w:initials="">
    <w:p w14:paraId="01EEAA7F"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Suggestions are welcome - trying to fit a lot in here...</w:t>
      </w:r>
    </w:p>
  </w:comment>
  <w:comment w:id="1" w:author="Graziella DiRenzo" w:date="2022-10-07T18:31:00Z" w:initials="">
    <w:p w14:paraId="3C0F7286"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Suggestions are welcome - trying to fit a lot in here...</w:t>
      </w:r>
    </w:p>
  </w:comment>
  <w:comment w:id="2" w:author="Graziella DiRenzo" w:date="2022-10-31T18:04:00Z" w:initials="">
    <w:p w14:paraId="37A954DA"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should Yolanda's affiliation be?</w:t>
      </w:r>
    </w:p>
  </w:comment>
  <w:comment w:id="3" w:author="Graziella DiRenzo" w:date="2022-10-07T16:44:00Z" w:initials="">
    <w:p w14:paraId="7628F553"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https://besjournals.onlinelibrary.wiley.com/hub/journal/2041210X/author-guidelines</w:t>
      </w:r>
    </w:p>
  </w:comment>
  <w:comment w:id="4" w:author="Graziella DiRenzo" w:date="2022-10-07T17:13:00Z" w:initials="">
    <w:p w14:paraId="1C5871F5"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set the context for and purpose of the work;</w:t>
      </w:r>
    </w:p>
    <w:p w14:paraId="081880C6" w14:textId="77777777" w:rsidR="00413978" w:rsidRDefault="00413978">
      <w:pPr>
        <w:widowControl w:val="0"/>
        <w:pBdr>
          <w:top w:val="nil"/>
          <w:left w:val="nil"/>
          <w:bottom w:val="nil"/>
          <w:right w:val="nil"/>
          <w:between w:val="nil"/>
        </w:pBdr>
        <w:rPr>
          <w:rFonts w:ascii="Arial" w:eastAsia="Arial" w:hAnsi="Arial" w:cs="Arial"/>
          <w:color w:val="000000"/>
          <w:sz w:val="22"/>
          <w:szCs w:val="22"/>
        </w:rPr>
      </w:pPr>
    </w:p>
    <w:p w14:paraId="2F10EB52"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indicate the approach and methods;</w:t>
      </w:r>
    </w:p>
    <w:p w14:paraId="372075E4" w14:textId="77777777" w:rsidR="00413978" w:rsidRDefault="00413978">
      <w:pPr>
        <w:widowControl w:val="0"/>
        <w:pBdr>
          <w:top w:val="nil"/>
          <w:left w:val="nil"/>
          <w:bottom w:val="nil"/>
          <w:right w:val="nil"/>
          <w:between w:val="nil"/>
        </w:pBdr>
        <w:rPr>
          <w:rFonts w:ascii="Arial" w:eastAsia="Arial" w:hAnsi="Arial" w:cs="Arial"/>
          <w:color w:val="000000"/>
          <w:sz w:val="22"/>
          <w:szCs w:val="22"/>
        </w:rPr>
      </w:pPr>
    </w:p>
    <w:p w14:paraId="73578225"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3: outline the main results;</w:t>
      </w:r>
    </w:p>
    <w:p w14:paraId="7F28A8DE" w14:textId="77777777" w:rsidR="00413978" w:rsidRDefault="00413978">
      <w:pPr>
        <w:widowControl w:val="0"/>
        <w:pBdr>
          <w:top w:val="nil"/>
          <w:left w:val="nil"/>
          <w:bottom w:val="nil"/>
          <w:right w:val="nil"/>
          <w:between w:val="nil"/>
        </w:pBdr>
        <w:rPr>
          <w:rFonts w:ascii="Arial" w:eastAsia="Arial" w:hAnsi="Arial" w:cs="Arial"/>
          <w:color w:val="000000"/>
          <w:sz w:val="22"/>
          <w:szCs w:val="22"/>
        </w:rPr>
      </w:pPr>
    </w:p>
    <w:p w14:paraId="55E34E59"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4: identify the conclusions and the wider implications.</w:t>
      </w:r>
    </w:p>
  </w:comment>
  <w:comment w:id="5" w:author="Katja Seltmann" w:date="2022-10-24T16:28:00Z" w:initials="">
    <w:p w14:paraId="4B31FBB9"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Dryad does have occurrence data, but it is a bit different as it does not index the data together, rather it keeps it as separate datasets</w:t>
      </w:r>
    </w:p>
  </w:comment>
  <w:comment w:id="6" w:author="Katja Seltmann" w:date="2022-10-24T16:32:00Z" w:initials="">
    <w:p w14:paraId="5792B9CE"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phenology data was generated from occurrence data. Maybe a little confusing as it sounds like there is some phenology database out there...</w:t>
      </w:r>
    </w:p>
  </w:comment>
  <w:comment w:id="7" w:author="Katja Seltmann" w:date="2022-10-24T16:33:00Z" w:initials="">
    <w:p w14:paraId="32EEE642"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Our trait list was also created de novo</w:t>
      </w:r>
    </w:p>
  </w:comment>
  <w:comment w:id="8" w:author="Michelle Lee" w:date="2022-11-16T11:46:00Z" w:initials="ML">
    <w:p w14:paraId="0678F472" w14:textId="77777777" w:rsidR="00AF424F" w:rsidRDefault="00AF424F" w:rsidP="00C3358D">
      <w:r>
        <w:rPr>
          <w:rStyle w:val="CommentReference"/>
        </w:rPr>
        <w:annotationRef/>
      </w:r>
      <w:r>
        <w:rPr>
          <w:sz w:val="20"/>
          <w:szCs w:val="20"/>
        </w:rPr>
        <w:t>Need help from Yolanda and Katja</w:t>
      </w:r>
    </w:p>
  </w:comment>
  <w:comment w:id="9" w:author="Katja Seltmann" w:date="2022-05-11T10:26:00Z" w:initials="">
    <w:p w14:paraId="7CA8B0AE" w14:textId="079D128E"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wonder if some kind of decision tree or flow chart for data cleaning would be helpful? Does this journal have requirement for extended methods in supps?</w:t>
      </w:r>
    </w:p>
  </w:comment>
  <w:comment w:id="10" w:author="Graziella DiRenzo" w:date="2022-10-31T16:16:00Z" w:initials="">
    <w:p w14:paraId="6E8EFDA4"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made a rough pass at something like this - pasted below.</w:t>
      </w:r>
    </w:p>
  </w:comment>
  <w:comment w:id="11" w:author="Katja Seltmann" w:date="2022-07-06T17:14:00Z" w:initials="">
    <w:p w14:paraId="7EA57549"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[stats on data sources removed would be important. I think its all journal publication data leaving only community science and museum data].</w:t>
      </w:r>
    </w:p>
  </w:comment>
  <w:comment w:id="12" w:author="Graziella DiRenzo" w:date="2022-10-31T16:39:00Z" w:initials="">
    <w:p w14:paraId="2C916356"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Added &amp; Table S1 added with a list of references and types (below)</w:t>
      </w:r>
    </w:p>
  </w:comment>
  <w:comment w:id="13" w:author="Graziella DiRenzo" w:date="2022-10-31T16:12:00Z" w:initials="">
    <w:p w14:paraId="609CB0C8"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do you think of a figure like this? Just a rough draft to show the steps to prep the data - I just took the section headers.</w:t>
      </w:r>
    </w:p>
  </w:comment>
  <w:comment w:id="14" w:author="Michelle Lee" w:date="2022-08-31T18:50:00Z" w:initials="">
    <w:p w14:paraId="7636E0FD"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based on only "resolvedplantsci_021722". Could be good to have this number of it removes the majority of non-flowering plants, but isn't totally filtered just based on observed interactions -- as we have with the filtered lists.</w:t>
      </w:r>
    </w:p>
  </w:comment>
  <w:comment w:id="15" w:author="Michelle Lee" w:date="2022-08-31T22:25:00Z" w:initials="">
    <w:p w14:paraId="32623F2D"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feel like we altogether could discuss the effect that these proportions have on the model (if any). Not sure if I'm misinterpreting the results</w:t>
      </w:r>
    </w:p>
  </w:comment>
  <w:comment w:id="16" w:author="Graziella DiRenzo" w:date="2022-10-31T17:47:00Z" w:initials="">
    <w:p w14:paraId="6E35A27A"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 not sure I understand this - consider rewording.</w:t>
      </w:r>
    </w:p>
  </w:comment>
  <w:comment w:id="17" w:author="Katja Seltmann" w:date="2022-08-31T23:15:00Z" w:initials="">
    <w:p w14:paraId="1AA70275"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@Enicospilus@gmail.com</w:t>
      </w:r>
    </w:p>
  </w:comment>
  <w:comment w:id="18" w:author="Michelle Lee" w:date="2022-11-15T11:54:00Z" w:initials="ML">
    <w:p w14:paraId="7AFC784F" w14:textId="77777777" w:rsidR="00013EEE" w:rsidRDefault="00013EEE" w:rsidP="00981E8A">
      <w:r>
        <w:rPr>
          <w:rStyle w:val="CommentReference"/>
        </w:rPr>
        <w:annotationRef/>
      </w:r>
      <w:r>
        <w:rPr>
          <w:sz w:val="20"/>
          <w:szCs w:val="20"/>
        </w:rPr>
        <w:t>Rename GitHub repository?</w:t>
      </w:r>
    </w:p>
  </w:comment>
  <w:comment w:id="19" w:author="Michelle Lee" w:date="2022-11-16T11:34:00Z" w:initials="ML">
    <w:p w14:paraId="2FFFB4C7" w14:textId="77777777" w:rsidR="009F7BA5" w:rsidRDefault="009F7BA5" w:rsidP="002224D9">
      <w:r>
        <w:rPr>
          <w:rStyle w:val="CommentReference"/>
        </w:rPr>
        <w:annotationRef/>
      </w:r>
      <w:r>
        <w:rPr>
          <w:sz w:val="20"/>
          <w:szCs w:val="20"/>
        </w:rPr>
        <w:t>What figures for supplemental materials or paper?</w:t>
      </w:r>
    </w:p>
  </w:comment>
  <w:comment w:id="20" w:author="Michelle Lee" w:date="2022-05-25T16:15:00Z" w:initials="">
    <w:p w14:paraId="29CF6CC1" w14:textId="4972C4E3"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Probability of bee-plant interaction: the model estimated value of possible bee plant interactions</w:t>
      </w:r>
    </w:p>
    <w:p w14:paraId="158BEB54"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Higher probability ~ more generalist</w:t>
      </w:r>
    </w:p>
    <w:p w14:paraId="33CFA65F"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Lower probability ~ more specialized</w:t>
      </w:r>
    </w:p>
    <w:p w14:paraId="402E4E79" w14:textId="77777777" w:rsidR="00413978" w:rsidRDefault="00413978">
      <w:pPr>
        <w:widowControl w:val="0"/>
        <w:pBdr>
          <w:top w:val="nil"/>
          <w:left w:val="nil"/>
          <w:bottom w:val="nil"/>
          <w:right w:val="nil"/>
          <w:between w:val="nil"/>
        </w:pBdr>
        <w:rPr>
          <w:rFonts w:ascii="Arial" w:eastAsia="Arial" w:hAnsi="Arial" w:cs="Arial"/>
          <w:color w:val="000000"/>
          <w:sz w:val="22"/>
          <w:szCs w:val="22"/>
        </w:rPr>
      </w:pPr>
    </w:p>
    <w:p w14:paraId="4B854821"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Biologically, an approximation of potential interactions based on what data we have observed and the phenology</w:t>
      </w:r>
    </w:p>
    <w:p w14:paraId="532D0177" w14:textId="77777777" w:rsidR="00413978" w:rsidRDefault="00413978">
      <w:pPr>
        <w:widowControl w:val="0"/>
        <w:pBdr>
          <w:top w:val="nil"/>
          <w:left w:val="nil"/>
          <w:bottom w:val="nil"/>
          <w:right w:val="nil"/>
          <w:between w:val="nil"/>
        </w:pBdr>
        <w:rPr>
          <w:rFonts w:ascii="Arial" w:eastAsia="Arial" w:hAnsi="Arial" w:cs="Arial"/>
          <w:color w:val="000000"/>
          <w:sz w:val="22"/>
          <w:szCs w:val="22"/>
        </w:rPr>
      </w:pPr>
    </w:p>
    <w:p w14:paraId="009E0628" w14:textId="77777777" w:rsidR="00413978"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Covariates include ecological or detection understanding of possible interactions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EEAA7F" w15:done="0"/>
  <w15:commentEx w15:paraId="3C0F7286" w15:done="0"/>
  <w15:commentEx w15:paraId="37A954DA" w15:done="0"/>
  <w15:commentEx w15:paraId="7628F553" w15:done="0"/>
  <w15:commentEx w15:paraId="55E34E59" w15:done="0"/>
  <w15:commentEx w15:paraId="4B31FBB9" w15:done="0"/>
  <w15:commentEx w15:paraId="5792B9CE" w15:done="0"/>
  <w15:commentEx w15:paraId="32EEE642" w15:done="0"/>
  <w15:commentEx w15:paraId="0678F472" w15:done="0"/>
  <w15:commentEx w15:paraId="7CA8B0AE" w15:done="0"/>
  <w15:commentEx w15:paraId="6E8EFDA4" w15:done="0"/>
  <w15:commentEx w15:paraId="7EA57549" w15:done="0"/>
  <w15:commentEx w15:paraId="2C916356" w15:done="0"/>
  <w15:commentEx w15:paraId="609CB0C8" w15:done="0"/>
  <w15:commentEx w15:paraId="7636E0FD" w15:done="0"/>
  <w15:commentEx w15:paraId="32623F2D" w15:done="0"/>
  <w15:commentEx w15:paraId="6E35A27A" w15:done="1"/>
  <w15:commentEx w15:paraId="1AA70275" w15:done="0"/>
  <w15:commentEx w15:paraId="7AFC784F" w15:done="0"/>
  <w15:commentEx w15:paraId="2FFFB4C7" w15:paraIdParent="7AFC784F" w15:done="0"/>
  <w15:commentEx w15:paraId="009E0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F4C0A" w16cex:dateUtc="2022-11-16T19:46:00Z"/>
  <w16cex:commentExtensible w16cex:durableId="271DFC89" w16cex:dateUtc="2022-11-15T19:54:00Z"/>
  <w16cex:commentExtensible w16cex:durableId="271F494F" w16cex:dateUtc="2022-11-16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EEAA7F" w16cid:durableId="271B489F"/>
  <w16cid:commentId w16cid:paraId="3C0F7286" w16cid:durableId="271B48A0"/>
  <w16cid:commentId w16cid:paraId="37A954DA" w16cid:durableId="271B48A1"/>
  <w16cid:commentId w16cid:paraId="7628F553" w16cid:durableId="271B48A2"/>
  <w16cid:commentId w16cid:paraId="55E34E59" w16cid:durableId="271B48A3"/>
  <w16cid:commentId w16cid:paraId="4B31FBB9" w16cid:durableId="271B48A5"/>
  <w16cid:commentId w16cid:paraId="5792B9CE" w16cid:durableId="271B48A6"/>
  <w16cid:commentId w16cid:paraId="32EEE642" w16cid:durableId="271B48A7"/>
  <w16cid:commentId w16cid:paraId="0678F472" w16cid:durableId="271F4C0A"/>
  <w16cid:commentId w16cid:paraId="7CA8B0AE" w16cid:durableId="271B48B2"/>
  <w16cid:commentId w16cid:paraId="6E8EFDA4" w16cid:durableId="271B48B3"/>
  <w16cid:commentId w16cid:paraId="7EA57549" w16cid:durableId="271B48B4"/>
  <w16cid:commentId w16cid:paraId="2C916356" w16cid:durableId="271B48B5"/>
  <w16cid:commentId w16cid:paraId="609CB0C8" w16cid:durableId="271B48B6"/>
  <w16cid:commentId w16cid:paraId="7636E0FD" w16cid:durableId="271B48B7"/>
  <w16cid:commentId w16cid:paraId="32623F2D" w16cid:durableId="271B48B8"/>
  <w16cid:commentId w16cid:paraId="6E35A27A" w16cid:durableId="271B48BA"/>
  <w16cid:commentId w16cid:paraId="1AA70275" w16cid:durableId="271B48BB"/>
  <w16cid:commentId w16cid:paraId="7AFC784F" w16cid:durableId="271DFC89"/>
  <w16cid:commentId w16cid:paraId="2FFFB4C7" w16cid:durableId="271F494F"/>
  <w16cid:commentId w16cid:paraId="009E0628" w16cid:durableId="271B48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Quattrocento Sans">
    <w:panose1 w:val="020B0502050000020003"/>
    <w:charset w:val="00"/>
    <w:family w:val="swiss"/>
    <w:pitch w:val="variable"/>
    <w:sig w:usb0="800000BF" w:usb1="4000005B"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Roboto">
    <w:panose1 w:val="02000000000000000000"/>
    <w:charset w:val="00"/>
    <w:family w:val="auto"/>
    <w:pitch w:val="variable"/>
    <w:sig w:usb0="E00002FF" w:usb1="5000205B" w:usb2="00000020" w:usb3="00000000" w:csb0="0000019F" w:csb1="00000000"/>
  </w:font>
  <w:font w:name="Noto Sans Symbols">
    <w:altName w:val="Calibri"/>
    <w:panose1 w:val="020B0604020202020204"/>
    <w:charset w:val="00"/>
    <w:family w:val="auto"/>
    <w:pitch w:val="default"/>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A789D"/>
    <w:multiLevelType w:val="multilevel"/>
    <w:tmpl w:val="BE58D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B87B6D"/>
    <w:multiLevelType w:val="multilevel"/>
    <w:tmpl w:val="B0A42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C26AC6"/>
    <w:multiLevelType w:val="multilevel"/>
    <w:tmpl w:val="FE083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1867359">
    <w:abstractNumId w:val="0"/>
  </w:num>
  <w:num w:numId="2" w16cid:durableId="1350064155">
    <w:abstractNumId w:val="2"/>
  </w:num>
  <w:num w:numId="3" w16cid:durableId="79202158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elle Lee">
    <w15:presenceInfo w15:providerId="AD" w15:userId="S::michellejlee@ucsb.edu::986c3b86-a3ee-40dd-b682-06211f838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78"/>
    <w:rsid w:val="00013EEE"/>
    <w:rsid w:val="0004184F"/>
    <w:rsid w:val="00063EF2"/>
    <w:rsid w:val="0008454C"/>
    <w:rsid w:val="000A2DBD"/>
    <w:rsid w:val="000B463F"/>
    <w:rsid w:val="000B7A71"/>
    <w:rsid w:val="00105508"/>
    <w:rsid w:val="00124687"/>
    <w:rsid w:val="00140A31"/>
    <w:rsid w:val="001656B5"/>
    <w:rsid w:val="00174267"/>
    <w:rsid w:val="00194A57"/>
    <w:rsid w:val="001B1D60"/>
    <w:rsid w:val="00253598"/>
    <w:rsid w:val="00283BE7"/>
    <w:rsid w:val="00342C61"/>
    <w:rsid w:val="0036231A"/>
    <w:rsid w:val="003A1FA1"/>
    <w:rsid w:val="00404739"/>
    <w:rsid w:val="00413978"/>
    <w:rsid w:val="00432E81"/>
    <w:rsid w:val="00443FE7"/>
    <w:rsid w:val="00513513"/>
    <w:rsid w:val="005F545B"/>
    <w:rsid w:val="00637C3F"/>
    <w:rsid w:val="00725D6A"/>
    <w:rsid w:val="007C7AC9"/>
    <w:rsid w:val="007D1976"/>
    <w:rsid w:val="008158D4"/>
    <w:rsid w:val="00845690"/>
    <w:rsid w:val="00891DA4"/>
    <w:rsid w:val="00931AF4"/>
    <w:rsid w:val="00931DB5"/>
    <w:rsid w:val="009F7BA5"/>
    <w:rsid w:val="00A467A6"/>
    <w:rsid w:val="00A96B1D"/>
    <w:rsid w:val="00AD2385"/>
    <w:rsid w:val="00AF424F"/>
    <w:rsid w:val="00BF3DB4"/>
    <w:rsid w:val="00C00708"/>
    <w:rsid w:val="00C14A1B"/>
    <w:rsid w:val="00C17676"/>
    <w:rsid w:val="00C86E6B"/>
    <w:rsid w:val="00D36CAF"/>
    <w:rsid w:val="00D6545B"/>
    <w:rsid w:val="00D665D4"/>
    <w:rsid w:val="00DD45C6"/>
    <w:rsid w:val="00E434AE"/>
    <w:rsid w:val="00E444CE"/>
    <w:rsid w:val="00F70A34"/>
    <w:rsid w:val="00F7660D"/>
    <w:rsid w:val="00F87C03"/>
    <w:rsid w:val="00F97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4CFD55"/>
  <w15:docId w15:val="{248DBE8C-D4BC-AF40-8FB0-82C9D5F0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13EEE"/>
    <w:rPr>
      <w:b/>
      <w:bCs/>
    </w:rPr>
  </w:style>
  <w:style w:type="character" w:customStyle="1" w:styleId="CommentSubjectChar">
    <w:name w:val="Comment Subject Char"/>
    <w:basedOn w:val="CommentTextChar"/>
    <w:link w:val="CommentSubject"/>
    <w:uiPriority w:val="99"/>
    <w:semiHidden/>
    <w:rsid w:val="00013EEE"/>
    <w:rPr>
      <w:b/>
      <w:bCs/>
      <w:sz w:val="20"/>
      <w:szCs w:val="20"/>
    </w:rPr>
  </w:style>
  <w:style w:type="paragraph" w:styleId="Bibliography">
    <w:name w:val="Bibliography"/>
    <w:basedOn w:val="Normal"/>
    <w:next w:val="Normal"/>
    <w:uiPriority w:val="37"/>
    <w:unhideWhenUsed/>
    <w:rsid w:val="0051351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hyperlink" Target="http://inaturalist.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hyperlink" Target="https://www.usclimatedata.com/climate/san-diego/california/united-states/usca0982"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usclimatedata.com/climate/san-luis-obispo/california/united-states/usca1502"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7197C-44D7-F249-9168-16082B56C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42</Pages>
  <Words>32598</Words>
  <Characters>185815</Characters>
  <Application>Microsoft Office Word</Application>
  <DocSecurity>0</DocSecurity>
  <Lines>1548</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Michelle Lee</cp:lastModifiedBy>
  <cp:revision>30</cp:revision>
  <dcterms:created xsi:type="dcterms:W3CDTF">2022-11-13T20:14:00Z</dcterms:created>
  <dcterms:modified xsi:type="dcterms:W3CDTF">2022-11-18T21:52:00Z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id="mKPrSGUY"/&gt;&lt;style id="http://www.zotero.org/styles/methods-in-ecology-and-evolution" hasBibliography="1" bibliographyStyleHasBeenSet="1"/&gt;&lt;prefs&gt;&lt;pref name="fieldType" value="Field"/&gt;&lt;/prefs&gt;&lt;/da</vt:lpwstr>
  </property>
  <property fmtid="{D5CDD505-2E9C-101B-9397-08002B2CF9AE}" pid="3" name="ZOTERO_PREF_2">
    <vt:lpwstr>ta&gt;</vt:lpwstr>
  </property>
</Properties>
</file>