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28658"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28659"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28660"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28661"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28662"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28663"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28664"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r>
        <w:t>4.1.5</w:t>
      </w:r>
      <w:r>
        <w:rPr>
          <w:rFonts w:hint="eastAsia"/>
        </w:rPr>
        <w:t>添加</w:t>
      </w:r>
      <w:r>
        <w:rPr>
          <w:rFonts w:hint="eastAsia"/>
        </w:rPr>
        <w:t>关键活动</w:t>
      </w:r>
      <w:r>
        <w:rPr>
          <w:rFonts w:hint="eastAsia"/>
        </w:rPr>
        <w:t>模块</w:t>
      </w:r>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22" w:name="_Toc513196533"/>
      <w:r>
        <w:t>4.2</w:t>
      </w:r>
      <w:r w:rsidR="004B61DB">
        <w:rPr>
          <w:rFonts w:hint="eastAsia"/>
        </w:rPr>
        <w:t>数据库设计</w:t>
      </w:r>
      <w:bookmarkEnd w:id="22"/>
    </w:p>
    <w:p w:rsidR="004B61DB" w:rsidRDefault="00551B69" w:rsidP="004B61DB">
      <w:pPr>
        <w:pStyle w:val="14"/>
        <w:ind w:firstLineChars="200" w:firstLine="480"/>
        <w:rPr>
          <w:rFonts w:ascii="黑体" w:eastAsia="黑体" w:hAnsi="黑体"/>
        </w:rPr>
      </w:pPr>
      <w:r>
        <w:rPr>
          <w:rFonts w:ascii="黑体" w:eastAsia="黑体" w:hAnsi="黑体"/>
        </w:rPr>
        <w:t>4.2.1</w:t>
      </w:r>
      <w:r w:rsidR="004B61DB">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w:t>
      </w:r>
      <w:r w:rsidR="00EA2A95">
        <w:t>4-6</w:t>
      </w:r>
      <w:r>
        <w:rPr>
          <w:rFonts w:hint="eastAsia"/>
        </w:rPr>
        <w:t>和图</w:t>
      </w:r>
      <w:r w:rsidR="00EA2A95">
        <w:t>4-7</w:t>
      </w:r>
      <w:bookmarkStart w:id="23" w:name="_GoBack"/>
      <w:bookmarkEnd w:id="23"/>
      <w:r>
        <w:rPr>
          <w:rFonts w:hint="eastAsia"/>
        </w:rPr>
        <w:t>所示。</w:t>
      </w:r>
    </w:p>
    <w:p w:rsidR="004B61DB" w:rsidRDefault="00EA53AC" w:rsidP="004B61DB">
      <w:pPr>
        <w:widowControl/>
        <w:jc w:val="center"/>
        <w:rPr>
          <w:rFonts w:ascii="宋体" w:hAnsi="宋体" w:cs="宋体"/>
          <w:kern w:val="0"/>
        </w:rPr>
      </w:pPr>
      <w:r w:rsidRPr="00EA53AC">
        <w:rPr>
          <w:rFonts w:ascii="宋体" w:hAnsi="宋体" w:cs="宋体"/>
          <w:noProof/>
          <w:kern w:val="0"/>
        </w:rPr>
        <w:lastRenderedPageBreak/>
        <w:drawing>
          <wp:inline distT="0" distB="0" distL="0" distR="0">
            <wp:extent cx="5274310" cy="6064058"/>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6064058"/>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w:t>
      </w:r>
      <w:r w:rsidR="00C7219A">
        <w:rPr>
          <w:rFonts w:ascii="黑体" w:eastAsia="黑体" w:hAnsi="黑体"/>
        </w:rPr>
        <w:t>4-6</w:t>
      </w:r>
      <w:r>
        <w:rPr>
          <w:rFonts w:ascii="黑体" w:eastAsia="黑体" w:hAnsi="黑体" w:hint="eastAsia"/>
        </w:rPr>
        <w:t xml:space="preserve"> 系统的C</w:t>
      </w:r>
      <w:r>
        <w:rPr>
          <w:rFonts w:ascii="黑体" w:eastAsia="黑体" w:hAnsi="黑体"/>
        </w:rPr>
        <w:t>DM图</w:t>
      </w:r>
    </w:p>
    <w:p w:rsidR="004B61DB" w:rsidRDefault="00EA53AC" w:rsidP="004B61DB">
      <w:pPr>
        <w:widowControl/>
        <w:jc w:val="center"/>
        <w:rPr>
          <w:rFonts w:ascii="宋体" w:hAnsi="宋体" w:cs="宋体"/>
          <w:kern w:val="0"/>
        </w:rPr>
      </w:pPr>
      <w:r w:rsidRPr="00EA53AC">
        <w:rPr>
          <w:rFonts w:ascii="宋体" w:hAnsi="宋体" w:cs="宋体"/>
          <w:noProof/>
          <w:kern w:val="0"/>
        </w:rPr>
        <w:lastRenderedPageBreak/>
        <w:drawing>
          <wp:inline distT="0" distB="0" distL="0" distR="0">
            <wp:extent cx="5274310" cy="6162744"/>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616274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w:t>
      </w:r>
      <w:r w:rsidR="00C7219A">
        <w:rPr>
          <w:rFonts w:ascii="黑体" w:eastAsia="黑体" w:hAnsi="黑体"/>
        </w:rPr>
        <w:t>4</w:t>
      </w:r>
      <w:r w:rsidR="00C7219A">
        <w:rPr>
          <w:rFonts w:ascii="黑体" w:eastAsia="黑体" w:hAnsi="黑体" w:hint="eastAsia"/>
        </w:rPr>
        <w:t>-</w:t>
      </w:r>
      <w:r w:rsidR="00C7219A">
        <w:rPr>
          <w:rFonts w:ascii="黑体" w:eastAsia="黑体" w:hAnsi="黑体"/>
        </w:rPr>
        <w:t>7</w:t>
      </w:r>
      <w:r>
        <w:rPr>
          <w:rFonts w:ascii="黑体" w:eastAsia="黑体" w:hAnsi="黑体" w:hint="eastAsia"/>
        </w:rPr>
        <w:t xml:space="preserve">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4" w:name="_Toc513196534"/>
      <w:r>
        <w:rPr>
          <w:rFonts w:ascii="Times New Roman" w:hAnsi="Times New Roman" w:hint="eastAsia"/>
        </w:rPr>
        <w:t>系统实现与调试</w:t>
      </w:r>
      <w:bookmarkEnd w:id="24"/>
    </w:p>
    <w:p w:rsidR="004B61DB" w:rsidRDefault="004B61DB" w:rsidP="006D4AD5">
      <w:pPr>
        <w:pStyle w:val="a7"/>
        <w:numPr>
          <w:ilvl w:val="1"/>
          <w:numId w:val="2"/>
        </w:numPr>
      </w:pPr>
      <w:bookmarkStart w:id="25" w:name="_Toc513196535"/>
      <w:r>
        <w:rPr>
          <w:rFonts w:hint="eastAsia"/>
        </w:rPr>
        <w:t>系统实现</w:t>
      </w:r>
      <w:bookmarkEnd w:id="25"/>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6" w:name="_Toc513196536"/>
      <w:r>
        <w:t xml:space="preserve">4.1.1 </w:t>
      </w:r>
      <w:r>
        <w:rPr>
          <w:rFonts w:hint="eastAsia"/>
        </w:rPr>
        <w:t>后台管理员模块实现</w:t>
      </w:r>
      <w:bookmarkEnd w:id="26"/>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2"/>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7" w:name="_Toc513196540"/>
      <w:r>
        <w:rPr>
          <w:rFonts w:ascii="Times New Roman" w:hAnsi="Times New Roman"/>
        </w:rPr>
        <w:lastRenderedPageBreak/>
        <w:t>结论</w:t>
      </w:r>
      <w:bookmarkEnd w:id="27"/>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28" w:name="_Toc513196541"/>
      <w:r>
        <w:rPr>
          <w:rFonts w:ascii="Times New Roman" w:hAnsi="Times New Roman"/>
        </w:rPr>
        <w:t>致谢</w:t>
      </w:r>
      <w:bookmarkEnd w:id="28"/>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29" w:name="_Toc513196542"/>
      <w:r>
        <w:rPr>
          <w:rFonts w:ascii="Times New Roman" w:hAnsi="Times New Roman"/>
        </w:rPr>
        <w:t>参考文献</w:t>
      </w:r>
      <w:bookmarkEnd w:id="29"/>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0" w:name="_Toc481515847"/>
    </w:p>
    <w:bookmarkEnd w:id="30"/>
    <w:p w:rsidR="00177235" w:rsidRDefault="00177235" w:rsidP="00177235">
      <w:pPr>
        <w:pStyle w:val="a9"/>
        <w:adjustRightInd w:val="0"/>
        <w:snapToGrid w:val="0"/>
        <w:rPr>
          <w:rFonts w:eastAsia="黑体"/>
          <w:sz w:val="32"/>
          <w:szCs w:val="32"/>
        </w:rPr>
      </w:pPr>
    </w:p>
    <w:p w:rsidR="00177235" w:rsidRDefault="00177235" w:rsidP="003F2CEA">
      <w:bookmarkStart w:id="31" w:name="_Toc503448592"/>
    </w:p>
    <w:p w:rsidR="00177235" w:rsidRDefault="00177235" w:rsidP="00177235">
      <w:pPr>
        <w:pStyle w:val="13"/>
        <w:rPr>
          <w:rFonts w:ascii="Times New Roman" w:hAnsi="Times New Roman"/>
        </w:rPr>
      </w:pPr>
      <w:r>
        <w:rPr>
          <w:rFonts w:ascii="Times New Roman" w:hAnsi="Times New Roman" w:hint="eastAsia"/>
        </w:rPr>
        <w:t>附录</w:t>
      </w:r>
      <w:bookmarkEnd w:id="31"/>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191" w:rsidRDefault="00633191" w:rsidP="003313B1">
      <w:r>
        <w:separator/>
      </w:r>
    </w:p>
  </w:endnote>
  <w:endnote w:type="continuationSeparator" w:id="0">
    <w:p w:rsidR="00633191" w:rsidRDefault="00633191"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EA2A95" w:rsidRPr="00EA2A95">
          <w:rPr>
            <w:rFonts w:ascii="黑体" w:eastAsia="黑体" w:hAnsi="黑体"/>
            <w:noProof/>
            <w:lang w:val="zh-CN"/>
          </w:rPr>
          <w:t>33</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191" w:rsidRDefault="00633191" w:rsidP="003313B1">
      <w:r>
        <w:separator/>
      </w:r>
    </w:p>
  </w:footnote>
  <w:footnote w:type="continuationSeparator" w:id="0">
    <w:p w:rsidR="00633191" w:rsidRDefault="00633191"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1A3E"/>
    <w:rsid w:val="00063AAF"/>
    <w:rsid w:val="000651F8"/>
    <w:rsid w:val="000A6558"/>
    <w:rsid w:val="000D2D9B"/>
    <w:rsid w:val="000D39FD"/>
    <w:rsid w:val="000D6EFA"/>
    <w:rsid w:val="0011147C"/>
    <w:rsid w:val="00142BCF"/>
    <w:rsid w:val="00142D68"/>
    <w:rsid w:val="001444E3"/>
    <w:rsid w:val="0015076D"/>
    <w:rsid w:val="0016106A"/>
    <w:rsid w:val="00162F63"/>
    <w:rsid w:val="00177235"/>
    <w:rsid w:val="0018761B"/>
    <w:rsid w:val="001907CF"/>
    <w:rsid w:val="001A1BE6"/>
    <w:rsid w:val="001D23A2"/>
    <w:rsid w:val="001E4271"/>
    <w:rsid w:val="001F3BE3"/>
    <w:rsid w:val="0021691C"/>
    <w:rsid w:val="002373BB"/>
    <w:rsid w:val="002915DA"/>
    <w:rsid w:val="00291A52"/>
    <w:rsid w:val="002A6B17"/>
    <w:rsid w:val="002D37A9"/>
    <w:rsid w:val="002E0705"/>
    <w:rsid w:val="003313B1"/>
    <w:rsid w:val="00342CF0"/>
    <w:rsid w:val="00355D43"/>
    <w:rsid w:val="0037697E"/>
    <w:rsid w:val="00380E02"/>
    <w:rsid w:val="003B112F"/>
    <w:rsid w:val="003C3563"/>
    <w:rsid w:val="003D6699"/>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51B69"/>
    <w:rsid w:val="00571FBC"/>
    <w:rsid w:val="005820CF"/>
    <w:rsid w:val="00584ED4"/>
    <w:rsid w:val="005A1A68"/>
    <w:rsid w:val="005B48EA"/>
    <w:rsid w:val="005C1097"/>
    <w:rsid w:val="005C23A7"/>
    <w:rsid w:val="005D0A40"/>
    <w:rsid w:val="005D11D3"/>
    <w:rsid w:val="005F0278"/>
    <w:rsid w:val="00601415"/>
    <w:rsid w:val="00616318"/>
    <w:rsid w:val="00616C95"/>
    <w:rsid w:val="0063181D"/>
    <w:rsid w:val="00633191"/>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7F68AD"/>
    <w:rsid w:val="008022A6"/>
    <w:rsid w:val="00805E79"/>
    <w:rsid w:val="00821EEA"/>
    <w:rsid w:val="0083380A"/>
    <w:rsid w:val="0083409D"/>
    <w:rsid w:val="00835CD0"/>
    <w:rsid w:val="00855950"/>
    <w:rsid w:val="008821FC"/>
    <w:rsid w:val="008864D7"/>
    <w:rsid w:val="008872F5"/>
    <w:rsid w:val="00891CFF"/>
    <w:rsid w:val="008C5E55"/>
    <w:rsid w:val="008F164D"/>
    <w:rsid w:val="008F3671"/>
    <w:rsid w:val="00900F7F"/>
    <w:rsid w:val="009221E9"/>
    <w:rsid w:val="00923B4C"/>
    <w:rsid w:val="00927A86"/>
    <w:rsid w:val="00934F43"/>
    <w:rsid w:val="00935804"/>
    <w:rsid w:val="00940C9D"/>
    <w:rsid w:val="00954339"/>
    <w:rsid w:val="00967318"/>
    <w:rsid w:val="00983E05"/>
    <w:rsid w:val="009966AD"/>
    <w:rsid w:val="009A6FC8"/>
    <w:rsid w:val="009B216A"/>
    <w:rsid w:val="009B7341"/>
    <w:rsid w:val="009C1B16"/>
    <w:rsid w:val="009D107D"/>
    <w:rsid w:val="009E4B57"/>
    <w:rsid w:val="009F4C6E"/>
    <w:rsid w:val="00A001E2"/>
    <w:rsid w:val="00A02673"/>
    <w:rsid w:val="00A04831"/>
    <w:rsid w:val="00A050F2"/>
    <w:rsid w:val="00A128D1"/>
    <w:rsid w:val="00A22737"/>
    <w:rsid w:val="00A30637"/>
    <w:rsid w:val="00A3267A"/>
    <w:rsid w:val="00A53253"/>
    <w:rsid w:val="00A537CF"/>
    <w:rsid w:val="00A63207"/>
    <w:rsid w:val="00A64931"/>
    <w:rsid w:val="00A66EE1"/>
    <w:rsid w:val="00A7198F"/>
    <w:rsid w:val="00A73063"/>
    <w:rsid w:val="00A77AF0"/>
    <w:rsid w:val="00A81F01"/>
    <w:rsid w:val="00AB346C"/>
    <w:rsid w:val="00AB3817"/>
    <w:rsid w:val="00AB6B50"/>
    <w:rsid w:val="00AC0472"/>
    <w:rsid w:val="00AC3FFA"/>
    <w:rsid w:val="00AD113D"/>
    <w:rsid w:val="00AD3489"/>
    <w:rsid w:val="00AF07F1"/>
    <w:rsid w:val="00AF59F5"/>
    <w:rsid w:val="00B236CF"/>
    <w:rsid w:val="00B31653"/>
    <w:rsid w:val="00B47419"/>
    <w:rsid w:val="00B528CF"/>
    <w:rsid w:val="00B55B12"/>
    <w:rsid w:val="00B61F09"/>
    <w:rsid w:val="00B64733"/>
    <w:rsid w:val="00B87A6D"/>
    <w:rsid w:val="00BA0871"/>
    <w:rsid w:val="00BA24DE"/>
    <w:rsid w:val="00BA6E13"/>
    <w:rsid w:val="00BB247F"/>
    <w:rsid w:val="00BB4E5D"/>
    <w:rsid w:val="00BB567A"/>
    <w:rsid w:val="00BC24B2"/>
    <w:rsid w:val="00C0136E"/>
    <w:rsid w:val="00C04DDF"/>
    <w:rsid w:val="00C11385"/>
    <w:rsid w:val="00C2358E"/>
    <w:rsid w:val="00C37209"/>
    <w:rsid w:val="00C42865"/>
    <w:rsid w:val="00C51A4D"/>
    <w:rsid w:val="00C51C18"/>
    <w:rsid w:val="00C52D51"/>
    <w:rsid w:val="00C53DFB"/>
    <w:rsid w:val="00C601D3"/>
    <w:rsid w:val="00C63C4F"/>
    <w:rsid w:val="00C7219A"/>
    <w:rsid w:val="00C91DB1"/>
    <w:rsid w:val="00CA2D2A"/>
    <w:rsid w:val="00CA63D9"/>
    <w:rsid w:val="00CC0030"/>
    <w:rsid w:val="00CF4F4C"/>
    <w:rsid w:val="00D048F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27DB"/>
    <w:rsid w:val="00E13177"/>
    <w:rsid w:val="00E21A70"/>
    <w:rsid w:val="00E30C2E"/>
    <w:rsid w:val="00E450F1"/>
    <w:rsid w:val="00E54BF1"/>
    <w:rsid w:val="00E62C1B"/>
    <w:rsid w:val="00E65F3C"/>
    <w:rsid w:val="00E700D3"/>
    <w:rsid w:val="00E73C55"/>
    <w:rsid w:val="00E95783"/>
    <w:rsid w:val="00EA2A95"/>
    <w:rsid w:val="00EA370D"/>
    <w:rsid w:val="00EA53AC"/>
    <w:rsid w:val="00EA712C"/>
    <w:rsid w:val="00EB36A2"/>
    <w:rsid w:val="00ED5D09"/>
    <w:rsid w:val="00EE1049"/>
    <w:rsid w:val="00EE6C66"/>
    <w:rsid w:val="00EE7CDF"/>
    <w:rsid w:val="00EF7967"/>
    <w:rsid w:val="00F17281"/>
    <w:rsid w:val="00F327AE"/>
    <w:rsid w:val="00F32A37"/>
    <w:rsid w:val="00F42714"/>
    <w:rsid w:val="00F56275"/>
    <w:rsid w:val="00F62CBE"/>
    <w:rsid w:val="00F65034"/>
    <w:rsid w:val="00F876F5"/>
    <w:rsid w:val="00FA678C"/>
    <w:rsid w:val="00FB40BD"/>
    <w:rsid w:val="00FC07FF"/>
    <w:rsid w:val="00FD124B"/>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A565-4F2E-4BF2-A081-88FB4DC2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42</Pages>
  <Words>2727</Words>
  <Characters>15548</Characters>
  <Application>Microsoft Office Word</Application>
  <DocSecurity>0</DocSecurity>
  <Lines>129</Lines>
  <Paragraphs>36</Paragraphs>
  <ScaleCrop>false</ScaleCrop>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205</cp:revision>
  <dcterms:created xsi:type="dcterms:W3CDTF">2019-04-20T05:15:00Z</dcterms:created>
  <dcterms:modified xsi:type="dcterms:W3CDTF">2019-04-24T08:24:00Z</dcterms:modified>
</cp:coreProperties>
</file>