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Corporate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</w:t>
            </w:r>
          </w:p>
        </w:tc>
        <w:tc>
          <w:tcPr>
            <w:tcW w:type="dxa" w:w="2880"/>
          </w:tcPr>
          <w:p>
            <w:r>
              <w:t>Ownership Percentage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HOPU Investment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Hillhouse</w:t>
            </w:r>
          </w:p>
        </w:tc>
        <w:tc>
          <w:tcPr>
            <w:tcW w:type="dxa" w:w="2880"/>
          </w:tcPr>
          <w:p>
            <w:r>
              <w:t>21.0%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SpringHill</w:t>
            </w:r>
          </w:p>
        </w:tc>
        <w:tc>
          <w:tcPr>
            <w:tcW w:type="dxa" w:w="2880"/>
          </w:tcPr>
          <w:p>
            <w:r>
              <w:t>21.0%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BOC Investment</w:t>
            </w:r>
          </w:p>
        </w:tc>
        <w:tc>
          <w:tcPr>
            <w:tcW w:type="dxa" w:w="2880"/>
          </w:tcPr>
          <w:p>
            <w:r>
              <w:t>15.7%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Vanke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Mr. Ming Z. Mei and other management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Holdings LP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BidCo Ltd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Pte Ltd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  <w:tc>
          <w:tcPr>
            <w:tcW w:type="dxa" w:w="2880"/>
          </w:tcPr>
          <w:p>
            <w:r>
              <w:t>GLPSP '25: USD 1,000mn due 2025/06/04</w:t>
              <w:br/>
              <w:t>GLPSP '29: JPY 15.4bn due 2029/12/24</w:t>
              <w:br/>
              <w:t>GLPSP 4.5 Perp: USD 850mn callable 2026/5/17</w:t>
              <w:br/>
              <w:t>GLPSP 4.6 Perp: USD 300mn callable 2027/6/29</w:t>
            </w:r>
          </w:p>
        </w:tc>
      </w:tr>
      <w:tr>
        <w:tc>
          <w:tcPr>
            <w:tcW w:type="dxa" w:w="2880"/>
          </w:tcPr>
          <w:p>
            <w:r>
              <w:t>GLP Capital Partners</w:t>
            </w:r>
          </w:p>
        </w:tc>
        <w:tc>
          <w:tcPr>
            <w:tcW w:type="dxa" w:w="2880"/>
          </w:tcPr>
          <w:p>
            <w:r>
              <w:t>66.1%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Employee stock ownership plans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Associates (I) Ltd</w:t>
            </w:r>
          </w:p>
        </w:tc>
        <w:tc>
          <w:tcPr>
            <w:tcW w:type="dxa" w:w="2880"/>
          </w:tcPr>
          <w:p>
            <w:r>
              <w:t>3.64%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Associates (II) LLC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CLH Limited</w:t>
            </w:r>
          </w:p>
        </w:tc>
        <w:tc>
          <w:tcPr>
            <w:tcW w:type="dxa" w:w="2880"/>
          </w:tcPr>
          <w:p>
            <w:r>
              <w:t>84.3%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China Life Insurance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China Development Bank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Bank of China International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China Post Life Insurance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Boyu Capital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HOPU Investment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Khorgos H Company Ltd</w:t>
            </w:r>
          </w:p>
        </w:tc>
        <w:tc>
          <w:tcPr>
            <w:tcW w:type="dxa" w:w="2880"/>
          </w:tcPr>
          <w:p>
            <w:r>
              <w:t>12.06%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Khorgos II Company Ltd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GLP China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Onshore:</w:t>
              <w:br/>
              <w:t>21GLP07: RMB 1500mn puttable 2024/04/22</w:t>
              <w:br/>
              <w:t>18GLP03: RMB 238mn puttable 2024/05/02</w:t>
              <w:br/>
              <w:t>22GLP01: RMB 1000mn due 2025/03/07</w:t>
              <w:br/>
              <w:t>22GLP02: RMB 570mn due 2025/06/23</w:t>
              <w:br/>
              <w:t>21GLP11: RMB 1500mn due 2028/06/23</w:t>
              <w:br/>
              <w:t>18GLP11: RMB 7mn due 2027/02/07</w:t>
              <w:br/>
              <w:br/>
              <w:t>Offshore:</w:t>
              <w:br/>
              <w:t>GLPCHI '24: CNH 1200mn due 2024/07/02</w:t>
              <w:br/>
              <w:t>GLPCHI '26: USD 700mn due 2026/03/29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