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Title"/>
      </w:pPr>
    </w:p>
    <w:p>
      <w:pPr>
        <w:pStyle w:val="Title"/>
        <w:jc w:val="center"/>
      </w:pPr>
      <w:r>
        <w:t>车拉拉货运平台</w:t>
      </w:r>
    </w:p>
    <w:p>
      <w:pPr>
        <w:jc w:val="center"/>
      </w:pPr>
      <w:r>
        <w:rPr>
          <w:rFonts w:ascii="Microsoft YaHei" w:hAnsi="Microsoft YaHei" w:eastAsia="Microsoft YaHei"/>
          <w:sz w:val="44"/>
        </w:rPr>
        <w:br/>
        <w:t>商业运营与系统规划方案</w:t>
        <w:br/>
        <w:t>（完整版）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项目代号：CHELALA</w:t>
        <w:br/>
        <w:t>版本：V2.0（在线支付+清分功能）</w:t>
        <w:br/>
        <w:t>编制日期：2026年3月9日</w:t>
        <w:br/>
        <w:t>编制单位：广州八米网络科技有限公司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1"/>
        </w:rPr>
        <w:t>第一章 执行摘要</w:t>
      </w:r>
    </w:p>
    <w:p>
      <w:r>
        <w:rPr>
          <w:rFonts w:ascii="Microsoft YaHei" w:hAnsi="Microsoft YaHei" w:eastAsia="Microsoft YaHei"/>
          <w:sz w:val="21"/>
        </w:rPr>
        <w:t xml:space="preserve">  1.1 项目概述</w:t>
      </w:r>
    </w:p>
    <w:p>
      <w:r>
        <w:rPr>
          <w:rFonts w:ascii="Microsoft YaHei" w:hAnsi="Microsoft YaHei" w:eastAsia="Microsoft YaHei"/>
          <w:sz w:val="21"/>
        </w:rPr>
        <w:t xml:space="preserve">  1.2 核心价值主张</w:t>
      </w:r>
    </w:p>
    <w:p>
      <w:r>
        <w:rPr>
          <w:rFonts w:ascii="Microsoft YaHei" w:hAnsi="Microsoft YaHei" w:eastAsia="Microsoft YaHei"/>
          <w:sz w:val="21"/>
        </w:rPr>
        <w:t xml:space="preserve">  1.3 市场机会分析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第二章 商业模式（Business Model）</w:t>
      </w:r>
    </w:p>
    <w:p>
      <w:r>
        <w:rPr>
          <w:rFonts w:ascii="Microsoft YaHei" w:hAnsi="Microsoft YaHei" w:eastAsia="Microsoft YaHei"/>
          <w:sz w:val="21"/>
        </w:rPr>
        <w:t xml:space="preserve">  2.1 平台定位与愿景</w:t>
      </w:r>
    </w:p>
    <w:p>
      <w:r>
        <w:rPr>
          <w:rFonts w:ascii="Microsoft YaHei" w:hAnsi="Microsoft YaHei" w:eastAsia="Microsoft YaHei"/>
          <w:sz w:val="21"/>
        </w:rPr>
        <w:t xml:space="preserve">  2.2 业务生态体系</w:t>
      </w:r>
    </w:p>
    <w:p>
      <w:r>
        <w:rPr>
          <w:rFonts w:ascii="Microsoft YaHei" w:hAnsi="Microsoft YaHei" w:eastAsia="Microsoft YaHei"/>
          <w:sz w:val="21"/>
        </w:rPr>
        <w:t xml:space="preserve">  2.3 双支付模式设计</w:t>
      </w:r>
    </w:p>
    <w:p>
      <w:r>
        <w:rPr>
          <w:rFonts w:ascii="Microsoft YaHei" w:hAnsi="Microsoft YaHei" w:eastAsia="Microsoft YaHei"/>
          <w:sz w:val="21"/>
        </w:rPr>
        <w:t xml:space="preserve">  2.4 清分机制与合规</w:t>
      </w:r>
    </w:p>
    <w:p>
      <w:r>
        <w:rPr>
          <w:rFonts w:ascii="Microsoft YaHei" w:hAnsi="Microsoft YaHei" w:eastAsia="Microsoft YaHei"/>
          <w:sz w:val="21"/>
        </w:rPr>
        <w:t xml:space="preserve">  2.5 竞争优势分析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第三章 运营模式（Operation Model）</w:t>
      </w:r>
    </w:p>
    <w:p>
      <w:r>
        <w:rPr>
          <w:rFonts w:ascii="Microsoft YaHei" w:hAnsi="Microsoft YaHei" w:eastAsia="Microsoft YaHei"/>
          <w:sz w:val="21"/>
        </w:rPr>
        <w:t xml:space="preserve">  3.1 组织架构设计</w:t>
      </w:r>
    </w:p>
    <w:p>
      <w:r>
        <w:rPr>
          <w:rFonts w:ascii="Microsoft YaHei" w:hAnsi="Microsoft YaHei" w:eastAsia="Microsoft YaHei"/>
          <w:sz w:val="21"/>
        </w:rPr>
        <w:t xml:space="preserve">  3.2 三级加盟管理体系</w:t>
      </w:r>
    </w:p>
    <w:p>
      <w:r>
        <w:rPr>
          <w:rFonts w:ascii="Microsoft YaHei" w:hAnsi="Microsoft YaHei" w:eastAsia="Microsoft YaHei"/>
          <w:sz w:val="21"/>
        </w:rPr>
        <w:t xml:space="preserve">  3.3 司机全生命周期运营</w:t>
      </w:r>
    </w:p>
    <w:p>
      <w:r>
        <w:rPr>
          <w:rFonts w:ascii="Microsoft YaHei" w:hAnsi="Microsoft YaHei" w:eastAsia="Microsoft YaHei"/>
          <w:sz w:val="21"/>
        </w:rPr>
        <w:t xml:space="preserve">  3.4 货主获客与留存</w:t>
      </w:r>
    </w:p>
    <w:p>
      <w:r>
        <w:rPr>
          <w:rFonts w:ascii="Microsoft YaHei" w:hAnsi="Microsoft YaHei" w:eastAsia="Microsoft YaHei"/>
          <w:sz w:val="21"/>
        </w:rPr>
        <w:t xml:space="preserve">  3.5 清分机构对接流程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第四章 营收模式（Revenue Model）</w:t>
      </w:r>
    </w:p>
    <w:p>
      <w:r>
        <w:rPr>
          <w:rFonts w:ascii="Microsoft YaHei" w:hAnsi="Microsoft YaHei" w:eastAsia="Microsoft YaHei"/>
          <w:sz w:val="21"/>
        </w:rPr>
        <w:t xml:space="preserve">  4.1 收入结构分析</w:t>
      </w:r>
    </w:p>
    <w:p>
      <w:r>
        <w:rPr>
          <w:rFonts w:ascii="Microsoft YaHei" w:hAnsi="Microsoft YaHei" w:eastAsia="Microsoft YaHei"/>
          <w:sz w:val="21"/>
        </w:rPr>
        <w:t xml:space="preserve">  4.2 双模式收费机制</w:t>
      </w:r>
    </w:p>
    <w:p>
      <w:r>
        <w:rPr>
          <w:rFonts w:ascii="Microsoft YaHei" w:hAnsi="Microsoft YaHei" w:eastAsia="Microsoft YaHei"/>
          <w:sz w:val="21"/>
        </w:rPr>
        <w:t xml:space="preserve">  4.3 分润模式详解</w:t>
      </w:r>
    </w:p>
    <w:p>
      <w:r>
        <w:rPr>
          <w:rFonts w:ascii="Microsoft YaHei" w:hAnsi="Microsoft YaHei" w:eastAsia="Microsoft YaHei"/>
          <w:sz w:val="21"/>
        </w:rPr>
        <w:t xml:space="preserve">  4.4 财务测算模型</w:t>
      </w:r>
    </w:p>
    <w:p>
      <w:r>
        <w:rPr>
          <w:rFonts w:ascii="Microsoft YaHei" w:hAnsi="Microsoft YaHei" w:eastAsia="Microsoft YaHei"/>
          <w:sz w:val="21"/>
        </w:rPr>
        <w:t xml:space="preserve">  4.5 盈亏平衡分析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第五章 营销模式（Marketing Strategy）</w:t>
      </w:r>
    </w:p>
    <w:p>
      <w:r>
        <w:rPr>
          <w:rFonts w:ascii="Microsoft YaHei" w:hAnsi="Microsoft YaHei" w:eastAsia="Microsoft YaHei"/>
          <w:sz w:val="21"/>
        </w:rPr>
        <w:t xml:space="preserve">  5.1 市场定位策略</w:t>
      </w:r>
    </w:p>
    <w:p>
      <w:r>
        <w:rPr>
          <w:rFonts w:ascii="Microsoft YaHei" w:hAnsi="Microsoft YaHei" w:eastAsia="Microsoft YaHei"/>
          <w:sz w:val="21"/>
        </w:rPr>
        <w:t xml:space="preserve">  5.2 品牌传播方案</w:t>
      </w:r>
    </w:p>
    <w:p>
      <w:r>
        <w:rPr>
          <w:rFonts w:ascii="Microsoft YaHei" w:hAnsi="Microsoft YaHei" w:eastAsia="Microsoft YaHei"/>
          <w:sz w:val="21"/>
        </w:rPr>
        <w:t xml:space="preserve">  5.3 获客渠道矩阵</w:t>
      </w:r>
    </w:p>
    <w:p>
      <w:r>
        <w:rPr>
          <w:rFonts w:ascii="Microsoft YaHei" w:hAnsi="Microsoft YaHei" w:eastAsia="Microsoft YaHei"/>
          <w:sz w:val="21"/>
        </w:rPr>
        <w:t xml:space="preserve">  5.4 推广活动规划</w:t>
      </w:r>
    </w:p>
    <w:p>
      <w:r>
        <w:rPr>
          <w:rFonts w:ascii="Microsoft YaHei" w:hAnsi="Microsoft YaHei" w:eastAsia="Microsoft YaHei"/>
          <w:sz w:val="21"/>
        </w:rPr>
        <w:t xml:space="preserve">  5.5 客户留存策略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第六章 系统PRD文档</w:t>
      </w:r>
    </w:p>
    <w:p>
      <w:r>
        <w:rPr>
          <w:rFonts w:ascii="Microsoft YaHei" w:hAnsi="Microsoft YaHei" w:eastAsia="Microsoft YaHei"/>
          <w:sz w:val="21"/>
        </w:rPr>
        <w:t xml:space="preserve">  6.1 产品概述</w:t>
      </w:r>
    </w:p>
    <w:p>
      <w:r>
        <w:rPr>
          <w:rFonts w:ascii="Microsoft YaHei" w:hAnsi="Microsoft YaHei" w:eastAsia="Microsoft YaHei"/>
          <w:sz w:val="21"/>
        </w:rPr>
        <w:t xml:space="preserve">  6.2 用户端功能需求</w:t>
      </w:r>
    </w:p>
    <w:p>
      <w:r>
        <w:rPr>
          <w:rFonts w:ascii="Microsoft YaHei" w:hAnsi="Microsoft YaHei" w:eastAsia="Microsoft YaHei"/>
          <w:sz w:val="21"/>
        </w:rPr>
        <w:t xml:space="preserve">  6.3 司机端功能需求</w:t>
      </w:r>
    </w:p>
    <w:p>
      <w:r>
        <w:rPr>
          <w:rFonts w:ascii="Microsoft YaHei" w:hAnsi="Microsoft YaHei" w:eastAsia="Microsoft YaHei"/>
          <w:sz w:val="21"/>
        </w:rPr>
        <w:t xml:space="preserve">  6.4 加盟商后台需求</w:t>
      </w:r>
    </w:p>
    <w:p>
      <w:r>
        <w:rPr>
          <w:rFonts w:ascii="Microsoft YaHei" w:hAnsi="Microsoft YaHei" w:eastAsia="Microsoft YaHei"/>
          <w:sz w:val="21"/>
        </w:rPr>
        <w:t xml:space="preserve">  6.5 平台管理后台需求</w:t>
      </w:r>
    </w:p>
    <w:p>
      <w:r>
        <w:rPr>
          <w:rFonts w:ascii="Microsoft YaHei" w:hAnsi="Microsoft YaHei" w:eastAsia="Microsoft YaHei"/>
          <w:sz w:val="21"/>
        </w:rPr>
        <w:t xml:space="preserve">  6.6 清分结算系统需求</w:t>
      </w:r>
    </w:p>
    <w:p>
      <w:r>
        <w:rPr>
          <w:rFonts w:ascii="Microsoft YaHei" w:hAnsi="Microsoft YaHei" w:eastAsia="Microsoft YaHei"/>
          <w:sz w:val="21"/>
        </w:rPr>
        <w:t xml:space="preserve">  6.7 非功能性需求</w:t>
      </w:r>
    </w:p>
    <w:p>
      <w:r>
        <w:rPr>
          <w:rFonts w:ascii="Microsoft YaHei" w:hAnsi="Microsoft YaHei" w:eastAsia="Microsoft YaHei"/>
          <w:sz w:val="21"/>
        </w:rPr>
        <w:t xml:space="preserve">  6.8 系统架构设计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第七章 实施规划</w:t>
      </w:r>
    </w:p>
    <w:p>
      <w:r>
        <w:rPr>
          <w:rFonts w:ascii="Microsoft YaHei" w:hAnsi="Microsoft YaHei" w:eastAsia="Microsoft YaHei"/>
          <w:sz w:val="21"/>
        </w:rPr>
        <w:t xml:space="preserve">  7.1 项目里程碑</w:t>
      </w:r>
    </w:p>
    <w:p>
      <w:r>
        <w:rPr>
          <w:rFonts w:ascii="Microsoft YaHei" w:hAnsi="Microsoft YaHei" w:eastAsia="Microsoft YaHei"/>
          <w:sz w:val="21"/>
        </w:rPr>
        <w:t xml:space="preserve">  7.2 团队配置</w:t>
      </w:r>
    </w:p>
    <w:p>
      <w:r>
        <w:rPr>
          <w:rFonts w:ascii="Microsoft YaHei" w:hAnsi="Microsoft YaHei" w:eastAsia="Microsoft YaHei"/>
          <w:sz w:val="21"/>
        </w:rPr>
        <w:t xml:space="preserve">  7.3 风险评估与应对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附录</w:t>
      </w:r>
    </w:p>
    <w:p>
      <w:r>
        <w:rPr>
          <w:rFonts w:ascii="Microsoft YaHei" w:hAnsi="Microsoft YaHei" w:eastAsia="Microsoft YaHei"/>
          <w:sz w:val="21"/>
        </w:rPr>
        <w:t xml:space="preserve">  附录A：术语表</w:t>
      </w:r>
    </w:p>
    <w:p>
      <w:r>
        <w:rPr>
          <w:rFonts w:ascii="Microsoft YaHei" w:hAnsi="Microsoft YaHei" w:eastAsia="Microsoft YaHei"/>
          <w:sz w:val="21"/>
        </w:rPr>
        <w:t xml:space="preserve">  附录B：流程图集</w:t>
      </w:r>
    </w:p>
    <w:p>
      <w:r>
        <w:rPr>
          <w:rFonts w:ascii="Microsoft YaHei" w:hAnsi="Microsoft YaHei" w:eastAsia="Microsoft YaHei"/>
          <w:sz w:val="21"/>
        </w:rPr>
        <w:t xml:space="preserve">  附录C：原型示意</w:t>
      </w:r>
    </w:p>
    <w:p>
      <w:r>
        <w:br w:type="page"/>
      </w:r>
    </w:p>
    <w:p>
      <w:pPr>
        <w:pStyle w:val="Heading1"/>
      </w:pPr>
      <w:r>
        <w:t>第一章 执行摘要</w:t>
      </w:r>
    </w:p>
    <w:p>
      <w:pPr>
        <w:pStyle w:val="Heading2"/>
      </w:pPr>
      <w:r>
        <w:t>1.1 项目概述</w:t>
      </w:r>
    </w:p>
    <w:p>
      <w:r>
        <w:rPr>
          <w:rFonts w:ascii="Microsoft YaHei" w:hAnsi="Microsoft YaHei" w:eastAsia="Microsoft YaHei"/>
          <w:sz w:val="21"/>
        </w:rPr>
        <w:t>车拉拉是一个基于多级加盟制的货运信息撮合平台，采用"平台总部-省级加盟商-城市加盟商"三级架构。平台支持双支付模式：在线支付（清分合规）和线下支付（灵活便捷）。</w:t>
      </w:r>
    </w:p>
    <w:p>
      <w:r>
        <w:rPr>
          <w:rFonts w:ascii="Microsoft YaHei" w:hAnsi="Microsoft YaHei" w:eastAsia="Microsoft YaHei"/>
          <w:sz w:val="21"/>
        </w:rPr>
        <w:t>通过引入持牌清分机构，解决多级分润的税务合规问题，实现资金流、发票流、业务流三流合一，让加盟商、司机、平台都能在合规框架下运营。</w:t>
      </w:r>
    </w:p>
    <w:p>
      <w:pPr>
        <w:pStyle w:val="Heading2"/>
      </w:pPr>
      <w:r>
        <w:t>1.2 核心价值主张</w:t>
      </w:r>
    </w:p>
    <w:p>
      <w:r>
        <w:rPr>
          <w:rFonts w:ascii="Microsoft YaHei" w:hAnsi="Microsoft YaHei" w:eastAsia="Microsoft YaHei"/>
          <w:b/>
          <w:sz w:val="21"/>
        </w:rPr>
        <w:t>对货主的价值：</w:t>
      </w:r>
    </w:p>
    <w:p>
      <w:pPr>
        <w:pStyle w:val="ListBullet"/>
        <w:ind w:left="360"/>
      </w:pPr>
      <w:r>
        <w:t>价格透明：在线支付时价格锁定，无临时加价</w:t>
      </w:r>
    </w:p>
    <w:p>
      <w:pPr>
        <w:pStyle w:val="ListBullet"/>
        <w:ind w:left="360"/>
      </w:pPr>
      <w:r>
        <w:t>交易安全：平台担保，货物损失可理赔</w:t>
      </w:r>
    </w:p>
    <w:p>
      <w:pPr>
        <w:pStyle w:val="ListBullet"/>
        <w:ind w:left="360"/>
      </w:pPr>
      <w:r>
        <w:t>发票合规：可获取正规运输发票，用于企业抵扣</w:t>
      </w:r>
    </w:p>
    <w:p>
      <w:pPr>
        <w:pStyle w:val="ListBullet"/>
        <w:ind w:left="360"/>
      </w:pPr>
      <w:r>
        <w:t>灵活选择：可自由选择在线支付（安全）或线下支付（便宜）</w:t>
      </w:r>
    </w:p>
    <w:p>
      <w:r>
        <w:rPr>
          <w:rFonts w:ascii="Microsoft YaHei" w:hAnsi="Microsoft YaHei" w:eastAsia="Microsoft YaHei"/>
          <w:b/>
          <w:sz w:val="21"/>
        </w:rPr>
        <w:t>对司机的价值：</w:t>
      </w:r>
    </w:p>
    <w:p>
      <w:pPr>
        <w:pStyle w:val="ListBullet"/>
        <w:ind w:left="360"/>
      </w:pPr>
      <w:r>
        <w:t>收入灵活：在线支付（有保障、有发票）或线下支付（全拿现金）</w:t>
      </w:r>
    </w:p>
    <w:p>
      <w:pPr>
        <w:pStyle w:val="ListBullet"/>
        <w:ind w:left="360"/>
      </w:pPr>
      <w:r>
        <w:t>税务优化：通过平台收款可合规开票，降低个税负担</w:t>
      </w:r>
    </w:p>
    <w:p>
      <w:pPr>
        <w:pStyle w:val="ListBullet"/>
        <w:ind w:left="360"/>
      </w:pPr>
      <w:r>
        <w:t>低门槛：预存服务费即可接单，无需缴纳高额保证金</w:t>
      </w:r>
    </w:p>
    <w:p>
      <w:pPr>
        <w:pStyle w:val="ListBullet"/>
        <w:ind w:left="360"/>
      </w:pPr>
      <w:r>
        <w:t>订单保障：平台推送订单，减少空驶</w:t>
      </w:r>
    </w:p>
    <w:p>
      <w:r>
        <w:rPr>
          <w:rFonts w:ascii="Microsoft YaHei" w:hAnsi="Microsoft YaHei" w:eastAsia="Microsoft YaHei"/>
          <w:b/>
          <w:sz w:val="21"/>
        </w:rPr>
        <w:t>对加盟商的价值：</w:t>
      </w:r>
    </w:p>
    <w:p>
      <w:pPr>
        <w:pStyle w:val="ListBullet"/>
        <w:ind w:left="360"/>
      </w:pPr>
      <w:r>
        <w:t>轻资产运营：无需自有车辆，专注运营</w:t>
      </w:r>
    </w:p>
    <w:p>
      <w:pPr>
        <w:pStyle w:val="ListBullet"/>
        <w:ind w:left="360"/>
      </w:pPr>
      <w:r>
        <w:t>合规分润：通过清分机构获得合规收入，可开具发票</w:t>
      </w:r>
    </w:p>
    <w:p>
      <w:pPr>
        <w:pStyle w:val="ListBullet"/>
        <w:ind w:left="360"/>
      </w:pPr>
      <w:r>
        <w:t>区域保护：签约区域内独家经营权</w:t>
      </w:r>
    </w:p>
    <w:p>
      <w:pPr>
        <w:pStyle w:val="ListBullet"/>
        <w:ind w:left="360"/>
      </w:pPr>
      <w:r>
        <w:t>可发展下级：省级可发展市级，市级可发展区县</w:t>
      </w:r>
    </w:p>
    <w:p>
      <w:pPr>
        <w:pStyle w:val="Heading2"/>
      </w:pPr>
      <w:r>
        <w:t>1.3 市场机会分析</w:t>
      </w:r>
    </w:p>
    <w:p>
      <w:r>
        <w:rPr>
          <w:rFonts w:ascii="Microsoft YaHei" w:hAnsi="Microsoft YaHei" w:eastAsia="Microsoft YaHei"/>
          <w:sz w:val="21"/>
        </w:rPr>
        <w:t>中国同城货运市场规模超过万亿，但行业存在以下痛点：</w:t>
      </w:r>
    </w:p>
    <w:p>
      <w:pPr>
        <w:pStyle w:val="ListBullet"/>
        <w:ind w:left="360"/>
      </w:pPr>
      <w:r>
        <w:t>信息不对称：货主找车难，司机找货难</w:t>
      </w:r>
    </w:p>
    <w:p>
      <w:pPr>
        <w:pStyle w:val="ListBullet"/>
        <w:ind w:left="360"/>
      </w:pPr>
      <w:r>
        <w:t>价格不透明：传统信息部报价混乱，中间环节多</w:t>
      </w:r>
    </w:p>
    <w:p>
      <w:pPr>
        <w:pStyle w:val="ListBullet"/>
        <w:ind w:left="360"/>
      </w:pPr>
      <w:r>
        <w:t>税务不合规：大部分交易为现金，无法开具发票</w:t>
      </w:r>
    </w:p>
    <w:p>
      <w:pPr>
        <w:pStyle w:val="ListBullet"/>
        <w:ind w:left="360"/>
      </w:pPr>
      <w:r>
        <w:t>服务无保障：货物损坏、司机爽约等风险无人承担</w:t>
      </w:r>
    </w:p>
    <w:p>
      <w:r>
        <w:br w:type="page"/>
      </w:r>
    </w:p>
    <w:p>
      <w:pPr>
        <w:pStyle w:val="Heading1"/>
      </w:pPr>
      <w:r>
        <w:t>第二章 商业模式</w:t>
      </w:r>
    </w:p>
    <w:p>
      <w:pPr>
        <w:pStyle w:val="Heading2"/>
      </w:pPr>
      <w:r>
        <w:t>2.1 平台定位与愿景</w:t>
      </w:r>
    </w:p>
    <w:p>
      <w:r>
        <w:rPr>
          <w:rFonts w:ascii="Microsoft YaHei" w:hAnsi="Microsoft YaHei" w:eastAsia="Microsoft YaHei"/>
          <w:sz w:val="21"/>
        </w:rPr>
        <w:t>车拉拉 = 货运信息撮合平台 + 多级加盟管理体系 + 智能清分结算系统</w:t>
      </w:r>
    </w:p>
    <w:p>
      <w:r>
        <w:rPr>
          <w:rFonts w:ascii="Microsoft YaHei" w:hAnsi="Microsoft YaHei" w:eastAsia="Microsoft YaHei"/>
          <w:sz w:val="21"/>
        </w:rPr>
        <w:t>我们不仅仅是一个信息中介，更是一个合规的、可持续的、可规模化的货运生态平台。通过引入持牌清分机构，解决行业普遍存在的税务合规难题。</w:t>
      </w:r>
    </w:p>
    <w:p>
      <w:pPr>
        <w:pStyle w:val="Heading2"/>
      </w:pPr>
      <w:r>
        <w:t>2.2 业务生态体系</w:t>
      </w:r>
    </w:p>
    <w:p>
      <w:r>
        <w:rPr>
          <w:rFonts w:ascii="Microsoft YaHei" w:hAnsi="Microsoft YaHei" w:eastAsia="Microsoft YaHei"/>
          <w:sz w:val="21"/>
        </w:rPr>
        <w:t>生态参与方包括：平台总部、持牌清分机构、一级加盟商、二级加盟商、注册司机、货主。各参与方在生态中扮演不同角色，形成完整的商业闭环。</w:t>
      </w:r>
    </w:p>
    <w:p>
      <w:pPr>
        <w:pStyle w:val="Heading2"/>
      </w:pPr>
      <w:r>
        <w:t>2.3 双支付模式设计</w:t>
      </w:r>
    </w:p>
    <w:p>
      <w:r>
        <w:rPr>
          <w:rFonts w:ascii="Microsoft YaHei" w:hAnsi="Microsoft YaHei" w:eastAsia="Microsoft YaHei"/>
          <w:b/>
          <w:sz w:val="21"/>
        </w:rPr>
        <w:t>模式A：在线支付（平台推荐）</w:t>
      </w:r>
    </w:p>
    <w:p>
      <w:r>
        <w:rPr>
          <w:rFonts w:ascii="Microsoft YaHei" w:hAnsi="Microsoft YaHei" w:eastAsia="Microsoft YaHei"/>
          <w:sz w:val="21"/>
        </w:rPr>
        <w:t>适用场景：企业货主（需要发票抵扣）、高价值货物（需要保险保障）、长途运输（需要平台担保）</w:t>
      </w:r>
    </w:p>
    <w:p>
      <w:r>
        <w:rPr>
          <w:rFonts w:ascii="Microsoft YaHei" w:hAnsi="Microsoft YaHei" w:eastAsia="Microsoft YaHei"/>
          <w:sz w:val="21"/>
        </w:rPr>
        <w:t>流程：货主下单时支付全额运费 → 资金实时进入清分机构监管账户 → 司机完成运输 → 清分机构按预设规则分润 → T+1日到账各方账户</w:t>
      </w:r>
    </w:p>
    <w:p>
      <w:r>
        <w:rPr>
          <w:rFonts w:ascii="Microsoft YaHei" w:hAnsi="Microsoft YaHei" w:eastAsia="Microsoft YaHei"/>
          <w:b/>
          <w:sz w:val="21"/>
        </w:rPr>
        <w:t>模式B：线下支付（灵活选择）</w:t>
      </w:r>
    </w:p>
    <w:p>
      <w:r>
        <w:rPr>
          <w:rFonts w:ascii="Microsoft YaHei" w:hAnsi="Microsoft YaHei" w:eastAsia="Microsoft YaHei"/>
          <w:sz w:val="21"/>
        </w:rPr>
        <w:t>适用场景：个人货主（现金支付习惯）、熟人交易（长期合作司机）、短途运输（金额小、风险低）</w:t>
      </w:r>
    </w:p>
    <w:p>
      <w:r>
        <w:rPr>
          <w:rFonts w:ascii="Microsoft YaHei" w:hAnsi="Microsoft YaHei" w:eastAsia="Microsoft YaHei"/>
          <w:sz w:val="21"/>
        </w:rPr>
        <w:t>流程：货主下单选择"线下支付" → 司机接单 → 线下与货主结算运费 → 司机单独向平台缴纳服务费</w:t>
      </w:r>
    </w:p>
    <w:p>
      <w:pPr>
        <w:pStyle w:val="Heading2"/>
      </w:pPr>
      <w:r>
        <w:t>2.4 清分机制与合规</w:t>
      </w:r>
    </w:p>
    <w:p>
      <w:r>
        <w:rPr>
          <w:rFonts w:ascii="Microsoft YaHei" w:hAnsi="Microsoft YaHei" w:eastAsia="Microsoft YaHei"/>
          <w:sz w:val="21"/>
        </w:rPr>
        <w:t>引入持牌清分机构的必要性：</w:t>
      </w:r>
    </w:p>
    <w:p>
      <w:pPr>
        <w:pStyle w:val="ListBullet"/>
        <w:ind w:left="360"/>
      </w:pPr>
      <w:r>
        <w:t>解决二清风险：平台无证从事支付结算业务的问题</w:t>
      </w:r>
    </w:p>
    <w:p>
      <w:pPr>
        <w:pStyle w:val="ListBullet"/>
        <w:ind w:left="360"/>
      </w:pPr>
      <w:r>
        <w:t>解决税务风险：平台难以给司机、加盟商合规开票</w:t>
      </w:r>
    </w:p>
    <w:p>
      <w:pPr>
        <w:pStyle w:val="ListBullet"/>
        <w:ind w:left="360"/>
      </w:pPr>
      <w:r>
        <w:t>解决资金风险：平台资金池庞大，存在挪用风险</w:t>
      </w:r>
    </w:p>
    <w:p>
      <w:pPr>
        <w:pStyle w:val="ListBullet"/>
        <w:ind w:left="360"/>
      </w:pPr>
      <w:r>
        <w:t>满足监管要求：监管机构对平台经济审查趋严</w:t>
      </w:r>
    </w:p>
    <w:p>
      <w:r>
        <w:br w:type="page"/>
      </w:r>
    </w:p>
    <w:p>
      <w:pPr>
        <w:pStyle w:val="Heading2"/>
      </w:pPr>
      <w:r>
        <w:t>表2-1 与竞品对比分析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传统货拉拉</w:t>
            </w:r>
          </w:p>
        </w:tc>
        <w:tc>
          <w:tcPr>
            <w:tcW w:type="dxa" w:w="2160"/>
          </w:tcPr>
          <w:p>
            <w:r>
              <w:t>传统信息部</w:t>
            </w:r>
          </w:p>
        </w:tc>
        <w:tc>
          <w:tcPr>
            <w:tcW w:type="dxa" w:w="2160"/>
          </w:tcPr>
          <w:p>
            <w:r>
              <w:t>车拉拉V2.0</w:t>
            </w:r>
          </w:p>
        </w:tc>
      </w:tr>
      <w:tr>
        <w:tc>
          <w:tcPr>
            <w:tcW w:type="dxa" w:w="2160"/>
          </w:tcPr>
          <w:p>
            <w:r>
              <w:t>支付模式</w:t>
            </w:r>
          </w:p>
        </w:tc>
        <w:tc>
          <w:tcPr>
            <w:tcW w:type="dxa" w:w="2160"/>
          </w:tcPr>
          <w:p>
            <w:r>
              <w:t>强制在线支付</w:t>
            </w:r>
          </w:p>
        </w:tc>
        <w:tc>
          <w:tcPr>
            <w:tcW w:type="dxa" w:w="2160"/>
          </w:tcPr>
          <w:p>
            <w:r>
              <w:t>纯线下支付</w:t>
            </w:r>
          </w:p>
        </w:tc>
        <w:tc>
          <w:tcPr>
            <w:tcW w:type="dxa" w:w="2160"/>
          </w:tcPr>
          <w:p>
            <w:r>
              <w:t>双模式</w:t>
            </w:r>
          </w:p>
        </w:tc>
      </w:tr>
      <w:tr>
        <w:tc>
          <w:tcPr>
            <w:tcW w:type="dxa" w:w="2160"/>
          </w:tcPr>
          <w:p>
            <w:r>
              <w:t>税务处理</w:t>
            </w:r>
          </w:p>
        </w:tc>
        <w:tc>
          <w:tcPr>
            <w:tcW w:type="dxa" w:w="2160"/>
          </w:tcPr>
          <w:p>
            <w:r>
              <w:t>平台代扣代缴</w:t>
            </w:r>
          </w:p>
        </w:tc>
        <w:tc>
          <w:tcPr>
            <w:tcW w:type="dxa" w:w="2160"/>
          </w:tcPr>
          <w:p>
            <w:r>
              <w:t>完全不合规</w:t>
            </w:r>
          </w:p>
        </w:tc>
        <w:tc>
          <w:tcPr>
            <w:tcW w:type="dxa" w:w="2160"/>
          </w:tcPr>
          <w:p>
            <w:r>
              <w:t>清分机构合规开票</w:t>
            </w:r>
          </w:p>
        </w:tc>
      </w:tr>
      <w:tr>
        <w:tc>
          <w:tcPr>
            <w:tcW w:type="dxa" w:w="2160"/>
          </w:tcPr>
          <w:p>
            <w:r>
              <w:t>加盟商体系</w:t>
            </w:r>
          </w:p>
        </w:tc>
        <w:tc>
          <w:tcPr>
            <w:tcW w:type="dxa" w:w="2160"/>
          </w:tcPr>
          <w:p>
            <w:r>
              <w:t>直营为主</w:t>
            </w:r>
          </w:p>
        </w:tc>
        <w:tc>
          <w:tcPr>
            <w:tcW w:type="dxa" w:w="2160"/>
          </w:tcPr>
          <w:p>
            <w:r>
              <w:t>无加盟体系</w:t>
            </w:r>
          </w:p>
        </w:tc>
        <w:tc>
          <w:tcPr>
            <w:tcW w:type="dxa" w:w="2160"/>
          </w:tcPr>
          <w:p>
            <w:r>
              <w:t>强加盟体系</w:t>
            </w:r>
          </w:p>
        </w:tc>
      </w:tr>
      <w:tr>
        <w:tc>
          <w:tcPr>
            <w:tcW w:type="dxa" w:w="2160"/>
          </w:tcPr>
          <w:p>
            <w:r>
              <w:t>资金安全性</w:t>
            </w:r>
          </w:p>
        </w:tc>
        <w:tc>
          <w:tcPr>
            <w:tcW w:type="dxa" w:w="2160"/>
          </w:tcPr>
          <w:p>
            <w:r>
              <w:t>平台资金池</w:t>
            </w:r>
          </w:p>
        </w:tc>
        <w:tc>
          <w:tcPr>
            <w:tcW w:type="dxa" w:w="2160"/>
          </w:tcPr>
          <w:p>
            <w:r>
              <w:t>无资金监管</w:t>
            </w:r>
          </w:p>
        </w:tc>
        <w:tc>
          <w:tcPr>
            <w:tcW w:type="dxa" w:w="2160"/>
          </w:tcPr>
          <w:p>
            <w:r>
              <w:t>清分机构监管</w:t>
            </w:r>
          </w:p>
        </w:tc>
      </w:tr>
      <w:tr>
        <w:tc>
          <w:tcPr>
            <w:tcW w:type="dxa" w:w="2160"/>
          </w:tcPr>
          <w:p>
            <w:r>
              <w:t>司机体验</w:t>
            </w:r>
          </w:p>
        </w:tc>
        <w:tc>
          <w:tcPr>
            <w:tcW w:type="dxa" w:w="2160"/>
          </w:tcPr>
          <w:p>
            <w:r>
              <w:t>收入被抽成</w:t>
            </w:r>
          </w:p>
        </w:tc>
        <w:tc>
          <w:tcPr>
            <w:tcW w:type="dxa" w:w="2160"/>
          </w:tcPr>
          <w:p>
            <w:r>
              <w:t>收入全拿无保障</w:t>
            </w:r>
          </w:p>
        </w:tc>
        <w:tc>
          <w:tcPr>
            <w:tcW w:type="dxa" w:w="2160"/>
          </w:tcPr>
          <w:p>
            <w:r>
              <w:t>灵活选择有保障</w:t>
            </w:r>
          </w:p>
        </w:tc>
      </w:tr>
    </w:tbl>
    <w:p>
      <w:r>
        <w:br w:type="page"/>
      </w:r>
    </w:p>
    <w:p>
      <w:pPr>
        <w:pStyle w:val="Heading1"/>
      </w:pPr>
      <w:r>
        <w:t>第三章 运营模式</w:t>
      </w:r>
    </w:p>
    <w:p>
      <w:pPr>
        <w:pStyle w:val="Heading2"/>
      </w:pPr>
      <w:r>
        <w:t>3.1 组织架构设计</w:t>
      </w:r>
    </w:p>
    <w:p>
      <w:r>
        <w:rPr>
          <w:rFonts w:ascii="Microsoft YaHei" w:hAnsi="Microsoft YaHei" w:eastAsia="Microsoft YaHei"/>
          <w:sz w:val="21"/>
        </w:rPr>
        <w:t>总部组织架构包括：运营中心（加盟商管理、司机运营、客服、风控）、技术中心（产品研发、系统架构、数据智能、运维）、市场中心（品牌推广、渠道合作、活动策划）。</w:t>
      </w:r>
    </w:p>
    <w:p>
      <w:pPr>
        <w:pStyle w:val="Heading2"/>
      </w:pPr>
      <w:r>
        <w:t>3.2 三级加盟管理体系</w:t>
      </w:r>
    </w:p>
    <w:p>
      <w:r>
        <w:rPr>
          <w:rFonts w:ascii="Microsoft YaHei" w:hAnsi="Microsoft YaHei" w:eastAsia="Microsoft YaHei"/>
          <w:sz w:val="21"/>
        </w:rPr>
        <w:t>一级加盟商（省级）：注册资本100万以上，缴纳加盟费20-50万，负责区域内品牌建设、发展二级加盟商、司机招募与培训。</w:t>
      </w:r>
    </w:p>
    <w:p>
      <w:r>
        <w:rPr>
          <w:rFonts w:ascii="Microsoft YaHei" w:hAnsi="Microsoft YaHei" w:eastAsia="Microsoft YaHei"/>
          <w:sz w:val="21"/>
        </w:rPr>
        <w:t>二级加盟商（城市级）：注册资本50万以上，缴纳加盟费5-15万，负责本城市司机招募、本地市场推广、司机日常管理。</w:t>
      </w:r>
    </w:p>
    <w:p>
      <w:pPr>
        <w:pStyle w:val="Heading2"/>
      </w:pPr>
      <w:r>
        <w:t>3.3 司机全生命周期运营</w:t>
      </w:r>
    </w:p>
    <w:p>
      <w:r>
        <w:rPr>
          <w:rFonts w:ascii="Microsoft YaHei" w:hAnsi="Microsoft YaHei" w:eastAsia="Microsoft YaHei"/>
          <w:sz w:val="21"/>
        </w:rPr>
        <w:t>招募阶段：通过加盟商地推（40%）、老司机推荐（25%）、线上投放（20%）、竞品挖角（10%）、物流园区（5%）等渠道招募。</w:t>
      </w:r>
    </w:p>
    <w:p>
      <w:r>
        <w:rPr>
          <w:rFonts w:ascii="Microsoft YaHei" w:hAnsi="Microsoft YaHei" w:eastAsia="Microsoft YaHei"/>
          <w:sz w:val="21"/>
        </w:rPr>
        <w:t>留存阶段：建立青铜、白银、黄金、铂金、钻石五级体系，不同等级享受不同权益，包括优先派单、免服务费特权、专属客服等。</w:t>
      </w:r>
    </w:p>
    <w:p>
      <w:pPr>
        <w:pStyle w:val="Heading2"/>
      </w:pPr>
      <w:r>
        <w:t>3.4 货主获客与留存</w:t>
      </w:r>
    </w:p>
    <w:p>
      <w:r>
        <w:rPr>
          <w:rFonts w:ascii="Microsoft YaHei" w:hAnsi="Microsoft YaHei" w:eastAsia="Microsoft YaHei"/>
          <w:sz w:val="21"/>
        </w:rPr>
        <w:t>获客渠道：SEM/信息流投放、SEO优化、异业合作、地推团队、BD团队、老客转介绍。</w:t>
      </w:r>
    </w:p>
    <w:p>
      <w:r>
        <w:rPr>
          <w:rFonts w:ascii="Microsoft YaHei" w:hAnsi="Microsoft YaHei" w:eastAsia="Microsoft YaHei"/>
          <w:sz w:val="21"/>
        </w:rPr>
        <w:t>会员体系：普通会员、银卡、金卡、黑卡四级，享受折扣、优先派单、月结、专属运力池等权益。</w:t>
      </w:r>
    </w:p>
    <w:p>
      <w:r>
        <w:br w:type="page"/>
      </w:r>
    </w:p>
    <w:p>
      <w:pPr>
        <w:pStyle w:val="Heading1"/>
      </w:pPr>
      <w:r>
        <w:t>第四章 营收模式</w:t>
      </w:r>
    </w:p>
    <w:p>
      <w:pPr>
        <w:pStyle w:val="Heading2"/>
      </w:pPr>
      <w:r>
        <w:t>4.1 收入结构分析</w:t>
      </w:r>
    </w:p>
    <w:p>
      <w:r>
        <w:rPr>
          <w:rFonts w:ascii="Microsoft YaHei" w:hAnsi="Microsoft YaHei" w:eastAsia="Microsoft YaHei"/>
          <w:sz w:val="21"/>
        </w:rPr>
        <w:t>收入来源包括：交易服务费（运费×5-10%，占比50%）、加盟费（一级20-50万/3年、二级5-15万/2年，占比25%）、品牌授权费（营收×2-3%，占比10%）、数据服务费（5000-20000/年，占比5%）、增值服务（保险、金融、广告，占比10%）。</w:t>
      </w:r>
    </w:p>
    <w:p>
      <w:pPr>
        <w:pStyle w:val="Heading2"/>
      </w:pPr>
      <w:r>
        <w:t>4.2 双模式收费机制</w:t>
      </w:r>
    </w:p>
    <w:p>
      <w:r>
        <w:rPr>
          <w:rFonts w:ascii="Microsoft YaHei" w:hAnsi="Microsoft YaHei" w:eastAsia="Microsoft YaHei"/>
          <w:sz w:val="21"/>
        </w:rPr>
        <w:t>在线支付模式：按订单金额比例收费，¥0-100收10%，¥100-500收8%，¥500-1000收6%，¥1000-5000收5%，¥5000+收4%。</w:t>
      </w:r>
    </w:p>
    <w:p>
      <w:r>
        <w:rPr>
          <w:rFonts w:ascii="Microsoft YaHei" w:hAnsi="Microsoft YaHei" w:eastAsia="Microsoft YaHei"/>
          <w:sz w:val="21"/>
        </w:rPr>
        <w:t>线下支付模式：按距离固定收费，0-5公里¥3/单，5-15公里¥5/单，15-30公里¥8/单，30-50公里¥12/单，50-100公里¥20/单，100公里+¥30/单。</w:t>
      </w:r>
    </w:p>
    <w:p>
      <w:pPr>
        <w:pStyle w:val="Heading2"/>
      </w:pPr>
      <w:r>
        <w:t>4.3 分润模式详解</w:t>
      </w:r>
    </w:p>
    <w:p>
      <w:r>
        <w:rPr>
          <w:rFonts w:ascii="Microsoft YaHei" w:hAnsi="Microsoft YaHei" w:eastAsia="Microsoft YaHei"/>
          <w:sz w:val="21"/>
        </w:rPr>
        <w:t>在线支付订单清分示例（¥1000订单，6%服务费）：</w:t>
      </w:r>
    </w:p>
    <w:p>
      <w:pPr>
        <w:pStyle w:val="ListBullet"/>
        <w:ind w:left="360"/>
      </w:pPr>
      <w:r>
        <w:t>司机收入：¥920（运费¥1000 - 服务费¥60 - 保险费¥20）</w:t>
      </w:r>
    </w:p>
    <w:p>
      <w:pPr>
        <w:pStyle w:val="ListBullet"/>
        <w:ind w:left="360"/>
      </w:pPr>
      <w:r>
        <w:t>平台总部：¥24（¥60 × 40%）</w:t>
      </w:r>
    </w:p>
    <w:p>
      <w:pPr>
        <w:pStyle w:val="ListBullet"/>
        <w:ind w:left="360"/>
      </w:pPr>
      <w:r>
        <w:t>一级加盟商：¥18（¥60 × 30%）</w:t>
      </w:r>
    </w:p>
    <w:p>
      <w:pPr>
        <w:pStyle w:val="ListBullet"/>
        <w:ind w:left="360"/>
      </w:pPr>
      <w:r>
        <w:t>二级加盟商：¥15（¥60 × 25%）</w:t>
      </w:r>
    </w:p>
    <w:p>
      <w:pPr>
        <w:pStyle w:val="ListBullet"/>
        <w:ind w:left="360"/>
      </w:pPr>
      <w:r>
        <w:t>清分机构：¥3（¥60 × 5%）</w:t>
      </w:r>
    </w:p>
    <w:p>
      <w:pPr>
        <w:pStyle w:val="Heading2"/>
      </w:pPr>
      <w:r>
        <w:t>4.4 财务测算模型</w:t>
      </w:r>
    </w:p>
    <w:p>
      <w:r>
        <w:rPr>
          <w:rFonts w:ascii="Microsoft YaHei" w:hAnsi="Microsoft YaHei" w:eastAsia="Microsoft YaHei"/>
          <w:sz w:val="21"/>
        </w:rPr>
        <w:t>单城市模型（保守估计）：活跃司机300人，日均单量3单/人，平均客单价¥6/单，日营收¥5400，月营收¥16.2万，年营收¥194.4万。</w:t>
      </w:r>
    </w:p>
    <w:p>
      <w:r>
        <w:rPr>
          <w:rFonts w:ascii="Microsoft YaHei" w:hAnsi="Microsoft YaHei" w:eastAsia="Microsoft YaHei"/>
          <w:sz w:val="21"/>
        </w:rPr>
        <w:t>全国模型（100个城市）：年营收约¥1.94亿，平台总部所得约¥3888万。</w:t>
      </w:r>
    </w:p>
    <w:p>
      <w:r>
        <w:br w:type="page"/>
      </w:r>
    </w:p>
    <w:p>
      <w:pPr>
        <w:pStyle w:val="Heading1"/>
      </w:pPr>
      <w:r>
        <w:t>第五章 营销模式</w:t>
      </w:r>
    </w:p>
    <w:p>
      <w:pPr>
        <w:pStyle w:val="Heading2"/>
      </w:pPr>
      <w:r>
        <w:t>5.1 市场定位策略</w:t>
      </w:r>
    </w:p>
    <w:p>
      <w:r>
        <w:rPr>
          <w:rFonts w:ascii="Microsoft YaHei" w:hAnsi="Microsoft YaHei" w:eastAsia="Microsoft YaHei"/>
          <w:sz w:val="21"/>
        </w:rPr>
        <w:t>目标市场：同城货运、城际货运、搬家服务、企业配送</w:t>
      </w:r>
    </w:p>
    <w:p>
      <w:r>
        <w:rPr>
          <w:rFonts w:ascii="Microsoft YaHei" w:hAnsi="Microsoft YaHei" w:eastAsia="Microsoft YaHei"/>
          <w:sz w:val="21"/>
        </w:rPr>
        <w:t>差异化定位："合规的货运平台"——强调税务合规、发票保障、区域服务</w:t>
      </w:r>
    </w:p>
    <w:p>
      <w:pPr>
        <w:pStyle w:val="Heading2"/>
      </w:pPr>
      <w:r>
        <w:t>5.2 品牌传播方案</w:t>
      </w:r>
    </w:p>
    <w:p>
      <w:r>
        <w:rPr>
          <w:rFonts w:ascii="Microsoft YaHei" w:hAnsi="Microsoft YaHei" w:eastAsia="Microsoft YaHei"/>
          <w:sz w:val="21"/>
        </w:rPr>
        <w:t>品牌口号："车拉拉，拉货就是快"</w:t>
      </w:r>
    </w:p>
    <w:p>
      <w:r>
        <w:rPr>
          <w:rFonts w:ascii="Microsoft YaHei" w:hAnsi="Microsoft YaHei" w:eastAsia="Microsoft YaHei"/>
          <w:sz w:val="21"/>
        </w:rPr>
        <w:t>传播渠道：抖音快手短视频、微信朋友圈广告、物流园区户外广告、货车车身广告</w:t>
      </w:r>
    </w:p>
    <w:p>
      <w:pPr>
        <w:pStyle w:val="Heading2"/>
      </w:pPr>
      <w:r>
        <w:t>5.3 获客渠道矩阵</w:t>
      </w:r>
    </w:p>
    <w:p>
      <w:r>
        <w:rPr>
          <w:rFonts w:ascii="Microsoft YaHei" w:hAnsi="Microsoft YaHei" w:eastAsia="Microsoft YaHei"/>
          <w:sz w:val="21"/>
        </w:rPr>
        <w:t>司机获客：地推（成本¥50-100/人）、推荐（¥100-200）、线上投放（¥150-300）、挖角（¥200-500）</w:t>
      </w:r>
    </w:p>
    <w:p>
      <w:r>
        <w:rPr>
          <w:rFonts w:ascii="Microsoft YaHei" w:hAnsi="Microsoft YaHei" w:eastAsia="Microsoft YaHei"/>
          <w:sz w:val="21"/>
        </w:rPr>
        <w:t>货主获客：SEM（¥30-50/注册）、SEO（长期投入）、异业合作（资源置换）、地推（¥30-50/注册）</w:t>
      </w:r>
    </w:p>
    <w:p>
      <w:pPr>
        <w:pStyle w:val="Heading2"/>
      </w:pPr>
      <w:r>
        <w:t>5.4 推广活动规划</w:t>
      </w:r>
    </w:p>
    <w:p>
      <w:r>
        <w:rPr>
          <w:rFonts w:ascii="Microsoft YaHei" w:hAnsi="Microsoft YaHei" w:eastAsia="Microsoft YaHei"/>
          <w:sz w:val="21"/>
        </w:rPr>
        <w:t>新司机首月：服务费减免50%、优先派单权、免费培训</w:t>
      </w:r>
    </w:p>
    <w:p>
      <w:r>
        <w:rPr>
          <w:rFonts w:ascii="Microsoft YaHei" w:hAnsi="Microsoft YaHei" w:eastAsia="Microsoft YaHei"/>
          <w:sz w:val="21"/>
        </w:rPr>
        <w:t>新货主首单：立减¥20、7天内复购再减¥10</w:t>
      </w:r>
    </w:p>
    <w:p>
      <w:r>
        <w:rPr>
          <w:rFonts w:ascii="Microsoft YaHei" w:hAnsi="Microsoft YaHei" w:eastAsia="Microsoft YaHei"/>
          <w:sz w:val="21"/>
        </w:rPr>
        <w:t>月度冲单：完成50单奖¥100、100单奖¥300、200单奖¥800</w:t>
      </w:r>
    </w:p>
    <w:p>
      <w:r>
        <w:br w:type="page"/>
      </w:r>
    </w:p>
    <w:p>
      <w:pPr>
        <w:pStyle w:val="Heading1"/>
      </w:pPr>
      <w:r>
        <w:t>第六章 系统PRD文档</w:t>
      </w:r>
    </w:p>
    <w:p>
      <w:pPr>
        <w:pStyle w:val="Heading2"/>
      </w:pPr>
      <w:r>
        <w:t>6.1 产品概述</w:t>
      </w:r>
    </w:p>
    <w:p>
      <w:r>
        <w:rPr>
          <w:rFonts w:ascii="Microsoft YaHei" w:hAnsi="Microsoft YaHei" w:eastAsia="Microsoft YaHei"/>
          <w:sz w:val="21"/>
        </w:rPr>
        <w:t>产品名称：车拉拉货运平台</w:t>
      </w:r>
    </w:p>
    <w:p>
      <w:r>
        <w:rPr>
          <w:rFonts w:ascii="Microsoft YaHei" w:hAnsi="Microsoft YaHei" w:eastAsia="Microsoft YaHei"/>
          <w:sz w:val="21"/>
        </w:rPr>
        <w:t>产品定位：多级加盟制货运信息撮合平台</w:t>
      </w:r>
    </w:p>
    <w:p>
      <w:r>
        <w:rPr>
          <w:rFonts w:ascii="Microsoft YaHei" w:hAnsi="Microsoft YaHei" w:eastAsia="Microsoft YaHei"/>
          <w:sz w:val="21"/>
        </w:rPr>
        <w:t>目标用户：货主（个人/企业）、货运司机、各级加盟商</w:t>
      </w:r>
    </w:p>
    <w:p>
      <w:r>
        <w:rPr>
          <w:rFonts w:ascii="Microsoft YaHei" w:hAnsi="Microsoft YaHei" w:eastAsia="Microsoft YaHei"/>
          <w:sz w:val="21"/>
        </w:rPr>
        <w:t>核心功能：订单撮合、双支付、清分结算、加盟管理</w:t>
      </w:r>
    </w:p>
    <w:p>
      <w:pPr>
        <w:pStyle w:val="Heading2"/>
      </w:pPr>
      <w:r>
        <w:t>6.2 用户端功能需求</w:t>
      </w:r>
    </w:p>
    <w:p>
      <w:r>
        <w:rPr>
          <w:rFonts w:ascii="Microsoft YaHei" w:hAnsi="Microsoft YaHei" w:eastAsia="Microsoft YaHei"/>
          <w:sz w:val="21"/>
        </w:rPr>
        <w:t>核心功能模块：</w:t>
      </w:r>
    </w:p>
    <w:p>
      <w:pPr>
        <w:pStyle w:val="ListBullet"/>
        <w:ind w:left="360"/>
      </w:pPr>
      <w:r>
        <w:t>注册登录：手机号、微信登录；实名认证；企业认证</w:t>
      </w:r>
    </w:p>
    <w:p>
      <w:pPr>
        <w:pStyle w:val="ListBullet"/>
        <w:ind w:left="360"/>
      </w:pPr>
      <w:r>
        <w:t>下单功能：填写货物信息、选择车型、选择支付方式、预估价格</w:t>
      </w:r>
    </w:p>
    <w:p>
      <w:pPr>
        <w:pStyle w:val="ListBullet"/>
        <w:ind w:left="360"/>
      </w:pPr>
      <w:r>
        <w:t>订单管理：查看订单状态、实时追踪、联系司机、取消订单</w:t>
      </w:r>
    </w:p>
    <w:p>
      <w:pPr>
        <w:pStyle w:val="ListBullet"/>
        <w:ind w:left="360"/>
      </w:pPr>
      <w:r>
        <w:t>支付功能：在线支付（微信支付/支付宝）、线下支付确认</w:t>
      </w:r>
    </w:p>
    <w:p>
      <w:pPr>
        <w:pStyle w:val="ListBullet"/>
        <w:ind w:left="360"/>
      </w:pPr>
      <w:r>
        <w:t>发票管理：申请开票、查看发票、历史记录</w:t>
      </w:r>
    </w:p>
    <w:p>
      <w:pPr>
        <w:pStyle w:val="ListBullet"/>
        <w:ind w:left="360"/>
      </w:pPr>
      <w:r>
        <w:t>评价投诉：对司机评价、投诉、客服介入</w:t>
      </w:r>
    </w:p>
    <w:p>
      <w:pPr>
        <w:pStyle w:val="Heading2"/>
      </w:pPr>
      <w:r>
        <w:t>6.3 司机端功能需求</w:t>
      </w:r>
    </w:p>
    <w:p>
      <w:r>
        <w:rPr>
          <w:rFonts w:ascii="Microsoft YaHei" w:hAnsi="Microsoft YaHei" w:eastAsia="Microsoft YaHei"/>
          <w:sz w:val="21"/>
        </w:rPr>
        <w:t>核心功能模块：</w:t>
      </w:r>
    </w:p>
    <w:p>
      <w:pPr>
        <w:pStyle w:val="ListBullet"/>
        <w:ind w:left="360"/>
      </w:pPr>
      <w:r>
        <w:t>注册认证：身份证、驾驶证、行驶证、车辆照片、营运证</w:t>
      </w:r>
    </w:p>
    <w:p>
      <w:pPr>
        <w:pStyle w:val="ListBullet"/>
        <w:ind w:left="360"/>
      </w:pPr>
      <w:r>
        <w:t>接单功能：查看附近订单、抢单、派单、导航</w:t>
      </w:r>
    </w:p>
    <w:p>
      <w:pPr>
        <w:pStyle w:val="ListBullet"/>
        <w:ind w:left="360"/>
      </w:pPr>
      <w:r>
        <w:t>订单执行：到达确认、装货拍照、运输中、送达确认</w:t>
      </w:r>
    </w:p>
    <w:p>
      <w:pPr>
        <w:pStyle w:val="ListBullet"/>
        <w:ind w:left="360"/>
      </w:pPr>
      <w:r>
        <w:t>收入管理：查看收入、提现、账单明细</w:t>
      </w:r>
    </w:p>
    <w:p>
      <w:pPr>
        <w:pStyle w:val="ListBullet"/>
        <w:ind w:left="360"/>
      </w:pPr>
      <w:r>
        <w:t>服务分：查看等级、信用分、好评率</w:t>
      </w:r>
    </w:p>
    <w:p>
      <w:pPr>
        <w:pStyle w:val="ListBullet"/>
        <w:ind w:left="360"/>
      </w:pPr>
      <w:r>
        <w:t>钱包功能：预存余额、服务费缴纳、保证金管理</w:t>
      </w:r>
    </w:p>
    <w:p>
      <w:pPr>
        <w:pStyle w:val="Heading2"/>
      </w:pPr>
      <w:r>
        <w:t>6.4 加盟商后台需求</w:t>
      </w:r>
    </w:p>
    <w:p>
      <w:r>
        <w:rPr>
          <w:rFonts w:ascii="Microsoft YaHei" w:hAnsi="Microsoft YaHei" w:eastAsia="Microsoft YaHei"/>
          <w:sz w:val="21"/>
        </w:rPr>
        <w:t>核心功能模块：</w:t>
      </w:r>
    </w:p>
    <w:p>
      <w:pPr>
        <w:pStyle w:val="ListBullet"/>
        <w:ind w:left="360"/>
      </w:pPr>
      <w:r>
        <w:t>司机管理：司机列表、审核、培训记录、考核</w:t>
      </w:r>
    </w:p>
    <w:p>
      <w:pPr>
        <w:pStyle w:val="ListBullet"/>
        <w:ind w:left="360"/>
      </w:pPr>
      <w:r>
        <w:t>订单监控：实时订单、区域订单统计、异常订单</w:t>
      </w:r>
    </w:p>
    <w:p>
      <w:pPr>
        <w:pStyle w:val="ListBullet"/>
        <w:ind w:left="360"/>
      </w:pPr>
      <w:r>
        <w:t>财务统计：分润明细、提现管理、账单导出</w:t>
      </w:r>
    </w:p>
    <w:p>
      <w:pPr>
        <w:pStyle w:val="ListBullet"/>
        <w:ind w:left="360"/>
      </w:pPr>
      <w:r>
        <w:t>下级管理（仅一级）：发展二级、二级业绩查看</w:t>
      </w:r>
    </w:p>
    <w:p>
      <w:pPr>
        <w:pStyle w:val="ListBullet"/>
        <w:ind w:left="360"/>
      </w:pPr>
      <w:r>
        <w:t>数据分析：订单趋势、司机活跃度、区域热力图</w:t>
      </w:r>
    </w:p>
    <w:p>
      <w:r>
        <w:br w:type="page"/>
      </w:r>
    </w:p>
    <w:p>
      <w:pPr>
        <w:pStyle w:val="Heading2"/>
      </w:pPr>
      <w:r>
        <w:t>6.5 平台管理后台需求</w:t>
      </w:r>
    </w:p>
    <w:p>
      <w:r>
        <w:rPr>
          <w:rFonts w:ascii="Microsoft YaHei" w:hAnsi="Microsoft YaHei" w:eastAsia="Microsoft YaHei"/>
          <w:sz w:val="21"/>
        </w:rPr>
        <w:t>核心功能模块：</w:t>
      </w:r>
    </w:p>
    <w:p>
      <w:pPr>
        <w:pStyle w:val="ListBullet"/>
        <w:ind w:left="360"/>
      </w:pPr>
      <w:r>
        <w:t>加盟商管理：加盟审核、合同管理、保证金管理、考核</w:t>
      </w:r>
    </w:p>
    <w:p>
      <w:pPr>
        <w:pStyle w:val="ListBullet"/>
        <w:ind w:left="360"/>
      </w:pPr>
      <w:r>
        <w:t>司机管理：全局司机列表、违规处理、信用管理</w:t>
      </w:r>
    </w:p>
    <w:p>
      <w:pPr>
        <w:pStyle w:val="ListBullet"/>
        <w:ind w:left="360"/>
      </w:pPr>
      <w:r>
        <w:t>订单管理：全量订单查询、纠纷处理、退款审核</w:t>
      </w:r>
    </w:p>
    <w:p>
      <w:pPr>
        <w:pStyle w:val="ListBullet"/>
        <w:ind w:left="360"/>
      </w:pPr>
      <w:r>
        <w:t>定价配置：距离分级定价、特殊规则、城市差异化</w:t>
      </w:r>
    </w:p>
    <w:p>
      <w:pPr>
        <w:pStyle w:val="ListBullet"/>
        <w:ind w:left="360"/>
      </w:pPr>
      <w:r>
        <w:t>清分管理：清分指令生成、清分记录、对账</w:t>
      </w:r>
    </w:p>
    <w:p>
      <w:pPr>
        <w:pStyle w:val="ListBullet"/>
        <w:ind w:left="360"/>
      </w:pPr>
      <w:r>
        <w:t>数据统计：全平台数据、多维度报表、大屏展示</w:t>
      </w:r>
    </w:p>
    <w:p>
      <w:pPr>
        <w:pStyle w:val="ListBullet"/>
        <w:ind w:left="360"/>
      </w:pPr>
      <w:r>
        <w:t>客服系统：工单管理、IM客服、电话客服</w:t>
      </w:r>
    </w:p>
    <w:p>
      <w:pPr>
        <w:pStyle w:val="Heading2"/>
      </w:pPr>
      <w:r>
        <w:t>6.6 清分结算系统需求</w:t>
      </w:r>
    </w:p>
    <w:p>
      <w:r>
        <w:rPr>
          <w:rFonts w:ascii="Microsoft YaHei" w:hAnsi="Microsoft YaHei" w:eastAsia="Microsoft YaHei"/>
          <w:sz w:val="21"/>
        </w:rPr>
        <w:t>核心功能模块：</w:t>
      </w:r>
    </w:p>
    <w:p>
      <w:pPr>
        <w:pStyle w:val="ListBullet"/>
        <w:ind w:left="360"/>
      </w:pPr>
      <w:r>
        <w:t>清分指令生成：根据订单生成清分规则</w:t>
      </w:r>
    </w:p>
    <w:p>
      <w:pPr>
        <w:pStyle w:val="ListBullet"/>
        <w:ind w:left="360"/>
      </w:pPr>
      <w:r>
        <w:t>清分机构对接：API对接、指令下发、结果回调</w:t>
      </w:r>
    </w:p>
    <w:p>
      <w:pPr>
        <w:pStyle w:val="ListBullet"/>
        <w:ind w:left="360"/>
      </w:pPr>
      <w:r>
        <w:t>资金监管：监管账户管理、资金流水、对账</w:t>
      </w:r>
    </w:p>
    <w:p>
      <w:pPr>
        <w:pStyle w:val="ListBullet"/>
        <w:ind w:left="360"/>
      </w:pPr>
      <w:r>
        <w:t>发票管理：发票申请、开具、邮寄、电子发票</w:t>
      </w:r>
    </w:p>
    <w:p>
      <w:pPr>
        <w:pStyle w:val="ListBullet"/>
        <w:ind w:left="360"/>
      </w:pPr>
      <w:r>
        <w:t>税务报表：各方收入统计、代扣代缴、申报辅助</w:t>
      </w:r>
    </w:p>
    <w:p>
      <w:pPr>
        <w:pStyle w:val="Heading2"/>
      </w:pPr>
      <w:r>
        <w:t>6.7 非功能性需求</w:t>
      </w:r>
    </w:p>
    <w:p>
      <w:r>
        <w:rPr>
          <w:rFonts w:ascii="Microsoft YaHei" w:hAnsi="Microsoft YaHei" w:eastAsia="Microsoft YaHei"/>
          <w:sz w:val="21"/>
        </w:rPr>
        <w:t>性能要求：</w:t>
      </w:r>
    </w:p>
    <w:p>
      <w:pPr>
        <w:pStyle w:val="ListBullet"/>
        <w:ind w:left="360"/>
      </w:pPr>
      <w:r>
        <w:t>系统可用性：99.9%（全年停机时间&lt;8.76小时）</w:t>
      </w:r>
    </w:p>
    <w:p>
      <w:pPr>
        <w:pStyle w:val="ListBullet"/>
        <w:ind w:left="360"/>
      </w:pPr>
      <w:r>
        <w:t>响应时间：API响应&lt;500ms，页面加载&lt;3s</w:t>
      </w:r>
    </w:p>
    <w:p>
      <w:pPr>
        <w:pStyle w:val="ListBullet"/>
        <w:ind w:left="360"/>
      </w:pPr>
      <w:r>
        <w:t>并发支持：支持10万用户同时在线，峰值QPS 5000</w:t>
      </w:r>
    </w:p>
    <w:p>
      <w:pPr>
        <w:pStyle w:val="ListBullet"/>
        <w:ind w:left="360"/>
      </w:pPr>
      <w:r>
        <w:t>数据存储：订单数据保存5年，日志保存1年</w:t>
      </w:r>
    </w:p>
    <w:p>
      <w:r>
        <w:rPr>
          <w:rFonts w:ascii="Microsoft YaHei" w:hAnsi="Microsoft YaHei" w:eastAsia="Microsoft YaHei"/>
          <w:sz w:val="21"/>
        </w:rPr>
        <w:t>安全要求：</w:t>
      </w:r>
    </w:p>
    <w:p>
      <w:pPr>
        <w:pStyle w:val="ListBullet"/>
        <w:ind w:left="360"/>
      </w:pPr>
      <w:r>
        <w:t>传输安全：全站HTTPS，TLS 1.3</w:t>
      </w:r>
    </w:p>
    <w:p>
      <w:pPr>
        <w:pStyle w:val="ListBullet"/>
        <w:ind w:left="360"/>
      </w:pPr>
      <w:r>
        <w:t>数据安全：敏感数据AES-256加密存储</w:t>
      </w:r>
    </w:p>
    <w:p>
      <w:pPr>
        <w:pStyle w:val="ListBullet"/>
        <w:ind w:left="360"/>
      </w:pPr>
      <w:r>
        <w:t>支付安全：符合PCI DSS Level 1标准</w:t>
      </w:r>
    </w:p>
    <w:p>
      <w:pPr>
        <w:pStyle w:val="ListBullet"/>
        <w:ind w:left="360"/>
      </w:pPr>
      <w:r>
        <w:t>身份安全：双因素认证、登录异常检测</w:t>
      </w:r>
    </w:p>
    <w:p>
      <w:pPr>
        <w:pStyle w:val="Heading2"/>
      </w:pPr>
      <w:r>
        <w:t>6.8 系统架构设计</w:t>
      </w:r>
    </w:p>
    <w:p>
      <w:r>
        <w:rPr>
          <w:rFonts w:ascii="Microsoft YaHei" w:hAnsi="Microsoft YaHei" w:eastAsia="Microsoft YaHei"/>
          <w:sz w:val="21"/>
        </w:rPr>
        <w:t>技术选型：</w:t>
      </w:r>
    </w:p>
    <w:p>
      <w:pPr>
        <w:pStyle w:val="ListBullet"/>
        <w:ind w:left="360"/>
      </w:pPr>
      <w:r>
        <w:t>前端：Flutter（跨平台）、Vue.js（后台）</w:t>
      </w:r>
    </w:p>
    <w:p>
      <w:pPr>
        <w:pStyle w:val="ListBullet"/>
        <w:ind w:left="360"/>
      </w:pPr>
      <w:r>
        <w:t>后端：Spring Cloud Alibaba（微服务）</w:t>
      </w:r>
    </w:p>
    <w:p>
      <w:pPr>
        <w:pStyle w:val="ListBullet"/>
        <w:ind w:left="360"/>
      </w:pPr>
      <w:r>
        <w:t>数据库：MySQL（主库）、Redis（缓存）、ES（搜索）</w:t>
      </w:r>
    </w:p>
    <w:p>
      <w:pPr>
        <w:pStyle w:val="ListBullet"/>
        <w:ind w:left="360"/>
      </w:pPr>
      <w:r>
        <w:t>消息队列：RocketMQ（异步处理）</w:t>
      </w:r>
    </w:p>
    <w:p>
      <w:pPr>
        <w:pStyle w:val="ListBullet"/>
        <w:ind w:left="360"/>
      </w:pPr>
      <w:r>
        <w:t>地图：高德地图API（定位、导航、路径规划）</w:t>
      </w:r>
    </w:p>
    <w:p>
      <w:pPr>
        <w:pStyle w:val="ListBullet"/>
        <w:ind w:left="360"/>
      </w:pPr>
      <w:r>
        <w:t>IM：网易云信（即时通讯）</w:t>
      </w:r>
    </w:p>
    <w:p>
      <w:pPr>
        <w:pStyle w:val="ListBullet"/>
        <w:ind w:left="360"/>
      </w:pPr>
      <w:r>
        <w:t>清分：对接持牌支付机构（连连支付/汇付天下等）</w:t>
      </w:r>
    </w:p>
    <w:p>
      <w:r>
        <w:br w:type="page"/>
      </w:r>
    </w:p>
    <w:p>
      <w:pPr>
        <w:pStyle w:val="Heading1"/>
      </w:pPr>
      <w:r>
        <w:t>第七章 实施规划</w:t>
      </w:r>
    </w:p>
    <w:p>
      <w:pPr>
        <w:pStyle w:val="Heading2"/>
      </w:pPr>
      <w:r>
        <w:t>7.1 项目里程碑</w:t>
      </w:r>
    </w:p>
    <w:p>
      <w:r>
        <w:rPr>
          <w:rFonts w:ascii="Microsoft YaHei" w:hAnsi="Microsoft YaHei" w:eastAsia="Microsoft YaHei"/>
          <w:sz w:val="21"/>
        </w:rPr>
        <w:t>第一阶段（1-3个月）：需求确认、系统设计、清分机构对接洽谈</w:t>
      </w:r>
    </w:p>
    <w:p>
      <w:r>
        <w:rPr>
          <w:rFonts w:ascii="Microsoft YaHei" w:hAnsi="Microsoft YaHei" w:eastAsia="Microsoft YaHei"/>
          <w:sz w:val="21"/>
        </w:rPr>
        <w:t>第二阶段（4-9个月）：系统开发、测试、加盟商招募</w:t>
      </w:r>
    </w:p>
    <w:p>
      <w:r>
        <w:rPr>
          <w:rFonts w:ascii="Microsoft YaHei" w:hAnsi="Microsoft YaHei" w:eastAsia="Microsoft YaHei"/>
          <w:sz w:val="21"/>
        </w:rPr>
        <w:t>第三阶段（10-12个月）：试点城市上线、运营优化、全国推广</w:t>
      </w:r>
    </w:p>
    <w:p>
      <w:pPr>
        <w:pStyle w:val="Heading2"/>
      </w:pPr>
      <w:r>
        <w:t>7.2 团队配置</w:t>
      </w:r>
    </w:p>
    <w:p>
      <w:r>
        <w:rPr>
          <w:rFonts w:ascii="Microsoft YaHei" w:hAnsi="Microsoft YaHei" w:eastAsia="Microsoft YaHei"/>
          <w:sz w:val="21"/>
        </w:rPr>
        <w:t>核心团队（20人）：</w:t>
      </w:r>
    </w:p>
    <w:p>
      <w:pPr>
        <w:pStyle w:val="ListBullet"/>
        <w:ind w:left="360"/>
      </w:pPr>
      <w:r>
        <w:t>产品部：产品经理2人、UI设计师1人</w:t>
      </w:r>
    </w:p>
    <w:p>
      <w:pPr>
        <w:pStyle w:val="ListBullet"/>
        <w:ind w:left="360"/>
      </w:pPr>
      <w:r>
        <w:t>技术部：架构师1人、后端开发6人、前端开发3人、测试2人、运维1人</w:t>
      </w:r>
    </w:p>
    <w:p>
      <w:pPr>
        <w:pStyle w:val="ListBullet"/>
        <w:ind w:left="360"/>
      </w:pPr>
      <w:r>
        <w:t>运营部：运营经理1人、加盟商管理2人、客服3人</w:t>
      </w:r>
    </w:p>
    <w:p>
      <w:pPr>
        <w:pStyle w:val="Heading2"/>
      </w:pPr>
      <w:r>
        <w:t>7.3 风险评估与应对</w:t>
      </w:r>
    </w:p>
    <w:p>
      <w:r>
        <w:rPr>
          <w:rFonts w:ascii="Microsoft YaHei" w:hAnsi="Microsoft YaHei" w:eastAsia="Microsoft YaHei"/>
          <w:sz w:val="21"/>
        </w:rPr>
        <w:t>资金风险：司机不缴服务费</w:t>
      </w:r>
    </w:p>
    <w:p>
      <w:r>
        <w:rPr>
          <w:rFonts w:ascii="Microsoft YaHei" w:hAnsi="Microsoft YaHei" w:eastAsia="Microsoft YaHei"/>
          <w:sz w:val="21"/>
        </w:rPr>
        <w:t>应对：预存模式，余额不足暂停派单；信用体系，欠费影响接单优先级</w:t>
      </w:r>
    </w:p>
    <w:p>
      <w:r>
        <w:rPr>
          <w:rFonts w:ascii="Microsoft YaHei" w:hAnsi="Microsoft YaHei" w:eastAsia="Microsoft YaHei"/>
          <w:sz w:val="21"/>
        </w:rPr>
        <w:t>法律风险：被认定为非法营运</w:t>
      </w:r>
    </w:p>
    <w:p>
      <w:r>
        <w:rPr>
          <w:rFonts w:ascii="Microsoft YaHei" w:hAnsi="Microsoft YaHei" w:eastAsia="Microsoft YaHei"/>
          <w:sz w:val="21"/>
        </w:rPr>
        <w:t>应对：平台声明仅提供信息服务；司机需自备营运资质；用户协议明确责任边界</w:t>
      </w:r>
    </w:p>
    <w:p>
      <w:r>
        <w:rPr>
          <w:rFonts w:ascii="Microsoft YaHei" w:hAnsi="Microsoft YaHei" w:eastAsia="Microsoft YaHei"/>
          <w:sz w:val="21"/>
        </w:rPr>
        <w:t>运营风险：线下交易纠纷</w:t>
      </w:r>
    </w:p>
    <w:p>
      <w:r>
        <w:rPr>
          <w:rFonts w:ascii="Microsoft YaHei" w:hAnsi="Microsoft YaHei" w:eastAsia="Microsoft YaHei"/>
          <w:sz w:val="21"/>
        </w:rPr>
        <w:t>应对：订单信息留痕；强制保险；客服介入机制</w:t>
      </w:r>
    </w:p>
    <w:p>
      <w:r>
        <w:br w:type="page"/>
      </w:r>
    </w:p>
    <w:p>
      <w:pPr>
        <w:pStyle w:val="Heading1"/>
      </w:pPr>
      <w:r>
        <w:t>附录A：术语表</w:t>
      </w:r>
    </w:p>
    <w:p>
      <w:r>
        <w:rPr>
          <w:b/>
        </w:rPr>
        <w:t>清分机构：</w:t>
      </w:r>
      <w:r>
        <w:t>持牌的第三方支付机构或银行，提供资金监管、分账、开票服务</w:t>
      </w:r>
    </w:p>
    <w:p>
      <w:r>
        <w:rPr>
          <w:b/>
        </w:rPr>
        <w:t>二清：</w:t>
      </w:r>
      <w:r>
        <w:t>二次清算，指平台在没有支付牌照的情况下代收用户资金再分发给商户</w:t>
      </w:r>
    </w:p>
    <w:p>
      <w:r>
        <w:rPr>
          <w:b/>
        </w:rPr>
        <w:t>T+1：</w:t>
      </w:r>
      <w:r>
        <w:t>交易发生后第1个工作日结算</w:t>
      </w:r>
    </w:p>
    <w:p>
      <w:r>
        <w:rPr>
          <w:b/>
        </w:rPr>
        <w:t>LBS：</w:t>
      </w:r>
      <w:r>
        <w:t>基于位置的服务（Location Based Service）</w:t>
      </w:r>
    </w:p>
    <w:p>
      <w:r>
        <w:rPr>
          <w:b/>
        </w:rPr>
        <w:t>GMV：</w:t>
      </w:r>
      <w:r>
        <w:t>成交总额（Gross Merchandise Volume）</w:t>
      </w:r>
    </w:p>
    <w:p>
      <w:r>
        <w:rPr>
          <w:b/>
        </w:rPr>
        <w:t>LTV：</w:t>
      </w:r>
      <w:r>
        <w:t>用户生命周期价值（Life Time Value）</w:t>
      </w:r>
    </w:p>
    <w:p>
      <w:r>
        <w:rPr>
          <w:b/>
        </w:rPr>
        <w:t>CAC：</w:t>
      </w:r>
      <w:r>
        <w:t>用户获取成本（Customer Acquisition Cost）</w:t>
      </w:r>
    </w:p>
    <w:p>
      <w:r>
        <w:rPr>
          <w:b/>
        </w:rPr>
        <w:t>SKU：</w:t>
      </w:r>
      <w:r>
        <w:t>库存量单位（Stock Keeping Unit），此处指不同车型/服务类型</w:t>
      </w:r>
    </w:p>
    <w:p>
      <w:pPr>
        <w:pStyle w:val="Heading1"/>
      </w:pPr>
      <w:r>
        <w:t>附录B：关键流程说明</w:t>
      </w:r>
    </w:p>
    <w:p>
      <w:r>
        <w:rPr>
          <w:rFonts w:ascii="Microsoft YaHei" w:hAnsi="Microsoft YaHei" w:eastAsia="Microsoft YaHei"/>
          <w:sz w:val="21"/>
        </w:rPr>
        <w:t>订单撮合流程：货主下单 → 系统匹配 → 司机接单 → 线下/线上支付 → 运输 → 确认送达 → 评价</w:t>
      </w:r>
    </w:p>
    <w:p>
      <w:r>
        <w:rPr>
          <w:rFonts w:ascii="Microsoft YaHei" w:hAnsi="Microsoft YaHei" w:eastAsia="Microsoft YaHei"/>
          <w:sz w:val="21"/>
        </w:rPr>
        <w:t>清分流程（在线支付）：货主支付 → 清分机构监管 → 司机送达确认 → 清分指令 → 各方到账（T+1）</w:t>
      </w:r>
    </w:p>
    <w:p>
      <w:r>
        <w:rPr>
          <w:rFonts w:ascii="Microsoft YaHei" w:hAnsi="Microsoft YaHei" w:eastAsia="Microsoft YaHei"/>
          <w:sz w:val="21"/>
        </w:rPr>
        <w:t>清分流程（线下支付）：司机线下收款 → 司机缴纳服务费 → 从预存扣除 → 服务费清分</w:t>
      </w:r>
    </w:p>
    <w:p>
      <w:pPr>
        <w:pStyle w:val="Heading1"/>
      </w:pPr>
      <w:r>
        <w:t>附录C：定价参考表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距离级别</w:t>
            </w:r>
          </w:p>
        </w:tc>
        <w:tc>
          <w:tcPr>
            <w:tcW w:type="dxa" w:w="2160"/>
          </w:tcPr>
          <w:p>
            <w:r>
              <w:t>距离范围</w:t>
            </w:r>
          </w:p>
        </w:tc>
        <w:tc>
          <w:tcPr>
            <w:tcW w:type="dxa" w:w="2160"/>
          </w:tcPr>
          <w:p>
            <w:r>
              <w:t>固定服务费</w:t>
            </w:r>
          </w:p>
        </w:tc>
        <w:tc>
          <w:tcPr>
            <w:tcW w:type="dxa" w:w="2160"/>
          </w:tcPr>
          <w:p>
            <w:r>
              <w:t>在线支付费率</w:t>
            </w:r>
          </w:p>
        </w:tc>
      </w:tr>
      <w:tr>
        <w:tc>
          <w:tcPr>
            <w:tcW w:type="dxa" w:w="2160"/>
          </w:tcPr>
          <w:p>
            <w:r>
              <w:t>A级</w:t>
            </w:r>
          </w:p>
        </w:tc>
        <w:tc>
          <w:tcPr>
            <w:tcW w:type="dxa" w:w="2160"/>
          </w:tcPr>
          <w:p>
            <w:r>
              <w:t>0-5公里</w:t>
            </w:r>
          </w:p>
        </w:tc>
        <w:tc>
          <w:tcPr>
            <w:tcW w:type="dxa" w:w="2160"/>
          </w:tcPr>
          <w:p>
            <w:r>
              <w:t>¥3/单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B级</w:t>
            </w:r>
          </w:p>
        </w:tc>
        <w:tc>
          <w:tcPr>
            <w:tcW w:type="dxa" w:w="2160"/>
          </w:tcPr>
          <w:p>
            <w:r>
              <w:t>5-15公里</w:t>
            </w:r>
          </w:p>
        </w:tc>
        <w:tc>
          <w:tcPr>
            <w:tcW w:type="dxa" w:w="2160"/>
          </w:tcPr>
          <w:p>
            <w:r>
              <w:t>¥5/单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C级</w:t>
            </w:r>
          </w:p>
        </w:tc>
        <w:tc>
          <w:tcPr>
            <w:tcW w:type="dxa" w:w="2160"/>
          </w:tcPr>
          <w:p>
            <w:r>
              <w:t>15-30公里</w:t>
            </w:r>
          </w:p>
        </w:tc>
        <w:tc>
          <w:tcPr>
            <w:tcW w:type="dxa" w:w="2160"/>
          </w:tcPr>
          <w:p>
            <w:r>
              <w:t>¥8/单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D级</w:t>
            </w:r>
          </w:p>
        </w:tc>
        <w:tc>
          <w:tcPr>
            <w:tcW w:type="dxa" w:w="2160"/>
          </w:tcPr>
          <w:p>
            <w:r>
              <w:t>30-50公里</w:t>
            </w:r>
          </w:p>
        </w:tc>
        <w:tc>
          <w:tcPr>
            <w:tcW w:type="dxa" w:w="2160"/>
          </w:tcPr>
          <w:p>
            <w:r>
              <w:t>¥12/单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E级</w:t>
            </w:r>
          </w:p>
        </w:tc>
        <w:tc>
          <w:tcPr>
            <w:tcW w:type="dxa" w:w="2160"/>
          </w:tcPr>
          <w:p>
            <w:r>
              <w:t>50-100公里</w:t>
            </w:r>
          </w:p>
        </w:tc>
        <w:tc>
          <w:tcPr>
            <w:tcW w:type="dxa" w:w="2160"/>
          </w:tcPr>
          <w:p>
            <w:r>
              <w:t>¥20/单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F级</w:t>
            </w:r>
          </w:p>
        </w:tc>
        <w:tc>
          <w:tcPr>
            <w:tcW w:type="dxa" w:w="2160"/>
          </w:tcPr>
          <w:p>
            <w:r>
              <w:t>100公里+</w:t>
            </w:r>
          </w:p>
        </w:tc>
        <w:tc>
          <w:tcPr>
            <w:tcW w:type="dxa" w:w="2160"/>
          </w:tcPr>
          <w:p>
            <w:r>
              <w:t>¥30/单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特殊</w:t>
            </w:r>
          </w:p>
        </w:tc>
        <w:tc>
          <w:tcPr>
            <w:tcW w:type="dxa" w:w="2160"/>
          </w:tcPr>
          <w:p>
            <w:r>
              <w:t>夜间/节假日</w:t>
            </w:r>
          </w:p>
        </w:tc>
        <w:tc>
          <w:tcPr>
            <w:tcW w:type="dxa" w:w="2160"/>
          </w:tcPr>
          <w:p>
            <w:r>
              <w:t>加收20-30%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____________________________________________________________</w:t>
      </w:r>
    </w:p>
    <w:p>
      <w:r>
        <w:rPr>
          <w:i/>
        </w:rPr>
        <w:t>文档编制：八米科技产品团队</w:t>
        <w:br/>
      </w:r>
      <w:r>
        <w:rPr>
          <w:i/>
        </w:rPr>
        <w:t>联系方式：www.bami.com</w:t>
        <w:br/>
      </w:r>
      <w:r>
        <w:rPr>
          <w:i/>
        </w:rPr>
        <w:t>本文档为商业机密，仅供内部使用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