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Hei" w:hAnsi="SimHei" w:eastAsia="SimHei"/>
          <w:b/>
          <w:color w:val="FF6B35"/>
          <w:sz w:val="36"/>
        </w:rPr>
        <w:t>密尔克卫危险品物流加盟模式TMS解决方案</w:t>
      </w:r>
    </w:p>
    <w:p/>
    <w:p>
      <w:pPr>
        <w:jc w:val="center"/>
      </w:pPr>
      <w:r>
        <w:rPr>
          <w:rFonts w:ascii="SimSun" w:hAnsi="SimSun" w:eastAsia="SimSun"/>
          <w:b w:val="0"/>
          <w:sz w:val="22"/>
        </w:rPr>
        <w:t>方案编号：BAMI-TMS-2026-0310</w:t>
      </w:r>
    </w:p>
    <w:p>
      <w:pPr>
        <w:jc w:val="center"/>
      </w:pPr>
      <w:r>
        <w:rPr>
          <w:rFonts w:ascii="SimSun" w:hAnsi="SimSun" w:eastAsia="SimSun"/>
          <w:b w:val="0"/>
          <w:sz w:val="22"/>
        </w:rPr>
        <w:t>客户单位：密尔克卫化工供应链服务股份有限公司（603713.SH）</w:t>
      </w:r>
    </w:p>
    <w:p>
      <w:pPr>
        <w:jc w:val="center"/>
      </w:pPr>
      <w:r>
        <w:rPr>
          <w:rFonts w:ascii="SimSun" w:hAnsi="SimSun" w:eastAsia="SimSun"/>
          <w:b w:val="0"/>
          <w:sz w:val="22"/>
        </w:rPr>
        <w:t>提交单位：八米科技（BAMi）</w:t>
      </w:r>
    </w:p>
    <w:p>
      <w:pPr>
        <w:jc w:val="center"/>
      </w:pPr>
      <w:r>
        <w:rPr>
          <w:rFonts w:ascii="SimSun" w:hAnsi="SimSun" w:eastAsia="SimSun"/>
          <w:b w:val="0"/>
          <w:sz w:val="22"/>
        </w:rPr>
        <w:t>编制日期：2026年3月7日</w:t>
      </w:r>
    </w:p>
    <w:p>
      <w:r>
        <w:br w:type="page"/>
      </w:r>
    </w:p>
    <w:p>
      <w:pPr>
        <w:pStyle w:val="Heading2"/>
      </w:pPr>
      <w:r>
        <w:rPr>
          <w:rFonts w:ascii="SimHei" w:hAnsi="SimHei" w:eastAsia="SimHei"/>
          <w:b/>
          <w:color w:val="4472C4"/>
          <w:sz w:val="28"/>
        </w:rPr>
        <w:t>第一部分：八米科技介绍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1.1 公司简介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八米科技（BAMi）成立于2011年（前身为华远软件），是一家专注于供应链物流数字化解决方案的高新技术企业。公司总部位于广州，拥有超过18年的行业深耕经验，累计服务客户10,000+。</w:t>
      </w:r>
    </w:p>
    <w:p/>
    <w:p>
      <w:pPr>
        <w:jc w:val="left"/>
      </w:pPr>
      <w:r>
        <w:rPr>
          <w:rFonts w:ascii="SimSun" w:hAnsi="SimSun" w:eastAsia="SimSun"/>
          <w:b w:val="0"/>
          <w:sz w:val="22"/>
        </w:rPr>
        <w:t>三事业线架构：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AI Agent智能体业务（8bami.com）：智能拓客、全渠道客服、数据决策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跨境电商物流（bamitms.com）：跨境TMS、海外仓WMS、代购系统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WMS/TMS源码业务（asc.8bami.com）：仓储运输管理系统源码交付</w:t>
      </w:r>
    </w:p>
    <w:p/>
    <w:p>
      <w:pPr>
        <w:pStyle w:val="Heading3"/>
      </w:pPr>
      <w:r>
        <w:rPr>
          <w:rFonts w:ascii="SimHei" w:hAnsi="SimHei" w:eastAsia="SimHei"/>
          <w:b/>
          <w:sz w:val="24"/>
        </w:rPr>
        <w:t>1.2 核心优势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优势维度</w:t>
            </w:r>
          </w:p>
        </w:tc>
        <w:tc>
          <w:tcPr>
            <w:tcW w:type="dxa" w:w="4320"/>
          </w:tcPr>
          <w:p>
            <w:r>
              <w:t>具体内容</w:t>
            </w:r>
          </w:p>
        </w:tc>
      </w:tr>
      <w:tr>
        <w:tc>
          <w:tcPr>
            <w:tcW w:type="dxa" w:w="4320"/>
          </w:tcPr>
          <w:p>
            <w:r>
              <w:t>行业经验</w:t>
            </w:r>
          </w:p>
        </w:tc>
        <w:tc>
          <w:tcPr>
            <w:tcW w:type="dxa" w:w="4320"/>
          </w:tcPr>
          <w:p>
            <w:r>
              <w:t>18年供应链物流软件研发经验</w:t>
            </w:r>
          </w:p>
        </w:tc>
      </w:tr>
      <w:tr>
        <w:tc>
          <w:tcPr>
            <w:tcW w:type="dxa" w:w="4320"/>
          </w:tcPr>
          <w:p>
            <w:r>
              <w:t>技术实力</w:t>
            </w:r>
          </w:p>
        </w:tc>
        <w:tc>
          <w:tcPr>
            <w:tcW w:type="dxa" w:w="4320"/>
          </w:tcPr>
          <w:p>
            <w:r>
              <w:t>微服务架构、云原生、AI赋能</w:t>
            </w:r>
          </w:p>
        </w:tc>
      </w:tr>
      <w:tr>
        <w:tc>
          <w:tcPr>
            <w:tcW w:type="dxa" w:w="4320"/>
          </w:tcPr>
          <w:p>
            <w:r>
              <w:t>客户规模</w:t>
            </w:r>
          </w:p>
        </w:tc>
        <w:tc>
          <w:tcPr>
            <w:tcW w:type="dxa" w:w="4320"/>
          </w:tcPr>
          <w:p>
            <w:r>
              <w:t>累计服务10,000+企业客户</w:t>
            </w:r>
          </w:p>
        </w:tc>
      </w:tr>
      <w:tr>
        <w:tc>
          <w:tcPr>
            <w:tcW w:type="dxa" w:w="4320"/>
          </w:tcPr>
          <w:p>
            <w:r>
              <w:t>产品矩阵</w:t>
            </w:r>
          </w:p>
        </w:tc>
        <w:tc>
          <w:tcPr>
            <w:tcW w:type="dxa" w:w="4320"/>
          </w:tcPr>
          <w:p>
            <w:r>
              <w:t>OMS+WMS+TMS全链路覆盖</w:t>
            </w:r>
          </w:p>
        </w:tc>
      </w:tr>
      <w:tr>
        <w:tc>
          <w:tcPr>
            <w:tcW w:type="dxa" w:w="4320"/>
          </w:tcPr>
          <w:p>
            <w:r>
              <w:t>交付模式</w:t>
            </w:r>
          </w:p>
        </w:tc>
        <w:tc>
          <w:tcPr>
            <w:tcW w:type="dxa" w:w="4320"/>
          </w:tcPr>
          <w:p>
            <w:r>
              <w:t>SaaS+源码+定制开发灵活可选</w:t>
            </w:r>
          </w:p>
        </w:tc>
      </w:tr>
      <w:tr>
        <w:tc>
          <w:tcPr>
            <w:tcW w:type="dxa" w:w="4320"/>
          </w:tcPr>
          <w:p>
            <w:r>
              <w:t>出海能力</w:t>
            </w:r>
          </w:p>
        </w:tc>
        <w:tc>
          <w:tcPr>
            <w:tcW w:type="dxa" w:w="4320"/>
          </w:tcPr>
          <w:p>
            <w:r>
              <w:t>成功交付菲律宾等国际项目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1.3 标杆客户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新希望集团 - 智能供应链平台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广汽集团 - 物流数字化升级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泛昇国际 - 跨境物流一体化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弘海铁盛 - 非洲代购集运平台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APOLLOTECH（菲律宾） - WMS源码出口项目</w:t>
      </w:r>
    </w:p>
    <w:p>
      <w:r>
        <w:br w:type="page"/>
      </w:r>
    </w:p>
    <w:p>
      <w:pPr>
        <w:pStyle w:val="Heading2"/>
      </w:pPr>
      <w:r>
        <w:rPr>
          <w:rFonts w:ascii="SimHei" w:hAnsi="SimHei" w:eastAsia="SimHei"/>
          <w:b/>
          <w:color w:val="4472C4"/>
          <w:sz w:val="28"/>
        </w:rPr>
        <w:t>第二部分：密尔克卫项目理解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2.1 客户背景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密尔克卫化工供应链服务股份有限公司（股票代码：603713.SH）是国内领先的专业化工供应链综合服务商，A股主板上市企业。</w:t>
      </w:r>
    </w:p>
    <w:p/>
    <w:p>
      <w:pPr>
        <w:jc w:val="left"/>
      </w:pPr>
      <w:r>
        <w:rPr>
          <w:rFonts w:ascii="SimSun" w:hAnsi="SimSun" w:eastAsia="SimSun"/>
          <w:b w:val="0"/>
          <w:sz w:val="22"/>
        </w:rPr>
        <w:t>核心业务：货运代理、仓储、运输、化工品分销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战略方向：打造"化工品亚马逊"平台化发展模式</w:t>
      </w:r>
    </w:p>
    <w:p/>
    <w:p>
      <w:pPr>
        <w:pStyle w:val="Heading3"/>
      </w:pPr>
      <w:r>
        <w:rPr>
          <w:rFonts w:ascii="SimHei" w:hAnsi="SimHei" w:eastAsia="SimHei"/>
          <w:b/>
          <w:sz w:val="24"/>
        </w:rPr>
        <w:t>2.2 项目需求解析</w:t>
      </w:r>
    </w:p>
    <w:p>
      <w:pPr>
        <w:jc w:val="left"/>
      </w:pPr>
      <w:r>
        <w:rPr>
          <w:rFonts w:ascii="SimSun" w:hAnsi="SimSun" w:eastAsia="SimSun"/>
          <w:b/>
          <w:sz w:val="22"/>
        </w:rPr>
        <w:t>业务模式：危险品加盟物流网络</w:t>
      </w:r>
    </w:p>
    <w:p/>
    <w:p>
      <w:pPr>
        <w:jc w:val="left"/>
      </w:pPr>
      <w:r>
        <w:rPr>
          <w:rFonts w:ascii="SimSun" w:hAnsi="SimSun" w:eastAsia="SimSun"/>
          <w:b w:val="0"/>
          <w:sz w:val="22"/>
        </w:rPr>
        <w:t>运营流程：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1. 司机（车队）从客户处收货 → 送至加盟网点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2. 加盟网点集货 → 调车至分拨中心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3. 分拨中心分拣 → 拉回到各加盟网点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4. 加盟网点分配给司机 → 配送到终端客户</w:t>
      </w:r>
    </w:p>
    <w:p/>
    <w:p>
      <w:pPr>
        <w:pStyle w:val="Heading3"/>
      </w:pPr>
      <w:r>
        <w:rPr>
          <w:rFonts w:ascii="SimHei" w:hAnsi="SimHei" w:eastAsia="SimHei"/>
          <w:b/>
          <w:sz w:val="24"/>
        </w:rPr>
        <w:t>核心功能需求</w:t>
      </w:r>
    </w:p>
    <w:p>
      <w:pPr>
        <w:jc w:val="left"/>
      </w:pPr>
      <w:r>
        <w:rPr>
          <w:rFonts w:ascii="SimSun" w:hAnsi="SimSun" w:eastAsia="SimSun"/>
          <w:b/>
          <w:sz w:val="22"/>
        </w:rPr>
        <w:t>① 危险品分类混装管控（核心安全需求）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危险品类别</w:t>
            </w:r>
          </w:p>
        </w:tc>
        <w:tc>
          <w:tcPr>
            <w:tcW w:type="dxa" w:w="2880"/>
          </w:tcPr>
          <w:p>
            <w:r>
              <w:t>特征</w:t>
            </w:r>
          </w:p>
        </w:tc>
        <w:tc>
          <w:tcPr>
            <w:tcW w:type="dxa" w:w="2880"/>
          </w:tcPr>
          <w:p>
            <w:r>
              <w:t>混装限制</w:t>
            </w:r>
          </w:p>
        </w:tc>
      </w:tr>
      <w:tr>
        <w:tc>
          <w:tcPr>
            <w:tcW w:type="dxa" w:w="2880"/>
          </w:tcPr>
          <w:p>
            <w:r>
              <w:t>1类</w:t>
            </w:r>
          </w:p>
        </w:tc>
        <w:tc>
          <w:tcPr>
            <w:tcW w:type="dxa" w:w="2880"/>
          </w:tcPr>
          <w:p>
            <w:r>
              <w:t>爆炸品</w:t>
            </w:r>
          </w:p>
        </w:tc>
        <w:tc>
          <w:tcPr>
            <w:tcW w:type="dxa" w:w="2880"/>
          </w:tcPr>
          <w:p>
            <w:r>
              <w:t>严禁与其他类别混装</w:t>
            </w:r>
          </w:p>
        </w:tc>
      </w:tr>
      <w:tr>
        <w:tc>
          <w:tcPr>
            <w:tcW w:type="dxa" w:w="2880"/>
          </w:tcPr>
          <w:p>
            <w:r>
              <w:t>2类</w:t>
            </w:r>
          </w:p>
        </w:tc>
        <w:tc>
          <w:tcPr>
            <w:tcW w:type="dxa" w:w="2880"/>
          </w:tcPr>
          <w:p>
            <w:r>
              <w:t>压缩气体</w:t>
            </w:r>
          </w:p>
        </w:tc>
        <w:tc>
          <w:tcPr>
            <w:tcW w:type="dxa" w:w="2880"/>
          </w:tcPr>
          <w:p>
            <w:r>
              <w:t>不能与氧化剂混装</w:t>
            </w:r>
          </w:p>
        </w:tc>
      </w:tr>
      <w:tr>
        <w:tc>
          <w:tcPr>
            <w:tcW w:type="dxa" w:w="2880"/>
          </w:tcPr>
          <w:p>
            <w:r>
              <w:t>3类</w:t>
            </w:r>
          </w:p>
        </w:tc>
        <w:tc>
          <w:tcPr>
            <w:tcW w:type="dxa" w:w="2880"/>
          </w:tcPr>
          <w:p>
            <w:r>
              <w:t>易燃液体</w:t>
            </w:r>
          </w:p>
        </w:tc>
        <w:tc>
          <w:tcPr>
            <w:tcW w:type="dxa" w:w="2880"/>
          </w:tcPr>
          <w:p>
            <w:r>
              <w:t>不能与氧化剂混装</w:t>
            </w:r>
          </w:p>
        </w:tc>
      </w:tr>
      <w:tr>
        <w:tc>
          <w:tcPr>
            <w:tcW w:type="dxa" w:w="2880"/>
          </w:tcPr>
          <w:p>
            <w:r>
              <w:t>5类</w:t>
            </w:r>
          </w:p>
        </w:tc>
        <w:tc>
          <w:tcPr>
            <w:tcW w:type="dxa" w:w="2880"/>
          </w:tcPr>
          <w:p>
            <w:r>
              <w:t>氧化剂</w:t>
            </w:r>
          </w:p>
        </w:tc>
        <w:tc>
          <w:tcPr>
            <w:tcW w:type="dxa" w:w="2880"/>
          </w:tcPr>
          <w:p>
            <w:r>
              <w:t>不能与有机物混装</w:t>
            </w:r>
          </w:p>
        </w:tc>
      </w:tr>
      <w:tr>
        <w:tc>
          <w:tcPr>
            <w:tcW w:type="dxa" w:w="2880"/>
          </w:tcPr>
          <w:p>
            <w:r>
              <w:t>8类</w:t>
            </w:r>
          </w:p>
        </w:tc>
        <w:tc>
          <w:tcPr>
            <w:tcW w:type="dxa" w:w="2880"/>
          </w:tcPr>
          <w:p>
            <w:r>
              <w:t>腐蚀品</w:t>
            </w:r>
          </w:p>
        </w:tc>
        <w:tc>
          <w:tcPr>
            <w:tcW w:type="dxa" w:w="2880"/>
          </w:tcPr>
          <w:p>
            <w:r>
              <w:t>不能与金属粉末混装</w:t>
            </w:r>
          </w:p>
        </w:tc>
      </w:tr>
    </w:tbl>
    <w:p/>
    <w:p>
      <w:pPr>
        <w:jc w:val="left"/>
      </w:pPr>
      <w:r>
        <w:rPr>
          <w:rFonts w:ascii="SimSun" w:hAnsi="SimSun" w:eastAsia="SimSun"/>
          <w:b/>
          <w:sz w:val="22"/>
        </w:rPr>
        <w:t>② 三级结算体系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收入流向：客户运费 → 平台（15%）+ 加盟网点（25%）+ 司机（60%）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系统功能：预配置价格体系、自动分账计算、三方独立钱包</w:t>
      </w:r>
    </w:p>
    <w:p/>
    <w:p>
      <w:pPr>
        <w:jc w:val="left"/>
      </w:pPr>
      <w:r>
        <w:rPr>
          <w:rFonts w:ascii="SimSun" w:hAnsi="SimSun" w:eastAsia="SimSun"/>
          <w:b/>
          <w:sz w:val="22"/>
        </w:rPr>
        <w:t>③ 钱包与财务功能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平台、加盟网点、司机三方钱包：充值、提现、查看流水</w:t>
      </w:r>
    </w:p>
    <w:p/>
    <w:p>
      <w:pPr>
        <w:pStyle w:val="Heading3"/>
      </w:pPr>
      <w:r>
        <w:rPr>
          <w:rFonts w:ascii="SimHei" w:hAnsi="SimHei" w:eastAsia="SimHei"/>
          <w:b/>
          <w:sz w:val="24"/>
        </w:rPr>
        <w:t>2.3 商务条件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系统实施费</w:t>
            </w:r>
          </w:p>
        </w:tc>
        <w:tc>
          <w:tcPr>
            <w:tcW w:type="dxa" w:w="4320"/>
          </w:tcPr>
          <w:p>
            <w:r>
              <w:t>8万元（一次性）</w:t>
            </w:r>
          </w:p>
        </w:tc>
      </w:tr>
      <w:tr>
        <w:tc>
          <w:tcPr>
            <w:tcW w:type="dxa" w:w="4320"/>
          </w:tcPr>
          <w:p>
            <w:r>
              <w:t>年费模式</w:t>
            </w:r>
          </w:p>
        </w:tc>
        <w:tc>
          <w:tcPr>
            <w:tcW w:type="dxa" w:w="4320"/>
          </w:tcPr>
          <w:p>
            <w:r>
              <w:t>加盟商付费，5,000元/家/年</w:t>
            </w:r>
          </w:p>
        </w:tc>
      </w:tr>
      <w:tr>
        <w:tc>
          <w:tcPr>
            <w:tcW w:type="dxa" w:w="4320"/>
          </w:tcPr>
          <w:p>
            <w:r>
              <w:t>保底承诺</w:t>
            </w:r>
          </w:p>
        </w:tc>
        <w:tc>
          <w:tcPr>
            <w:tcW w:type="dxa" w:w="4320"/>
          </w:tcPr>
          <w:p>
            <w:r>
              <w:t>首年至少10家加盟商缴费</w:t>
            </w:r>
          </w:p>
        </w:tc>
      </w:tr>
      <w:tr>
        <w:tc>
          <w:tcPr>
            <w:tcW w:type="dxa" w:w="4320"/>
          </w:tcPr>
          <w:p>
            <w:r>
              <w:t>收益预估</w:t>
            </w:r>
          </w:p>
        </w:tc>
        <w:tc>
          <w:tcPr>
            <w:tcW w:type="dxa" w:w="4320"/>
          </w:tcPr>
          <w:p>
            <w:r>
              <w:t>首年最低收入：13万元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SimHei" w:hAnsi="SimHei" w:eastAsia="SimHei"/>
          <w:b/>
          <w:color w:val="4472C4"/>
          <w:sz w:val="28"/>
        </w:rPr>
        <w:t>第三部分：解决方案设计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3.1 系统架构设计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业务层：开单管理、调度配载、运输跟踪、签收管理、结算中心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核心层：危险品管控引擎、智能配载算法、三级分账引擎、钱包支付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数据层：运单数据、危险品库、价格体系、钱包流水、结算记录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接入层：司机APP、网点Web端、分拨中心PDA、平台管理后台</w:t>
      </w:r>
    </w:p>
    <w:p/>
    <w:p>
      <w:pPr>
        <w:pStyle w:val="Heading3"/>
      </w:pPr>
      <w:r>
        <w:rPr>
          <w:rFonts w:ascii="SimHei" w:hAnsi="SimHei" w:eastAsia="SimHei"/>
          <w:b/>
          <w:sz w:val="24"/>
        </w:rPr>
        <w:t>3.2 核心功能模块</w:t>
      </w:r>
    </w:p>
    <w:p>
      <w:pPr>
        <w:jc w:val="left"/>
      </w:pPr>
      <w:r>
        <w:rPr>
          <w:rFonts w:ascii="SimSun" w:hAnsi="SimSun" w:eastAsia="SimSun"/>
          <w:b/>
          <w:sz w:val="22"/>
        </w:rPr>
        <w:t>① 危险品混装智能管控模块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危险品类别档案管理（9大类）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禁配规则引擎（自动检查冲突）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装车实时冲突检测（扫码即检）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运输路径合规校验（避开禁行区）</w:t>
      </w:r>
    </w:p>
    <w:p/>
    <w:p>
      <w:pPr>
        <w:jc w:val="left"/>
      </w:pPr>
      <w:r>
        <w:rPr>
          <w:rFonts w:ascii="SimSun" w:hAnsi="SimSun" w:eastAsia="SimSun"/>
          <w:b/>
          <w:sz w:val="22"/>
        </w:rPr>
        <w:t>② 三级结算与钱包模块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价格体系配置（各线路标准价格）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自动分账逻辑（签收后实时分账）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三方钱包管理（充值、提现、流水）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提现审核流程（风控+人工复核）</w:t>
      </w:r>
    </w:p>
    <w:p/>
    <w:p>
      <w:pPr>
        <w:jc w:val="left"/>
      </w:pPr>
      <w:r>
        <w:rPr>
          <w:rFonts w:ascii="SimSun" w:hAnsi="SimSun" w:eastAsia="SimSun"/>
          <w:b/>
          <w:sz w:val="22"/>
        </w:rPr>
        <w:t>③ 加盟网点管理模块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网点准入管理（资质审核+电子合同）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网点运营管理（收发货+库存+调度）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考核与退出机制（KPI+保证金）</w:t>
      </w:r>
    </w:p>
    <w:p/>
    <w:p>
      <w:pPr>
        <w:pStyle w:val="Heading3"/>
      </w:pPr>
      <w:r>
        <w:rPr>
          <w:rFonts w:ascii="SimHei" w:hAnsi="SimHei" w:eastAsia="SimHei"/>
          <w:b/>
          <w:sz w:val="24"/>
        </w:rPr>
        <w:t>3.3 系统流程设计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标准业务流程：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1. 客户下单（录入货品信息+危险品类别）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2. 系统智能分单（匹配最近加盟网点）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3. 网点调度司机（指派上门提货）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4. 司机提货（扫码核对+混装检查）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5. 运输监控（GPS定位+异常上报）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6. 送达签收（电子签名+拍照留档）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7. 自动结算（按预设规则实时分账）</w:t>
      </w:r>
    </w:p>
    <w:p>
      <w:r>
        <w:br w:type="page"/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3.4 技术实施方案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推荐方案：混合云部署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阿里云/腾讯云：应用服务器、数据库集群、文件存储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本地机房：数据同步网关、ERP对接、大屏监控</w:t>
      </w:r>
    </w:p>
    <w:p/>
    <w:p>
      <w:pPr>
        <w:jc w:val="left"/>
      </w:pPr>
      <w:r>
        <w:rPr>
          <w:rFonts w:ascii="SimSun" w:hAnsi="SimSun" w:eastAsia="SimSun"/>
          <w:b w:val="0"/>
          <w:sz w:val="22"/>
        </w:rPr>
        <w:t>数据安全方案：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数据库加密存储（AES-256）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敏感字段脱敏（手机号、身份证）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操作日志全量记录（防篡改）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等保2.0三级标准建设</w:t>
      </w:r>
    </w:p>
    <w:p/>
    <w:p>
      <w:pPr>
        <w:pStyle w:val="Heading3"/>
      </w:pPr>
      <w:r>
        <w:rPr>
          <w:rFonts w:ascii="SimHei" w:hAnsi="SimHei" w:eastAsia="SimHei"/>
          <w:b/>
          <w:sz w:val="24"/>
        </w:rPr>
        <w:t>3.5 项目实施计划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周期</w:t>
            </w:r>
          </w:p>
        </w:tc>
        <w:tc>
          <w:tcPr>
            <w:tcW w:type="dxa" w:w="2160"/>
          </w:tcPr>
          <w:p>
            <w:r>
              <w:t>主要工作</w:t>
            </w:r>
          </w:p>
        </w:tc>
        <w:tc>
          <w:tcPr>
            <w:tcW w:type="dxa" w:w="2160"/>
          </w:tcPr>
          <w:p>
            <w:r>
              <w:t>交付物</w:t>
            </w:r>
          </w:p>
        </w:tc>
      </w:tr>
      <w:tr>
        <w:tc>
          <w:tcPr>
            <w:tcW w:type="dxa" w:w="2160"/>
          </w:tcPr>
          <w:p>
            <w:r>
              <w:t>需求调研</w:t>
            </w:r>
          </w:p>
        </w:tc>
        <w:tc>
          <w:tcPr>
            <w:tcW w:type="dxa" w:w="2160"/>
          </w:tcPr>
          <w:p>
            <w:r>
              <w:t>2周</w:t>
            </w:r>
          </w:p>
        </w:tc>
        <w:tc>
          <w:tcPr>
            <w:tcW w:type="dxa" w:w="2160"/>
          </w:tcPr>
          <w:p>
            <w:r>
              <w:t>业务调研、流程梳理</w:t>
            </w:r>
          </w:p>
        </w:tc>
        <w:tc>
          <w:tcPr>
            <w:tcW w:type="dxa" w:w="2160"/>
          </w:tcPr>
          <w:p>
            <w:r>
              <w:t>需求规格说明书</w:t>
            </w:r>
          </w:p>
        </w:tc>
      </w:tr>
      <w:tr>
        <w:tc>
          <w:tcPr>
            <w:tcW w:type="dxa" w:w="2160"/>
          </w:tcPr>
          <w:p>
            <w:r>
              <w:t>系统设计</w:t>
            </w:r>
          </w:p>
        </w:tc>
        <w:tc>
          <w:tcPr>
            <w:tcW w:type="dxa" w:w="2160"/>
          </w:tcPr>
          <w:p>
            <w:r>
              <w:t>2周</w:t>
            </w:r>
          </w:p>
        </w:tc>
        <w:tc>
          <w:tcPr>
            <w:tcW w:type="dxa" w:w="2160"/>
          </w:tcPr>
          <w:p>
            <w:r>
              <w:t>架构设计、数据库设计</w:t>
            </w:r>
          </w:p>
        </w:tc>
        <w:tc>
          <w:tcPr>
            <w:tcW w:type="dxa" w:w="2160"/>
          </w:tcPr>
          <w:p>
            <w:r>
              <w:t>系统设计说明书</w:t>
            </w:r>
          </w:p>
        </w:tc>
      </w:tr>
      <w:tr>
        <w:tc>
          <w:tcPr>
            <w:tcW w:type="dxa" w:w="2160"/>
          </w:tcPr>
          <w:p>
            <w:r>
              <w:t>开发测试</w:t>
            </w:r>
          </w:p>
        </w:tc>
        <w:tc>
          <w:tcPr>
            <w:tcW w:type="dxa" w:w="2160"/>
          </w:tcPr>
          <w:p>
            <w:r>
              <w:t>8周</w:t>
            </w:r>
          </w:p>
        </w:tc>
        <w:tc>
          <w:tcPr>
            <w:tcW w:type="dxa" w:w="2160"/>
          </w:tcPr>
          <w:p>
            <w:r>
              <w:t>功能开发、测试</w:t>
            </w:r>
          </w:p>
        </w:tc>
        <w:tc>
          <w:tcPr>
            <w:tcW w:type="dxa" w:w="2160"/>
          </w:tcPr>
          <w:p>
            <w:r>
              <w:t>测试环境系统</w:t>
            </w:r>
          </w:p>
        </w:tc>
      </w:tr>
      <w:tr>
        <w:tc>
          <w:tcPr>
            <w:tcW w:type="dxa" w:w="2160"/>
          </w:tcPr>
          <w:p>
            <w:r>
              <w:t>试点上线</w:t>
            </w:r>
          </w:p>
        </w:tc>
        <w:tc>
          <w:tcPr>
            <w:tcW w:type="dxa" w:w="2160"/>
          </w:tcPr>
          <w:p>
            <w:r>
              <w:t>4周</w:t>
            </w:r>
          </w:p>
        </w:tc>
        <w:tc>
          <w:tcPr>
            <w:tcW w:type="dxa" w:w="2160"/>
          </w:tcPr>
          <w:p>
            <w:r>
              <w:t>试点运行、优化</w:t>
            </w:r>
          </w:p>
        </w:tc>
        <w:tc>
          <w:tcPr>
            <w:tcW w:type="dxa" w:w="2160"/>
          </w:tcPr>
          <w:p>
            <w:r>
              <w:t>正式上线系统</w:t>
            </w:r>
          </w:p>
        </w:tc>
      </w:tr>
    </w:tbl>
    <w:p/>
    <w:p>
      <w:pPr>
        <w:jc w:val="left"/>
      </w:pPr>
      <w:r>
        <w:rPr>
          <w:rFonts w:ascii="SimSun" w:hAnsi="SimSun" w:eastAsia="SimSun"/>
          <w:b w:val="0"/>
          <w:sz w:val="22"/>
        </w:rPr>
        <w:t>总计：16周（4个月）完成上线</w:t>
      </w:r>
    </w:p>
    <w:p>
      <w:r>
        <w:br w:type="page"/>
      </w:r>
    </w:p>
    <w:p>
      <w:pPr>
        <w:pStyle w:val="Heading2"/>
      </w:pPr>
      <w:r>
        <w:rPr>
          <w:rFonts w:ascii="SimHei" w:hAnsi="SimHei" w:eastAsia="SimHei"/>
          <w:b/>
          <w:color w:val="4472C4"/>
          <w:sz w:val="28"/>
        </w:rPr>
        <w:t>第四部分：商务方案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4.1 报价明细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费用</w:t>
            </w:r>
          </w:p>
        </w:tc>
      </w:tr>
      <w:tr>
        <w:tc>
          <w:tcPr>
            <w:tcW w:type="dxa" w:w="2880"/>
          </w:tcPr>
          <w:p>
            <w:r>
              <w:t>系统实施费</w:t>
            </w:r>
          </w:p>
        </w:tc>
        <w:tc>
          <w:tcPr>
            <w:tcW w:type="dxa" w:w="2880"/>
          </w:tcPr>
          <w:p>
            <w:r>
              <w:t>定制开发、部署、培训</w:t>
            </w:r>
          </w:p>
        </w:tc>
        <w:tc>
          <w:tcPr>
            <w:tcW w:type="dxa" w:w="2880"/>
          </w:tcPr>
          <w:p>
            <w:r>
              <w:t>80,000元</w:t>
            </w:r>
          </w:p>
        </w:tc>
      </w:tr>
      <w:tr>
        <w:tc>
          <w:tcPr>
            <w:tcW w:type="dxa" w:w="2880"/>
          </w:tcPr>
          <w:p>
            <w:r>
              <w:t>SaaS年费</w:t>
            </w:r>
          </w:p>
        </w:tc>
        <w:tc>
          <w:tcPr>
            <w:tcW w:type="dxa" w:w="2880"/>
          </w:tcPr>
          <w:p>
            <w:r>
              <w:t>系统运维、技术支持</w:t>
            </w:r>
          </w:p>
        </w:tc>
        <w:tc>
          <w:tcPr>
            <w:tcW w:type="dxa" w:w="2880"/>
          </w:tcPr>
          <w:p>
            <w:r>
              <w:t>首年免费</w:t>
            </w:r>
          </w:p>
        </w:tc>
      </w:tr>
      <w:tr>
        <w:tc>
          <w:tcPr>
            <w:tcW w:type="dxa" w:w="2880"/>
          </w:tcPr>
          <w:p>
            <w:r>
              <w:t>加盟商年费</w:t>
            </w:r>
          </w:p>
        </w:tc>
        <w:tc>
          <w:tcPr>
            <w:tcW w:type="dxa" w:w="2880"/>
          </w:tcPr>
          <w:p>
            <w:r>
              <w:t>5,000元/家/年（加盟商付）</w:t>
            </w:r>
          </w:p>
        </w:tc>
        <w:tc>
          <w:tcPr>
            <w:tcW w:type="dxa" w:w="2880"/>
          </w:tcPr>
          <w:p>
            <w:r>
              <w:t>预估首年50,000元</w:t>
            </w:r>
          </w:p>
        </w:tc>
      </w:tr>
      <w:tr>
        <w:tc>
          <w:tcPr>
            <w:tcW w:type="dxa" w:w="2880"/>
          </w:tcPr>
          <w:p>
            <w:r>
              <w:t>合计首年收入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130,000元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4.2 付款方式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付款比例</w:t>
            </w:r>
          </w:p>
        </w:tc>
        <w:tc>
          <w:tcPr>
            <w:tcW w:type="dxa" w:w="2160"/>
          </w:tcPr>
          <w:p>
            <w:r>
              <w:t>金额</w:t>
            </w:r>
          </w:p>
        </w:tc>
        <w:tc>
          <w:tcPr>
            <w:tcW w:type="dxa" w:w="2160"/>
          </w:tcPr>
          <w:p>
            <w:r>
              <w:t>条件</w:t>
            </w:r>
          </w:p>
        </w:tc>
      </w:tr>
      <w:tr>
        <w:tc>
          <w:tcPr>
            <w:tcW w:type="dxa" w:w="2160"/>
          </w:tcPr>
          <w:p>
            <w:r>
              <w:t>合同签订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24,000元</w:t>
            </w:r>
          </w:p>
        </w:tc>
        <w:tc>
          <w:tcPr>
            <w:tcW w:type="dxa" w:w="2160"/>
          </w:tcPr>
          <w:p>
            <w:r>
              <w:t>合同签署后5个工作日内</w:t>
            </w:r>
          </w:p>
        </w:tc>
      </w:tr>
      <w:tr>
        <w:tc>
          <w:tcPr>
            <w:tcW w:type="dxa" w:w="2160"/>
          </w:tcPr>
          <w:p>
            <w:r>
              <w:t>系统上线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32,000元</w:t>
            </w:r>
          </w:p>
        </w:tc>
        <w:tc>
          <w:tcPr>
            <w:tcW w:type="dxa" w:w="2160"/>
          </w:tcPr>
          <w:p>
            <w:r>
              <w:t>试点成功上线后</w:t>
            </w:r>
          </w:p>
        </w:tc>
      </w:tr>
      <w:tr>
        <w:tc>
          <w:tcPr>
            <w:tcW w:type="dxa" w:w="2160"/>
          </w:tcPr>
          <w:p>
            <w:r>
              <w:t>验收完成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24,000元</w:t>
            </w:r>
          </w:p>
        </w:tc>
        <w:tc>
          <w:tcPr>
            <w:tcW w:type="dxa" w:w="2160"/>
          </w:tcPr>
          <w:p>
            <w:r>
              <w:t>项目整体验收通过后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4.3 售后支持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免费服务期：上线后12个月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7×24小时技术支持热线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系统故障2小时内响应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重大问题4小时内解决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每月系统健康检查报告</w:t>
      </w:r>
    </w:p>
    <w:p/>
    <w:p>
      <w:pPr>
        <w:pStyle w:val="Heading3"/>
      </w:pPr>
      <w:r>
        <w:rPr>
          <w:rFonts w:ascii="SimHei" w:hAnsi="SimHei" w:eastAsia="SimHei"/>
          <w:b/>
          <w:sz w:val="24"/>
        </w:rPr>
        <w:t>4.4 合作模式建议</w:t>
      </w:r>
    </w:p>
    <w:p>
      <w:pPr>
        <w:jc w:val="left"/>
      </w:pPr>
      <w:r>
        <w:rPr>
          <w:rFonts w:ascii="SimSun" w:hAnsi="SimSun" w:eastAsia="SimSun"/>
          <w:b/>
          <w:sz w:val="22"/>
        </w:rPr>
        <w:t>方案A：SaaS托管模式（推荐）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八米科技负责系统运维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密尔克卫按需使用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数据归属密尔克卫，随时可导出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按年收取加盟商服务费</w:t>
      </w:r>
    </w:p>
    <w:p/>
    <w:p>
      <w:pPr>
        <w:jc w:val="left"/>
      </w:pPr>
      <w:r>
        <w:rPr>
          <w:rFonts w:ascii="SimSun" w:hAnsi="SimSun" w:eastAsia="SimSun"/>
          <w:b w:val="0"/>
          <w:sz w:val="22"/>
        </w:rPr>
        <w:t>推荐理由：降低IT投入成本、专业团队保障、快速上线、持续迭代更新</w:t>
      </w:r>
    </w:p>
    <w:p>
      <w:r>
        <w:br w:type="page"/>
      </w:r>
    </w:p>
    <w:p>
      <w:pPr>
        <w:pStyle w:val="Heading2"/>
      </w:pPr>
      <w:r>
        <w:rPr>
          <w:rFonts w:ascii="SimHei" w:hAnsi="SimHei" w:eastAsia="SimHei"/>
          <w:b/>
          <w:color w:val="4472C4"/>
          <w:sz w:val="28"/>
        </w:rPr>
        <w:t>第五部分：成功案例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案例一：泛昇国际 - 跨境物流TMS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客户背景：年营收超10亿元的跨境电商物流企业，日均订单量5万+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项目内容：八米跨境TMS + 海外仓WMS + 代购系统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实施效果：订单处理效率提升300%，物流成本降低25%，客户满意度98%</w:t>
      </w:r>
    </w:p>
    <w:p/>
    <w:p>
      <w:pPr>
        <w:pStyle w:val="Heading3"/>
      </w:pPr>
      <w:r>
        <w:rPr>
          <w:rFonts w:ascii="SimHei" w:hAnsi="SimHei" w:eastAsia="SimHei"/>
          <w:b/>
          <w:sz w:val="24"/>
        </w:rPr>
        <w:t>案例二：弘海铁盛 - 非洲代购集运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客户背景：专注非洲市场的代购集运平台，月处理包裹10万+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项目内容：代购下单系统 + 集运仓储管理 + 国际物流跟踪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实施效果：入库效率提升200%，错发率降至0.1%，客户复购率提升40%</w:t>
      </w:r>
    </w:p>
    <w:p/>
    <w:p>
      <w:pPr>
        <w:pStyle w:val="Heading3"/>
      </w:pPr>
      <w:r>
        <w:rPr>
          <w:rFonts w:ascii="SimHei" w:hAnsi="SimHei" w:eastAsia="SimHei"/>
          <w:b/>
          <w:sz w:val="24"/>
        </w:rPr>
        <w:t>案例三：新希望集团 - 智能供应链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客户背景：世界500强企业，农业全产业链布局，年物流需求超百亿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项目内容：AI智能拓客引擎 + 供应链数据决策平台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实施效果：获客成本降低35%，决策效率提升50%，年节省物流成本超千万</w:t>
      </w:r>
    </w:p>
    <w:p>
      <w:r>
        <w:br w:type="page"/>
      </w:r>
    </w:p>
    <w:p>
      <w:pPr>
        <w:pStyle w:val="Heading2"/>
      </w:pPr>
      <w:r>
        <w:rPr>
          <w:rFonts w:ascii="SimHei" w:hAnsi="SimHei" w:eastAsia="SimHei"/>
          <w:b/>
          <w:color w:val="4472C4"/>
          <w:sz w:val="28"/>
        </w:rPr>
        <w:t>第六部分：为什么选择八米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核心优势对比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传统软件厂商</w:t>
            </w:r>
          </w:p>
        </w:tc>
        <w:tc>
          <w:tcPr>
            <w:tcW w:type="dxa" w:w="2880"/>
          </w:tcPr>
          <w:p>
            <w:r>
              <w:t>八米科技</w:t>
            </w:r>
          </w:p>
        </w:tc>
      </w:tr>
      <w:tr>
        <w:tc>
          <w:tcPr>
            <w:tcW w:type="dxa" w:w="2880"/>
          </w:tcPr>
          <w:p>
            <w:r>
              <w:t>行业经验</w:t>
            </w:r>
          </w:p>
        </w:tc>
        <w:tc>
          <w:tcPr>
            <w:tcW w:type="dxa" w:w="2880"/>
          </w:tcPr>
          <w:p>
            <w:r>
              <w:t>通用型，需二次开发</w:t>
            </w:r>
          </w:p>
        </w:tc>
        <w:tc>
          <w:tcPr>
            <w:tcW w:type="dxa" w:w="2880"/>
          </w:tcPr>
          <w:p>
            <w:r>
              <w:t>18年专注物流，懂业务</w:t>
            </w:r>
          </w:p>
        </w:tc>
      </w:tr>
      <w:tr>
        <w:tc>
          <w:tcPr>
            <w:tcW w:type="dxa" w:w="2880"/>
          </w:tcPr>
          <w:p>
            <w:r>
              <w:t>技术架构</w:t>
            </w:r>
          </w:p>
        </w:tc>
        <w:tc>
          <w:tcPr>
            <w:tcW w:type="dxa" w:w="2880"/>
          </w:tcPr>
          <w:p>
            <w:r>
              <w:t>传统单体架构</w:t>
            </w:r>
          </w:p>
        </w:tc>
        <w:tc>
          <w:tcPr>
            <w:tcW w:type="dxa" w:w="2880"/>
          </w:tcPr>
          <w:p>
            <w:r>
              <w:t>微服务+云原生，可扩展</w:t>
            </w:r>
          </w:p>
        </w:tc>
      </w:tr>
      <w:tr>
        <w:tc>
          <w:tcPr>
            <w:tcW w:type="dxa" w:w="2880"/>
          </w:tcPr>
          <w:p>
            <w:r>
              <w:t>交付速度</w:t>
            </w:r>
          </w:p>
        </w:tc>
        <w:tc>
          <w:tcPr>
            <w:tcW w:type="dxa" w:w="2880"/>
          </w:tcPr>
          <w:p>
            <w:r>
              <w:t>6-12个月</w:t>
            </w:r>
          </w:p>
        </w:tc>
        <w:tc>
          <w:tcPr>
            <w:tcW w:type="dxa" w:w="2880"/>
          </w:tcPr>
          <w:p>
            <w:r>
              <w:t>4个月快速上线</w:t>
            </w:r>
          </w:p>
        </w:tc>
      </w:tr>
      <w:tr>
        <w:tc>
          <w:tcPr>
            <w:tcW w:type="dxa" w:w="2880"/>
          </w:tcPr>
          <w:p>
            <w:r>
              <w:t>定制能力</w:t>
            </w:r>
          </w:p>
        </w:tc>
        <w:tc>
          <w:tcPr>
            <w:tcW w:type="dxa" w:w="2880"/>
          </w:tcPr>
          <w:p>
            <w:r>
              <w:t>标准化产品，难定制</w:t>
            </w:r>
          </w:p>
        </w:tc>
        <w:tc>
          <w:tcPr>
            <w:tcW w:type="dxa" w:w="2880"/>
          </w:tcPr>
          <w:p>
            <w:r>
              <w:t>源码级定制，灵活可控</w:t>
            </w:r>
          </w:p>
        </w:tc>
      </w:tr>
      <w:tr>
        <w:tc>
          <w:tcPr>
            <w:tcW w:type="dxa" w:w="2880"/>
          </w:tcPr>
          <w:p>
            <w:r>
              <w:t>性价比</w:t>
            </w:r>
          </w:p>
        </w:tc>
        <w:tc>
          <w:tcPr>
            <w:tcW w:type="dxa" w:w="2880"/>
          </w:tcPr>
          <w:p>
            <w:r>
              <w:t>动辄百万</w:t>
            </w:r>
          </w:p>
        </w:tc>
        <w:tc>
          <w:tcPr>
            <w:tcW w:type="dxa" w:w="2880"/>
          </w:tcPr>
          <w:p>
            <w:r>
              <w:t>8万起，性价比极高</w:t>
            </w:r>
          </w:p>
        </w:tc>
      </w:tr>
      <w:tr>
        <w:tc>
          <w:tcPr>
            <w:tcW w:type="dxa" w:w="2880"/>
          </w:tcPr>
          <w:p>
            <w:r>
              <w:t>后续服务</w:t>
            </w:r>
          </w:p>
        </w:tc>
        <w:tc>
          <w:tcPr>
            <w:tcW w:type="dxa" w:w="2880"/>
          </w:tcPr>
          <w:p>
            <w:r>
              <w:t>响应慢，费用高</w:t>
            </w:r>
          </w:p>
        </w:tc>
        <w:tc>
          <w:tcPr>
            <w:tcW w:type="dxa" w:w="2880"/>
          </w:tcPr>
          <w:p>
            <w:r>
              <w:t>7×24小时，免费期长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b/>
          <w:sz w:val="24"/>
        </w:rPr>
        <w:t>我们的承诺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技术承诺：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系统稳定性99.9%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数据安全零事故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功能按期交付</w:t>
      </w:r>
    </w:p>
    <w:p/>
    <w:p>
      <w:pPr>
        <w:jc w:val="left"/>
      </w:pPr>
      <w:r>
        <w:rPr>
          <w:rFonts w:ascii="SimSun" w:hAnsi="SimSun" w:eastAsia="SimSun"/>
          <w:b w:val="0"/>
          <w:sz w:val="22"/>
        </w:rPr>
        <w:t>服务承诺：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2小时响应，4小时解决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项目经理驻场支持（试点期）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免费培训至熟练操作</w:t>
      </w:r>
    </w:p>
    <w:p/>
    <w:p>
      <w:pPr>
        <w:jc w:val="left"/>
      </w:pPr>
      <w:r>
        <w:rPr>
          <w:rFonts w:ascii="SimSun" w:hAnsi="SimSun" w:eastAsia="SimSun"/>
          <w:b w:val="0"/>
          <w:sz w:val="22"/>
        </w:rPr>
        <w:t>商务承诺：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无隐形费用，报价透明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源码交付（可选），无锁定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不成功不收费（试点期后付款）</w:t>
      </w:r>
    </w:p>
    <w:p/>
    <w:p>
      <w:pPr>
        <w:pStyle w:val="Heading2"/>
      </w:pPr>
      <w:r>
        <w:rPr>
          <w:rFonts w:ascii="SimHei" w:hAnsi="SimHei" w:eastAsia="SimHei"/>
          <w:b/>
          <w:color w:val="4472C4"/>
          <w:sz w:val="28"/>
        </w:rPr>
        <w:t>结语</w:t>
      </w:r>
    </w:p>
    <w:p>
      <w:pPr>
        <w:jc w:val="center"/>
      </w:pPr>
      <w:r>
        <w:rPr>
          <w:rFonts w:ascii="SimSun" w:hAnsi="SimSun" w:eastAsia="SimSun"/>
          <w:b/>
          <w:sz w:val="22"/>
        </w:rPr>
        <w:t>八米科技期待与密尔克卫携手，共同打造危险品物流加盟模式的行业标杆！</w:t>
      </w:r>
    </w:p>
    <w:p/>
    <w:p/>
    <w:p>
      <w:pPr>
        <w:jc w:val="center"/>
      </w:pPr>
      <w:r>
        <w:rPr>
          <w:rFonts w:ascii="SimSun" w:hAnsi="SimSun" w:eastAsia="SimSun"/>
          <w:b w:val="0"/>
          <w:sz w:val="22"/>
        </w:rPr>
        <w:t>八米科技（广州八米网络科技有限公司）</w:t>
      </w:r>
    </w:p>
    <w:p>
      <w:pPr>
        <w:jc w:val="center"/>
      </w:pPr>
      <w:r>
        <w:rPr>
          <w:rFonts w:ascii="SimSun" w:hAnsi="SimSun" w:eastAsia="SimSun"/>
          <w:b w:val="0"/>
          <w:sz w:val="22"/>
        </w:rPr>
        <w:t>官网：www.bamitms.com | www.8bami.com</w:t>
      </w:r>
    </w:p>
    <w:p>
      <w:pPr>
        <w:jc w:val="center"/>
      </w:pPr>
      <w:r>
        <w:rPr>
          <w:rFonts w:ascii="SimSun" w:hAnsi="SimSun" w:eastAsia="SimSun"/>
          <w:b w:val="0"/>
          <w:sz w:val="22"/>
        </w:rPr>
        <w:t>方案日期：2026年3月7日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