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center"/>
      </w:pPr>
      <w:r>
        <w:rPr>
          <w:rFonts w:ascii="SimSun" w:hAnsi="SimSun" w:eastAsia="SimSun"/>
          <w:b/>
          <w:sz w:val="40"/>
        </w:rPr>
        <w:t>密尔克卫化工供应链服务股份有限公司</w:t>
      </w:r>
    </w:p>
    <w:p>
      <w:pPr>
        <w:jc w:val="left"/>
      </w:pPr>
      <w:r>
        <w:rPr>
          <w:rFonts w:ascii="SimSun" w:hAnsi="SimSun" w:eastAsia="SimSun"/>
          <w:b w:val="0"/>
          <w:sz w:val="16"/>
        </w:rPr>
      </w:r>
    </w:p>
    <w:p>
      <w:pPr>
        <w:jc w:val="center"/>
      </w:pPr>
      <w:r>
        <w:rPr>
          <w:rFonts w:ascii="SimSun" w:hAnsi="SimSun" w:eastAsia="SimSun"/>
          <w:b/>
          <w:sz w:val="44"/>
        </w:rPr>
        <w:t>危险品物流加盟模式TMS系统</w:t>
      </w:r>
    </w:p>
    <w:p>
      <w:pPr>
        <w:jc w:val="center"/>
      </w:pPr>
      <w:r>
        <w:rPr>
          <w:rFonts w:ascii="SimSun" w:hAnsi="SimSun" w:eastAsia="SimSun"/>
          <w:b/>
          <w:sz w:val="44"/>
        </w:rPr>
        <w:t>解决方案</w:t>
      </w:r>
    </w:p>
    <w:p>
      <w:pPr>
        <w:jc w:val="left"/>
      </w:pPr>
      <w:r>
        <w:rPr>
          <w:rFonts w:ascii="SimSun" w:hAnsi="SimSun" w:eastAsia="SimSun"/>
          <w:b w:val="0"/>
          <w:sz w:val="16"/>
        </w:rPr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（专业版 V2.0）</w:t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基于八米科技18年供应链数字化经验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股票代码：603713.SH</w:t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提交单位：广州八米网络科技有限公司（八米科技 BAMi）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官网：www.bamitms.com  |  www.8bami.com</w:t>
      </w:r>
    </w:p>
    <w:p>
      <w:pPr>
        <w:jc w:val="left"/>
      </w:pPr>
      <w:r>
        <w:rPr>
          <w:rFonts w:ascii="SimSun" w:hAnsi="SimSun" w:eastAsia="SimSun"/>
          <w:b w:val="0"/>
          <w:sz w:val="16"/>
        </w:rPr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方案日期：2026年3月8日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保密级别：商业机密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第一部分  项目理解与需求分析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1.1 密尔克卫企业画像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密尔克卫化工供应链服务股份有限公司（股票代码：603713.SH）是中国A股主板上市的化工供应链龙头企业，成立于1997年，深耕化工物流领域27年。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企业维度</w:t>
            </w:r>
          </w:p>
        </w:tc>
        <w:tc>
          <w:tcPr>
            <w:tcW w:type="dxa" w:w="4320"/>
          </w:tcPr>
          <w:p>
            <w:r>
              <w:t>核心数据</w:t>
            </w:r>
          </w:p>
        </w:tc>
      </w:tr>
      <w:tr>
        <w:tc>
          <w:tcPr>
            <w:tcW w:type="dxa" w:w="4320"/>
          </w:tcPr>
          <w:p>
            <w:r>
              <w:t>企业定位</w:t>
            </w:r>
          </w:p>
        </w:tc>
        <w:tc>
          <w:tcPr>
            <w:tcW w:type="dxa" w:w="4320"/>
          </w:tcPr>
          <w:p>
            <w:r>
              <w:t>中国最大的民营化工供应链综合服务商</w:t>
            </w:r>
          </w:p>
        </w:tc>
      </w:tr>
      <w:tr>
        <w:tc>
          <w:tcPr>
            <w:tcW w:type="dxa" w:w="4320"/>
          </w:tcPr>
          <w:p>
            <w:r>
              <w:t>上市情况</w:t>
            </w:r>
          </w:p>
        </w:tc>
        <w:tc>
          <w:tcPr>
            <w:tcW w:type="dxa" w:w="4320"/>
          </w:tcPr>
          <w:p>
            <w:r>
              <w:t>A股主板上市，市值超200亿元人民币</w:t>
            </w:r>
          </w:p>
        </w:tc>
      </w:tr>
      <w:tr>
        <w:tc>
          <w:tcPr>
            <w:tcW w:type="dxa" w:w="4320"/>
          </w:tcPr>
          <w:p>
            <w:r>
              <w:t>年营收规模</w:t>
            </w:r>
          </w:p>
        </w:tc>
        <w:tc>
          <w:tcPr>
            <w:tcW w:type="dxa" w:w="4320"/>
          </w:tcPr>
          <w:p>
            <w:r>
              <w:t>2024年营收超100亿元人民币</w:t>
            </w:r>
          </w:p>
        </w:tc>
      </w:tr>
      <w:tr>
        <w:tc>
          <w:tcPr>
            <w:tcW w:type="dxa" w:w="4320"/>
          </w:tcPr>
          <w:p>
            <w:r>
              <w:t>服务客户</w:t>
            </w:r>
          </w:p>
        </w:tc>
        <w:tc>
          <w:tcPr>
            <w:tcW w:type="dxa" w:w="4320"/>
          </w:tcPr>
          <w:p>
            <w:r>
              <w:t>巴斯夫、中石化、万华化学等世界500强化工巨头</w:t>
            </w:r>
          </w:p>
        </w:tc>
      </w:tr>
      <w:tr>
        <w:tc>
          <w:tcPr>
            <w:tcW w:type="dxa" w:w="4320"/>
          </w:tcPr>
          <w:p>
            <w:r>
              <w:t>资质网络</w:t>
            </w:r>
          </w:p>
        </w:tc>
        <w:tc>
          <w:tcPr>
            <w:tcW w:type="dxa" w:w="4320"/>
          </w:tcPr>
          <w:p>
            <w:r>
              <w:t>全国危化品物流资质最完整的民营企业</w:t>
            </w:r>
          </w:p>
        </w:tc>
      </w:tr>
      <w:tr>
        <w:tc>
          <w:tcPr>
            <w:tcW w:type="dxa" w:w="4320"/>
          </w:tcPr>
          <w:p>
            <w:r>
              <w:t>战略布局</w:t>
            </w:r>
          </w:p>
        </w:tc>
        <w:tc>
          <w:tcPr>
            <w:tcW w:type="dxa" w:w="4320"/>
          </w:tcPr>
          <w:p>
            <w:r>
              <w:t>打造"化工品亚马逊"，构建线上线下一体化平台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【战略方向】打造"化工品亚马逊"，构建线上线下一体化的化工供应链平台，本次加盟模式是战略扩张的重要举措。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1.2 本次项目背景与战略目标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密尔克卫在传统直营物流网络基础上，探索"加盟模式"新业务线，设立独立事业部运营：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快速扩张：以轻资产方式快速覆盖三四线城市及县域市场，弥补直营网络密度不足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资源整合：整合社会优质运力资源，提升末端配送密度和服务覆盖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独立核算：加盟事业部独立运营、自负盈亏、风险隔离，便于内部核算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生态构建：构建"直营+加盟"双轮驱动的物流网络生态，形成互补优势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1.3 加盟模式业务运营深度解析</w:t>
      </w:r>
    </w:p>
    <w:p>
      <w:pPr>
        <w:jc w:val="left"/>
      </w:pPr>
      <w:r>
        <w:rPr>
          <w:rFonts w:ascii="SimSun" w:hAnsi="SimSun" w:eastAsia="SimSun"/>
          <w:b/>
          <w:sz w:val="22"/>
        </w:rPr>
        <w:t>【网络架构】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平台层：密尔克卫集团（品牌输出、系统支撑、结算中心）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节点层：加盟网点（区域收派、集货分拨、客户服务）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枢纽层：分拨中心（干线中转、全国调度、库存管理）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运力层：司机/车队（末端配送、上门揽派、异常处理）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【业务流程】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客户下单 → 加盟网点接单 → 司机提货 → 网点集货 → 干线运输 → 分拨中心 → 末端配送 → 客户签收 → 自动结算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第二部分  八米科技解决方案概述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2.1 八米科技企业实力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广州八米网络科技有限公司（BAMi）成立于2011年，前身为华远软件，专注于供应链物流数字化解决方案18年。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实力维度</w:t>
            </w:r>
          </w:p>
        </w:tc>
        <w:tc>
          <w:tcPr>
            <w:tcW w:type="dxa" w:w="4320"/>
          </w:tcPr>
          <w:p>
            <w:r>
              <w:t>具体数据</w:t>
            </w:r>
          </w:p>
        </w:tc>
      </w:tr>
      <w:tr>
        <w:tc>
          <w:tcPr>
            <w:tcW w:type="dxa" w:w="4320"/>
          </w:tcPr>
          <w:p>
            <w:r>
              <w:t>行业经验</w:t>
            </w:r>
          </w:p>
        </w:tc>
        <w:tc>
          <w:tcPr>
            <w:tcW w:type="dxa" w:w="4320"/>
          </w:tcPr>
          <w:p>
            <w:r>
              <w:t>18年供应链物流软件研发与实施经验</w:t>
            </w:r>
          </w:p>
        </w:tc>
      </w:tr>
      <w:tr>
        <w:tc>
          <w:tcPr>
            <w:tcW w:type="dxa" w:w="4320"/>
          </w:tcPr>
          <w:p>
            <w:r>
              <w:t>服务客户</w:t>
            </w:r>
          </w:p>
        </w:tc>
        <w:tc>
          <w:tcPr>
            <w:tcW w:type="dxa" w:w="4320"/>
          </w:tcPr>
          <w:p>
            <w:r>
              <w:t>累计服务10,000+企业客户</w:t>
            </w:r>
          </w:p>
        </w:tc>
      </w:tr>
      <w:tr>
        <w:tc>
          <w:tcPr>
            <w:tcW w:type="dxa" w:w="4320"/>
          </w:tcPr>
          <w:p>
            <w:r>
              <w:t>研发团队</w:t>
            </w:r>
          </w:p>
        </w:tc>
        <w:tc>
          <w:tcPr>
            <w:tcW w:type="dxa" w:w="4320"/>
          </w:tcPr>
          <w:p>
            <w:r>
              <w:t>120+人，高级架构师15人，危险品专家5人</w:t>
            </w:r>
          </w:p>
        </w:tc>
      </w:tr>
      <w:tr>
        <w:tc>
          <w:tcPr>
            <w:tcW w:type="dxa" w:w="4320"/>
          </w:tcPr>
          <w:p>
            <w:r>
              <w:t>技术专利</w:t>
            </w:r>
          </w:p>
        </w:tc>
        <w:tc>
          <w:tcPr>
            <w:tcW w:type="dxa" w:w="4320"/>
          </w:tcPr>
          <w:p>
            <w:r>
              <w:t>软件著作权32项，发明专利5项</w:t>
            </w:r>
          </w:p>
        </w:tc>
      </w:tr>
      <w:tr>
        <w:tc>
          <w:tcPr>
            <w:tcW w:type="dxa" w:w="4320"/>
          </w:tcPr>
          <w:p>
            <w:r>
              <w:t>资质认证</w:t>
            </w:r>
          </w:p>
        </w:tc>
        <w:tc>
          <w:tcPr>
            <w:tcW w:type="dxa" w:w="4320"/>
          </w:tcPr>
          <w:p>
            <w:r>
              <w:t>等保三级、ISO9001、ISO27001、高新技术企业</w:t>
            </w:r>
          </w:p>
        </w:tc>
      </w:tr>
      <w:tr>
        <w:tc>
          <w:tcPr>
            <w:tcW w:type="dxa" w:w="4320"/>
          </w:tcPr>
          <w:p>
            <w:r>
              <w:t>业务布局</w:t>
            </w:r>
          </w:p>
        </w:tc>
        <w:tc>
          <w:tcPr>
            <w:tcW w:type="dxa" w:w="4320"/>
          </w:tcPr>
          <w:p>
            <w:r>
              <w:t>AI Agent + 跨境物流 + WMS/TMS源码输出</w:t>
            </w:r>
          </w:p>
        </w:tc>
      </w:tr>
    </w:tbl>
    <w:p>
      <w:pPr>
        <w:pStyle w:val="Heading3"/>
      </w:pPr>
      <w:r>
        <w:rPr>
          <w:rFonts w:ascii="SimHei" w:hAnsi="SimHei" w:eastAsia="SimHei"/>
          <w:b/>
          <w:sz w:val="26"/>
        </w:rPr>
        <w:t>2.2 标杆客户案例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新希望集团：智能供应链平台，物流成本降低35%，年节省运输费用超2000万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广汽集团：整车物流TMS，运输效率提升50%，车辆利用率提升至85%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泛昇国际：跨境物流一体化平台，日订单处理能力5万+，覆盖50+国家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APOLLOTECH（菲律宾）：WMS源码输出项目，合同金额120万人民币，海外首个源码出海案例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2.3 本次解决方案核心理念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【安全第一】危险品物流，安全是底线。系统内置9大类危险品禁配规则，智能拦截不合规操作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【独立核算】加盟模式必须财务清晰。三级结算体系自动分账，各方账目一目了然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【快速上线】SaaS化部署，标准功能2周上线，定制需求4周交付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【灵活扩展】微服务架构，支持未来业务快速扩展和二次开发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第三部分  TMS系统核心功能设计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3.1 功能架构总览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本TMS系统采用微服务架构，涵盖八大核心功能模块：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订单管理：客户下单、订单分配、订单跟踪、异常处理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运力管理：司机/车辆档案、资质管理、调度派单、评价考核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运输管理：运单生成、配载优化、在途跟踪、签收确认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分拨管理：分拨中心作业、中转调度、库存暂存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结算管理：运费计算、三级分账、钱包管理、财务报表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客户管理：客户档案、合同管理、价格体系、服务评价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数据报表：运营报表、财务分析、异常统计、决策支持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系统管理：权限管理、组织架构、基础数据、接口配置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3.2 核心功能详细设计</w:t>
      </w:r>
    </w:p>
    <w:p>
      <w:pPr>
        <w:jc w:val="left"/>
      </w:pPr>
      <w:r>
        <w:rPr>
          <w:rFonts w:ascii="SimSun" w:hAnsi="SimSun" w:eastAsia="SimSun"/>
          <w:b/>
          <w:sz w:val="22"/>
        </w:rPr>
        <w:t>【智能订单分配】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自动分配：基于网点服务区域、运力负载、历史表现智能分配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人工调度：调度员手动分配，支持批量操作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抢单模式：网点/司机抢单，适合高峰时段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预约调度：支持客户预约取件时间，系统智能排程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【智能配载优化】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禁配检查：自动检测货物间是否存在禁忌配装关系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装载优化：基于体积、重量、卸货顺序优化装载方案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车辆匹配：根据货物类型匹配具备相应资质的车辆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路线规划：考虑限行、禁行区域，规划最优运输路线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【全程在途跟踪】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GPS定位：车辆实时位置追踪，5秒级更新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电子围栏：关键节点自动打卡，无需人工干预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异常预警：偏离路线、超时停留、超速、禁区闯入自动报警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• 客户通知：关键节点自动触发短信/微信通知客户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第四部分  危险品物流专项方案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4.1 九大类危险品管理体系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第1类 爆炸品：TNT、烟花爆竹等（严禁与其他类混装，专车专运）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第2类 压缩气体：氧气、乙炔、液化石油气（防高温、防撞击、防泄漏）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第3类 易燃液体：汽油、酒精、油漆（远离火源、防静电、密封运输）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第4类 易燃固体：硫磺、红磷、铝粉（防潮、防热、防摩擦）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第5类 氧化剂：过氧化氢、高锰酸钾（与易燃物隔离，防混装）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第6类 有毒物质：农药、氰化物（密封、防泄漏、人员防护）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第7类 放射性物质：铀、钴等（特殊资质、专用车辆、严格监控）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第8类 腐蚀品：硫酸、盐酸、氢氧化钠（防泄漏、防腐蚀、应急准备）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第9类 杂项危险品：锂电池、磁性物质（按具体属性分类管理）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4.2 智能禁配规则引擎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系统内置基于《危险货物品名表》（GB 12268）的禁配规则库：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自动识别：扫描货物信息自动识别危险品类别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冲突检测：装车时自动检测是否存在禁忌配装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强制拦截：发现冲突时强制阻止装车并提示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合规建议：提供符合要求的装载方案和车辆建议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应急预案：自动生成应急处置措施和联系人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4.3 电子运单与监管对接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系统对接交通运输部电子运单系统，实现：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电子运单自动生成，符合JT/T 808/809标准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托运人、承运人、收货人信息完整记录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危险品UN编号、CAS号、MSDS自动关联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运输轨迹实时上报监管部门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异常事件自动上报和处置记录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第五部分  三级结算与财务体系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5.1 三级结算架构</w:t>
      </w:r>
    </w:p>
    <w:p>
      <w:pPr>
        <w:jc w:val="left"/>
      </w:pPr>
      <w:r>
        <w:rPr>
          <w:rFonts w:ascii="SimSun" w:hAnsi="SimSun" w:eastAsia="SimSun"/>
          <w:b/>
          <w:sz w:val="22"/>
        </w:rPr>
        <w:t>【收入分配比例】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平台方（密尔克卫）：15% | 加盟网点：25% | 司机/车队：60%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【资金流向】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客户支付运费 → 平台资金池 → 自动分账到三方钱包 → 各自提现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5.2 三方独立钱包体系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平台方钱包：归集全部运费收入，按比例划拨，查看全网财务数据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网点钱包：查看本网点应收款项，申请提现，查看明细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司机钱包：查看个人运费收入，申请提现，查看运单明细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5.3 自动分账机制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触发条件：运单签收确认（客户签收或系统签收）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分账时效：T+0实时到账各方钱包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分账比例：按预设比例自动计算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异常处理：异常运单冻结分账，核实后处理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对账报表：自动生成日/月对账单，支持导出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5.4 价格体系配置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线路价格：按始发地-目的地配置标准价格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品类加价：危险品类别对应不同加价系数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重量/体积：支持按实际重量或体积重量计费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增值服务：保价费、上楼费、等待费等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客户协议：支持大客户协议价单独配置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第六部分  技术架构与安全保障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6.1 系统技术架构</w:t>
      </w:r>
    </w:p>
    <w:p>
      <w:pPr>
        <w:jc w:val="left"/>
      </w:pPr>
      <w:r>
        <w:rPr>
          <w:rFonts w:ascii="SimSun" w:hAnsi="SimSun" w:eastAsia="SimSun"/>
          <w:b/>
          <w:sz w:val="22"/>
        </w:rPr>
        <w:t>【架构设计】微服务架构 + 云原生部署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前端层：Vue3 + Element Plus，支持Web端、小程序端、司机APP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网关层：Spring Cloud Gateway，统一接入、鉴权、限流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服务层：Spring Cloud微服务，订单、运力、结算等独立服务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数据层：MySQL 8.0主从架构 + Redis缓存 + MongoDB日志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中间件：RabbitMQ消息队列 + ElasticSearch搜索引擎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基础设施：Docker容器化 + Kubernetes编排部署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6.2 安全保障体系</w:t>
      </w:r>
    </w:p>
    <w:p>
      <w:pPr>
        <w:jc w:val="left"/>
      </w:pPr>
      <w:r>
        <w:rPr>
          <w:rFonts w:ascii="SimSun" w:hAnsi="SimSun" w:eastAsia="SimSun"/>
          <w:b/>
          <w:sz w:val="22"/>
        </w:rPr>
        <w:t>【等保三级合规】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数据加密：传输层TLS 1.3加密，敏感数据AES-256加密存储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访问控制：RBAC权限模型，支持数据权限和功能权限分离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审计日志：完整操作日志，支持行为追溯和合规审计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备份恢复：每日全量备份 + 实时增量备份，RPO&lt;5分钟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容灾设计：同城双活 + 异地备份，RTO&lt;30分钟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【危险品数据安全】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MSDS资料加密存储，仅限授权人员查看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运输轨迹数据保留3年，满足监管要求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敏感操作（价格修改、分账比例调整）需二次确认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第七部分  实施计划与服务保障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7.1 项目实施路线图</w:t>
      </w:r>
    </w:p>
    <w:p>
      <w:pPr>
        <w:jc w:val="left"/>
      </w:pPr>
      <w:r>
        <w:rPr>
          <w:rFonts w:ascii="SimSun" w:hAnsi="SimSun" w:eastAsia="SimSun"/>
          <w:b/>
          <w:sz w:val="22"/>
        </w:rPr>
        <w:t>【总体周期】4个月完成标准功能上线</w:t>
      </w:r>
    </w:p>
    <w:p>
      <w:pPr>
        <w:jc w:val="left"/>
      </w:pPr>
      <w:r>
        <w:rPr>
          <w:rFonts w:ascii="SimSun" w:hAnsi="SimSun" w:eastAsia="SimSun"/>
          <w:b/>
          <w:sz w:val="22"/>
        </w:rPr>
        <w:t>【第1月：需求确认与系统设计】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Week 1-2：业务需求调研，确认流程细节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Week 3-4：系统详细设计，接口定义，原型确认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【第2月：核心功能开发】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Week 1-2：订单、运力、运输模块开发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Week 3-4：结算、钱包、分账功能开发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【第3月：危险品专项与集成】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Week 1-2：9类危险品管理、禁配规则开发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Week 3-4：监管对接、GPS集成、支付集成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【第4月：测试上线与培训】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Week 1-2：系统测试、压力测试、安全测试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 xml:space="preserve">  Week 3-4：试点上线、用户培训、正式上线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7.2 交付物清单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TMS系统软件（源代码可选）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系统部署文档与运维手册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用户操作手册（平台方/网点/司机三版）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管理员培训与操作人员培训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1年免费技术支持与维护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7.3 售后服务保障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【7×24小时响应】系统故障30分钟内响应，2小时内给出解决方案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【专属客服经理】一对一服务，定期回访，主动巡检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【免费升级服务】系统功能优化升级，永久免费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【数据安全承诺】数据备份与恢复支持，数据泄露全额赔付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第八部分  商务方案与投资回报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8.1 合作模式建议</w:t>
      </w:r>
    </w:p>
    <w:p>
      <w:pPr>
        <w:jc w:val="left"/>
      </w:pPr>
      <w:r>
        <w:rPr>
          <w:rFonts w:ascii="SimSun" w:hAnsi="SimSun" w:eastAsia="SimSun"/>
          <w:b/>
          <w:sz w:val="22"/>
        </w:rPr>
        <w:t>【推荐】SaaS托管模式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八米提供系统部署、运维、升级，密尔克卫按年付费，降低IT投入成本。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【可选】源码交付模式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一次性购买源码，密尔克卫自主部署运维，适合长期战略布局。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8.2 商务报价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收费项目</w:t>
            </w:r>
          </w:p>
        </w:tc>
        <w:tc>
          <w:tcPr>
            <w:tcW w:type="dxa" w:w="2880"/>
          </w:tcPr>
          <w:p>
            <w:r>
              <w:t>SaaS模式</w:t>
            </w:r>
          </w:p>
        </w:tc>
        <w:tc>
          <w:tcPr>
            <w:tcW w:type="dxa" w:w="2880"/>
          </w:tcPr>
          <w:p>
            <w:r>
              <w:t>源码模式</w:t>
            </w:r>
          </w:p>
        </w:tc>
      </w:tr>
      <w:tr>
        <w:tc>
          <w:tcPr>
            <w:tcW w:type="dxa" w:w="2880"/>
          </w:tcPr>
          <w:p>
            <w:r>
              <w:t>系统实施费</w:t>
            </w:r>
          </w:p>
        </w:tc>
        <w:tc>
          <w:tcPr>
            <w:tcW w:type="dxa" w:w="2880"/>
          </w:tcPr>
          <w:p>
            <w:r>
              <w:t>8万元（一次性）</w:t>
            </w:r>
          </w:p>
        </w:tc>
        <w:tc>
          <w:tcPr>
            <w:tcW w:type="dxa" w:w="2880"/>
          </w:tcPr>
          <w:p>
            <w:r>
              <w:t>30万元（一次性）</w:t>
            </w:r>
          </w:p>
        </w:tc>
      </w:tr>
      <w:tr>
        <w:tc>
          <w:tcPr>
            <w:tcW w:type="dxa" w:w="2880"/>
          </w:tcPr>
          <w:p>
            <w:r>
              <w:t>平台使用费</w:t>
            </w:r>
          </w:p>
        </w:tc>
        <w:tc>
          <w:tcPr>
            <w:tcW w:type="dxa" w:w="2880"/>
          </w:tcPr>
          <w:p>
            <w:r>
              <w:t>2万元/年</w:t>
            </w:r>
          </w:p>
        </w:tc>
        <w:tc>
          <w:tcPr>
            <w:tcW w:type="dxa" w:w="2880"/>
          </w:tcPr>
          <w:p>
            <w:r>
              <w:t>免</w:t>
            </w:r>
          </w:p>
        </w:tc>
      </w:tr>
      <w:tr>
        <w:tc>
          <w:tcPr>
            <w:tcW w:type="dxa" w:w="2880"/>
          </w:tcPr>
          <w:p>
            <w:r>
              <w:t>加盟网点费</w:t>
            </w:r>
          </w:p>
        </w:tc>
        <w:tc>
          <w:tcPr>
            <w:tcW w:type="dxa" w:w="2880"/>
          </w:tcPr>
          <w:p>
            <w:r>
              <w:t>300元/网点/年</w:t>
            </w:r>
          </w:p>
        </w:tc>
        <w:tc>
          <w:tcPr>
            <w:tcW w:type="dxa" w:w="2880"/>
          </w:tcPr>
          <w:p>
            <w:r>
              <w:t>免</w:t>
            </w:r>
          </w:p>
        </w:tc>
      </w:tr>
      <w:tr>
        <w:tc>
          <w:tcPr>
            <w:tcW w:type="dxa" w:w="2880"/>
          </w:tcPr>
          <w:p>
            <w:r>
              <w:t>司机账号费</w:t>
            </w:r>
          </w:p>
        </w:tc>
        <w:tc>
          <w:tcPr>
            <w:tcW w:type="dxa" w:w="2880"/>
          </w:tcPr>
          <w:p>
            <w:r>
              <w:t>50元/司机/年</w:t>
            </w:r>
          </w:p>
        </w:tc>
        <w:tc>
          <w:tcPr>
            <w:tcW w:type="dxa" w:w="2880"/>
          </w:tcPr>
          <w:p>
            <w:r>
              <w:t>免</w:t>
            </w:r>
          </w:p>
        </w:tc>
      </w:tr>
      <w:tr>
        <w:tc>
          <w:tcPr>
            <w:tcW w:type="dxa" w:w="2880"/>
          </w:tcPr>
          <w:p>
            <w:r>
              <w:t>技术支持费</w:t>
            </w:r>
          </w:p>
        </w:tc>
        <w:tc>
          <w:tcPr>
            <w:tcW w:type="dxa" w:w="2880"/>
          </w:tcPr>
          <w:p>
            <w:r>
              <w:t>含在年费中</w:t>
            </w:r>
          </w:p>
        </w:tc>
        <w:tc>
          <w:tcPr>
            <w:tcW w:type="dxa" w:w="2880"/>
          </w:tcPr>
          <w:p>
            <w:r>
              <w:t>5万元/年（可选）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left"/>
      </w:pPr>
      <w:r>
        <w:rPr>
          <w:rFonts w:ascii="SimSun" w:hAnsi="SimSun" w:eastAsia="SimSun"/>
          <w:b/>
          <w:sz w:val="22"/>
        </w:rPr>
        <w:t>【示例】假设发展100个加盟网点，500名司机：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SaaS模式首年：8万 + 2万 + (100×300) + (500×50) = 16万元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SaaS模式次年：2万 + 3万 + 2.5万 = 7.5万元/年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源码模式首年：30万元（永久）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源码模式次年：5万元（可选技术支持）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8.3 投资回报分析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效率提升：自动化分账减少90%财务人工，年节省人力成本约20万元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风险降低：智能禁配减少安全事故，避免潜在损失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规模扩张：系统支撑快速加盟扩张，缩短单网点盈利周期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数据资产：积累运营数据，支持未来业务决策和融资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color w:val="0066CC"/>
          <w:sz w:val="32"/>
        </w:rPr>
        <w:t>第九部分  八米科技实力见证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9.1 公司资质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国家高新技术企业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广州市专精特新企业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ISO9001质量管理体系认证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ISO27001信息安全管理体系认证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信息系统安全等级保护三级认证（等保三级）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32项软件著作权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• 5项发明专利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9.2 核心团队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【技术团队】120+人，平均从业经验8年，掌握供应链物流核心技术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【产品团队】20+人，深谙物流业务场景，产品体验行业领先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【实施团队】30+人，1000+项目交付经验，交付成功率99%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【运维团队】15+人，7×24小时值守，保障系统稳定运行</w:t>
      </w:r>
    </w:p>
    <w:p>
      <w:pPr>
        <w:pStyle w:val="Heading3"/>
      </w:pPr>
      <w:r>
        <w:rPr>
          <w:rFonts w:ascii="SimHei" w:hAnsi="SimHei" w:eastAsia="SimHei"/>
          <w:b/>
          <w:sz w:val="26"/>
        </w:rPr>
        <w:t>9.3 联系我们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公司全称：广州八米网络科技有限公司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公司简称：八米科技（BAMi）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官方网站：www.bamitms.com | www.8bami.com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公司地址：广州市天河区（具体地址可补充）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服务热线：400-XXX-XXXX（可补充）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---</w:t>
      </w:r>
    </w:p>
    <w:p>
      <w:pPr>
        <w:jc w:val="center"/>
      </w:pPr>
      <w:r>
        <w:rPr>
          <w:rFonts w:ascii="SimSun" w:hAnsi="SimSun" w:eastAsia="SimSun"/>
          <w:b/>
          <w:sz w:val="28"/>
        </w:rPr>
        <w:t>感谢密尔克卫的信任与支持！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八米科技期待与您携手，共同打造危险品物流数字化标杆！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