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E4A5A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NoMo 用户服务协议</w:t>
      </w:r>
    </w:p>
    <w:p w14:paraId="3E84A437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服务内容：</w:t>
      </w:r>
      <w:r>
        <w:rPr>
          <w:rFonts w:hint="eastAsia" w:ascii="宋体" w:hAnsi="宋体" w:eastAsia="宋体" w:cs="宋体"/>
          <w:sz w:val="24"/>
          <w:szCs w:val="24"/>
        </w:rPr>
        <w:t xml:space="preserve"> NoMo 提供基于视觉/听觉补偿的辅助工具。本产品不可替代任何医疗建议或药品。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2. 订阅规则：</w:t>
      </w:r>
      <w:r>
        <w:rPr>
          <w:rFonts w:hint="eastAsia" w:ascii="宋体" w:hAnsi="宋体" w:eastAsia="宋体" w:cs="宋体"/>
          <w:sz w:val="24"/>
          <w:szCs w:val="24"/>
        </w:rPr>
        <w:t xml:space="preserve"> 用户通过订阅获得高级功能。订阅按周期自动续费，用户可随时在 Apple ID 设置中关闭。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3. 免责声明：</w:t>
      </w:r>
      <w:r>
        <w:rPr>
          <w:rFonts w:hint="eastAsia" w:ascii="宋体" w:hAnsi="宋体" w:eastAsia="宋体" w:cs="宋体"/>
          <w:sz w:val="24"/>
          <w:szCs w:val="24"/>
        </w:rPr>
        <w:t xml:space="preserve"> 晕车缓解效果因人而异。因驾驶或乘坐环境复杂，本应用不对任何因晕车导致的意外伤害承担法律责任。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4. 知识产权：</w:t>
      </w:r>
      <w:r>
        <w:rPr>
          <w:rFonts w:hint="eastAsia" w:ascii="宋体" w:hAnsi="宋体" w:eastAsia="宋体" w:cs="宋体"/>
          <w:sz w:val="24"/>
          <w:szCs w:val="24"/>
        </w:rPr>
        <w:t xml:space="preserve"> NoMo 应用及其算法、界面设计均受版权法保护。</w:t>
      </w:r>
    </w:p>
    <w:p w14:paraId="62E9C5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F1F0E"/>
    <w:rsid w:val="79BF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2026-02-16T11:33:00Z</dcterms:created>
  <dc:creator>Zhuanz</dc:creator>
  <cp:lastModifiedBy>Zhuanz</cp:lastModifiedBy>
  <dcterms:modified xsi:type="dcterms:W3CDTF">2026-02-16T11:34:06Z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0CF04C4C882465B40890926903A07CDE_41</vt:lpwstr>
  </property>
</Properties>
</file>