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after="80"/>
        <w:jc w:val="center"/>
      </w:pPr>
      <w:r>
        <w:rPr>
          <w:rFonts w:ascii="Arial" w:cs="Arial" w:eastAsia="Arial" w:hAnsi="Arial"/>
          <w:b/>
          <w:bCs/>
          <w:color w:val="1B3A5C"/>
          <w:sz w:val="56"/>
          <w:szCs w:val="56"/>
        </w:rPr>
        <w:t xml:space="preserve">Knowledge Core</w:t>
      </w:r>
    </w:p>
    <w:p>
      <w:pPr>
        <w:spacing w:after="200"/>
        <w:jc w:val="center"/>
      </w:pPr>
      <w:r>
        <w:rPr>
          <w:rFonts w:ascii="Arial" w:cs="Arial" w:eastAsia="Arial" w:hAnsi="Arial"/>
          <w:color w:val="2E75B6"/>
          <w:sz w:val="36"/>
          <w:szCs w:val="36"/>
        </w:rPr>
        <w:t xml:space="preserve">기획서</w:t>
      </w:r>
    </w:p>
    <w:p>
      <w:pPr>
        <w:pBdr>
          <w:top w:val="single" w:color="2E75B6" w:sz="2" w:space="8"/>
        </w:pBdr>
        <w:spacing w:before="200" w:after="400"/>
        <w:jc w:val="center"/>
      </w:pPr>
      <w:r>
        <w:rPr>
          <w:rFonts w:ascii="Arial" w:cs="Arial" w:eastAsia="Arial" w:hAnsi="Arial"/>
          <w:color w:val="666666"/>
          <w:sz w:val="24"/>
          <w:szCs w:val="24"/>
        </w:rPr>
        <w:t xml:space="preserve">AI 기반 보험 지식 아키텍처 구축 계획</w:t>
      </w:r>
    </w:p>
    <w:p>
      <w:pPr>
        <w:spacing w:before="0" w:after="0"/>
      </w:pPr>
    </w:p>
    <w:p>
      <w:pPr>
        <w:spacing w:before="0" w:after="0"/>
      </w:pPr>
    </w:p>
    <w:p>
      <w:pPr>
        <w:spacing w:before="0" w:after="0"/>
      </w:pPr>
    </w:p>
    <w:p>
      <w:pPr>
        <w:spacing w:before="0" w:after="0"/>
      </w:pPr>
    </w:p>
    <w:p>
      <w:pPr>
        <w:spacing w:after="80"/>
        <w:jc w:val="center"/>
      </w:pPr>
      <w:r>
        <w:rPr>
          <w:rFonts w:ascii="Arial" w:cs="Arial" w:eastAsia="Arial" w:hAnsi="Arial"/>
          <w:color w:val="666666"/>
          <w:sz w:val="22"/>
          <w:szCs w:val="22"/>
        </w:rPr>
        <w:t xml:space="preserve">아이지넷 플랫폼사업본부</w:t>
      </w:r>
    </w:p>
    <w:p>
      <w:pPr>
        <w:spacing w:after="80"/>
        <w:jc w:val="center"/>
      </w:pPr>
      <w:r>
        <w:rPr>
          <w:rFonts w:ascii="Arial" w:cs="Arial" w:eastAsia="Arial" w:hAnsi="Arial"/>
          <w:color w:val="666666"/>
          <w:sz w:val="20"/>
          <w:szCs w:val="20"/>
        </w:rPr>
        <w:t xml:space="preserve">v1.0 | 2026.03</w:t>
      </w:r>
    </w:p>
    <w:p>
      <w:pPr>
        <w:jc w:val="center"/>
      </w:pPr>
      <w:r>
        <w:rPr>
          <w:rFonts w:ascii="Arial" w:cs="Arial" w:eastAsia="Arial" w:hAnsi="Arial"/>
          <w:color w:val="666666"/>
          <w:sz w:val="20"/>
          <w:szCs w:val="20"/>
        </w:rPr>
        <w:t xml:space="preserve">문서 등급: Internal</w:t>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1. 기획 배경 및 비전</w:t>
      </w:r>
    </w:p>
    <w:p>
      <w:pPr>
        <w:spacing w:before="0" w:after="0"/>
      </w:pPr>
    </w:p>
    <w:p>
      <w:pPr>
        <w:pStyle w:val="Heading2"/>
        <w:spacing w:before="300" w:after="160"/>
      </w:pPr>
      <w:r>
        <w:rPr>
          <w:rFonts w:ascii="Arial" w:cs="Arial" w:eastAsia="Arial" w:hAnsi="Arial"/>
          <w:b/>
          <w:bCs/>
          <w:color w:val="1B3A5C"/>
          <w:sz w:val="26"/>
          <w:szCs w:val="26"/>
        </w:rPr>
        <w:t xml:space="preserve">1-1. 문제 정의: 왜 지금 Knowledge Core가 필요한가</w:t>
      </w:r>
    </w:p>
    <w:p>
      <w:pPr>
        <w:spacing w:before="0" w:after="0"/>
      </w:pPr>
    </w:p>
    <w:p>
      <w:pPr>
        <w:spacing w:before="60" w:after="100" w:line="360"/>
      </w:pPr>
      <w:r>
        <w:rPr>
          <w:rFonts w:ascii="Arial" w:cs="Arial" w:eastAsia="Arial" w:hAnsi="Arial"/>
          <w:color w:val="1A1A1A"/>
          <w:sz w:val="21"/>
          <w:szCs w:val="21"/>
        </w:rPr>
        <w:t xml:space="preserve">본 문서에서 반복적으로 사용되는 </w:t>
      </w:r>
      <w:r>
        <w:rPr>
          <w:rFonts w:ascii="Arial" w:cs="Arial" w:eastAsia="Arial" w:hAnsi="Arial"/>
          <w:b/>
          <w:bCs/>
          <w:color w:val="1A1A1A"/>
          <w:sz w:val="21"/>
          <w:szCs w:val="21"/>
        </w:rPr>
        <w:t xml:space="preserve">AIO(AI Optimization)</w:t>
      </w:r>
      <w:r>
        <w:rPr>
          <w:rFonts w:ascii="Arial" w:cs="Arial" w:eastAsia="Arial" w:hAnsi="Arial"/>
          <w:color w:val="1A1A1A"/>
          <w:sz w:val="21"/>
          <w:szCs w:val="21"/>
        </w:rPr>
        <w:t xml:space="preserve">는 검색엔진 최적화(SEO)의 AI 시대 확장 개념이다. 사용자가 생성형 AI에게 질문했을 때, AI가 특정 지식 소스를 참조·인용하여 답변을 생성하도록, 해당 지식 소스의 권위와 구조를 사전에 확보하는 전략을 말한다. 즉, AIO를 선점한다는 것은 "생성형 AI가 우리의 지식을 인용하게 만드는 것"을 의미한다.</w:t>
      </w:r>
    </w:p>
    <w:p>
      <w:pPr>
        <w:spacing w:before="0" w:after="0"/>
      </w:pPr>
    </w:p>
    <w:p>
      <w:pPr>
        <w:pStyle w:val="Heading3"/>
        <w:spacing w:before="240" w:after="120"/>
      </w:pPr>
      <w:r>
        <w:rPr>
          <w:rFonts w:ascii="Arial" w:cs="Arial" w:eastAsia="Arial" w:hAnsi="Arial"/>
          <w:b/>
          <w:bCs/>
          <w:color w:val="2E75B6"/>
          <w:sz w:val="22"/>
          <w:szCs w:val="22"/>
        </w:rPr>
        <w:t xml:space="preserve">① 외부 위협: 생성형 AI에 의한 리드 파이프라인 잠식</w:t>
      </w:r>
    </w:p>
    <w:p>
      <w:pPr>
        <w:spacing w:before="60" w:after="100" w:line="360"/>
      </w:pPr>
      <w:r>
        <w:rPr>
          <w:rFonts w:ascii="Arial" w:cs="Arial" w:eastAsia="Arial" w:hAnsi="Arial"/>
          <w:color w:val="1A1A1A"/>
          <w:sz w:val="21"/>
          <w:szCs w:val="21"/>
        </w:rPr>
        <w:t xml:space="preserve">bodoc의 현재 수익 모델은 명확한 순차적 흐름에 기반한다. 사용자가 보험 정보를 탐색하기 위해 bodoc 앱에 유입하고, Clark의 AI 진단을 통해 보장 공백을 인식한 뒤, 보닥플래너와 연결되어 리드가 생성된다. </w:t>
      </w:r>
      <w:r>
        <w:rPr>
          <w:rFonts w:ascii="Arial" w:cs="Arial" w:eastAsia="Arial" w:hAnsi="Arial"/>
          <w:b/>
          <w:bCs/>
          <w:color w:val="1A1A1A"/>
          <w:sz w:val="21"/>
          <w:szCs w:val="21"/>
        </w:rPr>
        <w:t xml:space="preserve">즉, "보험 정보 탐색 수요"가 이 파이프라인의 출발점이다.</w:t>
      </w:r>
    </w:p>
    <w:p>
      <w:pPr>
        <w:spacing w:before="60" w:after="100" w:line="360"/>
      </w:pPr>
      <w:r>
        <w:rPr>
          <w:rFonts w:ascii="Arial" w:cs="Arial" w:eastAsia="Arial" w:hAnsi="Arial"/>
          <w:color w:val="1A1A1A"/>
          <w:sz w:val="21"/>
          <w:szCs w:val="21"/>
        </w:rPr>
        <w:t xml:space="preserve">그러나 ChatGPT, Gemini 등 범용 생성형 AI가 이 출발점을 잠식하기 시작했다. 사용자들은 이제 "암 보험 어떻게 고르지?", "내 보험료가 적정한가?"와 같은 질문을 bodoc 앱이 아닌 ChatGPT에 먼저 물어볼 수 있다. 이 추세가 가속화되면, bodoc 앱으로의 유입 자체가 감소하고, 리드 파이프라인의 입구가 구조적으로 좁아지게 된다.</w:t>
      </w:r>
    </w:p>
    <w:p>
      <w:pPr>
        <w:spacing w:before="60" w:after="100" w:line="360"/>
      </w:pPr>
      <w:r>
        <w:rPr>
          <w:rFonts w:ascii="Arial" w:cs="Arial" w:eastAsia="Arial" w:hAnsi="Arial"/>
          <w:color w:val="1A1A1A"/>
          <w:sz w:val="21"/>
          <w:szCs w:val="21"/>
        </w:rPr>
        <w:t xml:space="preserve">이것이 Knowledge Core가 해결해야 할 첫 번째 문제이다. </w:t>
      </w:r>
      <w:r>
        <w:rPr>
          <w:rFonts w:ascii="Arial" w:cs="Arial" w:eastAsia="Arial" w:hAnsi="Arial"/>
          <w:color w:val="1A1A1A"/>
          <w:sz w:val="21"/>
          <w:szCs w:val="21"/>
        </w:rPr>
        <w:t xml:space="preserve">AIO를 통해 bodoc이 보험 도메인의 권위 있는 지식 소스로 선점되면, 생성형 AI가 bodoc의 지식을 참조·인용하게 되고, 이는 리드 파이프라인의 새로운 입구가 된다.</w:t>
      </w:r>
      <w:r>
        <w:rPr>
          <w:rFonts w:ascii="Arial" w:cs="Arial" w:eastAsia="Arial" w:hAnsi="Arial"/>
          <w:color w:val="1A1A1A"/>
          <w:sz w:val="21"/>
          <w:szCs w:val="21"/>
        </w:rPr>
        <w:t xml:space="preserve"> 그러나 AIO 선점을 위해서는 AI가 참조할 수 있는 체계적인 지식 구조가 선행되어야 한다.</w:t>
      </w:r>
    </w:p>
    <w:p>
      <w:pPr>
        <w:spacing w:before="0" w:after="0"/>
      </w:pPr>
    </w:p>
    <w:p>
      <w:pPr>
        <w:pStyle w:val="Heading3"/>
        <w:spacing w:before="240" w:after="120"/>
      </w:pPr>
      <w:r>
        <w:rPr>
          <w:rFonts w:ascii="Arial" w:cs="Arial" w:eastAsia="Arial" w:hAnsi="Arial"/>
          <w:b/>
          <w:bCs/>
          <w:color w:val="2E75B6"/>
          <w:sz w:val="22"/>
          <w:szCs w:val="22"/>
        </w:rPr>
        <w:t xml:space="preserve">② 내부 대응 과제: 규제산업에서의 AI 출력 품질 문제</w:t>
      </w:r>
    </w:p>
    <w:p>
      <w:pPr>
        <w:spacing w:before="60" w:after="100" w:line="360"/>
      </w:pPr>
      <w:r>
        <w:rPr>
          <w:rFonts w:ascii="Arial" w:cs="Arial" w:eastAsia="Arial" w:hAnsi="Arial"/>
          <w:color w:val="1A1A1A"/>
          <w:sz w:val="21"/>
          <w:szCs w:val="21"/>
        </w:rPr>
        <w:t xml:space="preserve">외부 위협에 대응하여 생성형 AI를 우리가 직접 활용하더라도, 보험산업은 금융소비자보호법과 보험업법의 규제를 받는 산업이다. </w:t>
      </w:r>
      <w:r>
        <w:rPr>
          <w:rFonts w:ascii="Arial" w:cs="Arial" w:eastAsia="Arial" w:hAnsi="Arial"/>
          <w:color w:val="1A1A1A"/>
          <w:sz w:val="21"/>
          <w:szCs w:val="21"/>
        </w:rPr>
        <w:t xml:space="preserve">Clark AI가 부정확한 보험 정보를 출력하면 법적 리스크가 발생하고, 사용자 신뢰를 잃게 된다.</w:t>
      </w:r>
      <w:r>
        <w:rPr>
          <w:rFonts w:ascii="Arial" w:cs="Arial" w:eastAsia="Arial" w:hAnsi="Arial"/>
          <w:color w:val="1A1A1A"/>
          <w:sz w:val="21"/>
          <w:szCs w:val="21"/>
        </w:rPr>
        <w:t xml:space="preserve"> 이는 단순한 기술적 오류가 아니라, 사업 신뢰도 자체를 훼손하는 문제이다.</w:t>
      </w:r>
    </w:p>
    <w:p>
      <w:pPr>
        <w:spacing w:before="60" w:after="100" w:line="360"/>
      </w:pPr>
      <w:r>
        <w:rPr>
          <w:rFonts w:ascii="Arial" w:cs="Arial" w:eastAsia="Arial" w:hAnsi="Arial"/>
          <w:color w:val="1A1A1A"/>
          <w:sz w:val="21"/>
          <w:szCs w:val="21"/>
        </w:rPr>
        <w:t xml:space="preserve">이 문제의 근본 원인은 기존 RAG(Retrieval-Augmented Generation, 검색 증강 생성) 방식의 청킹 구조에 있다. </w:t>
      </w:r>
      <w:r>
        <w:rPr>
          <w:rFonts w:ascii="Arial" w:cs="Arial" w:eastAsia="Arial" w:hAnsi="Arial"/>
          <w:color w:val="1A1A1A"/>
          <w:sz w:val="21"/>
          <w:szCs w:val="21"/>
        </w:rPr>
        <w:t xml:space="preserve">청킹(Chunking)이란 AI가 참조할 문서를 일정 단위로 분할하는 과정인데, 기존 방식은 문서를 글자 수나 단락 단위로 기계적으로 자르기 때문에 의미 경계가 모호해진다. </w:t>
      </w:r>
      <w:r>
        <w:rPr>
          <w:rFonts w:ascii="Arial" w:cs="Arial" w:eastAsia="Arial" w:hAnsi="Arial"/>
          <w:color w:val="1A1A1A"/>
          <w:sz w:val="21"/>
          <w:szCs w:val="21"/>
        </w:rPr>
        <w:t xml:space="preserve">예를 들어, "암 진단금"이라는 하나의 개념이 여러 청크에 분산되면, Clark AI는 불완전한 정보를 조합하여 답변을 생성하게 되고, 이것이 할루시네이션(사실과 다른 정보 생성)으로 이어진다.</w:t>
      </w:r>
    </w:p>
    <w:p>
      <w:pPr>
        <w:spacing w:before="60" w:after="100" w:line="360"/>
      </w:pPr>
      <w:r>
        <w:rPr>
          <w:rFonts w:ascii="Arial" w:cs="Arial" w:eastAsia="Arial" w:hAnsi="Arial"/>
          <w:color w:val="1A1A1A"/>
          <w:sz w:val="21"/>
          <w:szCs w:val="21"/>
        </w:rPr>
        <w:t xml:space="preserve">따라서 생성형 AI를 보험산업에 안전하게 적용하려면, AI가 참조하는 지식의 의미 경계를 사전에 통제할 수 있는 지식 구조가 필요하다. 이것이 두 번째 문제이다.</w:t>
      </w:r>
    </w:p>
    <w:p>
      <w:pPr>
        <w:spacing w:before="0" w:after="0"/>
      </w:pPr>
    </w:p>
    <w:p>
      <w:pPr>
        <w:pStyle w:val="Heading3"/>
        <w:spacing w:before="240" w:after="120"/>
      </w:pPr>
      <w:r>
        <w:rPr>
          <w:rFonts w:ascii="Arial" w:cs="Arial" w:eastAsia="Arial" w:hAnsi="Arial"/>
          <w:b/>
          <w:bCs/>
          <w:color w:val="2E75B6"/>
          <w:sz w:val="22"/>
          <w:szCs w:val="22"/>
        </w:rPr>
        <w:t xml:space="preserve">③ 전제조건 부재: 도메인 지식의 비체계성</w:t>
      </w:r>
    </w:p>
    <w:p>
      <w:pPr>
        <w:spacing w:before="60" w:after="100" w:line="360"/>
      </w:pPr>
      <w:r>
        <w:rPr>
          <w:rFonts w:ascii="Arial" w:cs="Arial" w:eastAsia="Arial" w:hAnsi="Arial"/>
          <w:color w:val="1A1A1A"/>
          <w:sz w:val="21"/>
          <w:szCs w:val="21"/>
        </w:rPr>
        <w:t xml:space="preserve">①의 AIO 선점과 ②의 AI 출력 품질 통제, 이 두 과제를 해결하려면 공통적으로 하나의 전제조건이 필요하다: </w:t>
      </w:r>
      <w:r>
        <w:rPr>
          <w:rFonts w:ascii="Arial" w:cs="Arial" w:eastAsia="Arial" w:hAnsi="Arial"/>
          <w:b/>
          <w:bCs/>
          <w:color w:val="1A1A1A"/>
          <w:sz w:val="21"/>
          <w:szCs w:val="21"/>
        </w:rPr>
        <w:t xml:space="preserve">체계화된 보험 도메인 지식 구조.</w:t>
      </w:r>
    </w:p>
    <w:p>
      <w:pPr>
        <w:spacing w:before="60" w:after="100" w:line="360"/>
      </w:pPr>
      <w:r>
        <w:rPr>
          <w:rFonts w:ascii="Arial" w:cs="Arial" w:eastAsia="Arial" w:hAnsi="Arial"/>
          <w:color w:val="1A1A1A"/>
          <w:sz w:val="21"/>
          <w:szCs w:val="21"/>
        </w:rPr>
        <w:t xml:space="preserve">현재 bodoc의 보험 도메인 지식은 담당자 개인의 경험과 문서에 흩어져 있다. 이 상태로는 AIO용 콘텐츠로 활용할 수도 없고, Clark AI의 RAG 지식 베이스로 투입할 수도 없으며, 신규 입사자 교육에도 활용할 수 없다.</w:t>
      </w:r>
    </w:p>
    <w:p>
      <w:pPr>
        <w:spacing w:before="60" w:after="100" w:line="360"/>
      </w:pPr>
      <w:r>
        <w:rPr>
          <w:rFonts w:ascii="Arial" w:cs="Arial" w:eastAsia="Arial" w:hAnsi="Arial"/>
          <w:color w:val="1A1A1A"/>
          <w:sz w:val="21"/>
          <w:szCs w:val="21"/>
        </w:rPr>
        <w:t xml:space="preserve">정리하면, 문제의 구조는 다음과 같다: </w:t>
      </w:r>
      <w:r>
        <w:rPr>
          <w:rFonts w:ascii="Arial" w:cs="Arial" w:eastAsia="Arial" w:hAnsi="Arial"/>
          <w:color w:val="1A1A1A"/>
          <w:sz w:val="21"/>
          <w:szCs w:val="21"/>
        </w:rPr>
        <w:t xml:space="preserve">외부 위협(①)에 대응하려면 AI를 활용해야 하지만, AI 활용에는 품질 통제 문제(②)가 있고, 이 모든 것의 전제조건인 체계적 지식 구조(③)가 부재한 상황이다. </w:t>
      </w:r>
      <w:r>
        <w:rPr>
          <w:rFonts w:ascii="Arial" w:cs="Arial" w:eastAsia="Arial" w:hAnsi="Arial"/>
          <w:color w:val="1A1A1A"/>
          <w:sz w:val="21"/>
          <w:szCs w:val="21"/>
        </w:rPr>
        <w:t xml:space="preserve">Knowledge Core는 이 세 문제를 하나의 카드 체계로 동시에 해결하기 위한 프로젝트이다. 구체적인 해결 방법은 1-2절에서 설명한다.</w:t>
      </w:r>
    </w:p>
    <w:p>
      <w:pPr>
        <w:spacing w:before="0" w:after="0"/>
      </w:pPr>
    </w:p>
    <w:p>
      <w:pPr>
        <w:spacing w:before="60" w:after="100" w:line="360"/>
      </w:pPr>
      <w:r>
        <w:rPr>
          <w:rFonts w:ascii="Arial" w:cs="Arial" w:eastAsia="Arial" w:hAnsi="Arial"/>
          <w:b/>
          <w:bCs/>
          <w:color w:val="1B3A5C"/>
          <w:sz w:val="21"/>
          <w:szCs w:val="21"/>
        </w:rPr>
        <w:t xml:space="preserve">▶ 문제 정의 요약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26"/>
      </w:tblGrid>
      <w:tr>
        <w:tc>
          <w:tcPr>
            <w:tcW w:type="dxa" w:w="12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구분</w:t>
            </w:r>
          </w:p>
        </w:tc>
        <w:tc>
          <w:tcPr>
            <w:tcW w:type="dxa" w:w="22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문제 영역</w:t>
            </w:r>
          </w:p>
        </w:tc>
        <w:tc>
          <w:tcPr>
            <w:tcW w:type="dxa" w:w="5626"/>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핵심 내용</w:t>
            </w:r>
          </w:p>
        </w:tc>
      </w:tr>
      <w:tr>
        <w:tc>
          <w:tcPr>
            <w:tcW w:type="dxa" w:w="12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① 외부 위협</w:t>
            </w:r>
          </w:p>
        </w:tc>
        <w:tc>
          <w:tcPr>
            <w:tcW w:type="dxa" w:w="22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리드 파이프라인 잠식</w:t>
            </w:r>
          </w:p>
        </w:tc>
        <w:tc>
          <w:tcPr>
            <w:tcW w:type="dxa" w:w="5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범용 생성형 AI가 보험 정보 탐색 채널을 대체하면서, bodoc 앱으로의 유입 자체가 감소하고 리드 파이프라인의 입구가 구조적으로 좁아지는 위협.</w:t>
            </w:r>
          </w:p>
        </w:tc>
      </w:tr>
      <w:tr>
        <w:tc>
          <w:tcPr>
            <w:tcW w:type="dxa" w:w="12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② 내부 과제</w:t>
            </w:r>
          </w:p>
        </w:tc>
        <w:tc>
          <w:tcPr>
            <w:tcW w:type="dxa" w:w="22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AI 출력 품질 문제</w:t>
            </w:r>
          </w:p>
        </w:tc>
        <w:tc>
          <w:tcPr>
            <w:tcW w:type="dxa" w:w="5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규제산업에서 할루시네이션은 법적 리스크. 기존 RAG 청킹의 의미 경계 모호성이 근본 원인.</w:t>
            </w:r>
          </w:p>
        </w:tc>
      </w:tr>
      <w:tr>
        <w:tc>
          <w:tcPr>
            <w:tcW w:type="dxa" w:w="12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③ 전제조건</w:t>
            </w:r>
          </w:p>
        </w:tc>
        <w:tc>
          <w:tcPr>
            <w:tcW w:type="dxa" w:w="22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지식 구조 부재</w:t>
            </w:r>
          </w:p>
        </w:tc>
        <w:tc>
          <w:tcPr>
            <w:tcW w:type="dxa" w:w="5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도메인 지식이 체계화되지 않으면 AIO 선점(① 대응)도, AI 품질 통제(② 대응)도, 사내 교육도 불가.</w:t>
            </w:r>
          </w:p>
        </w:tc>
      </w:tr>
      <w:tr>
        <w:tc>
          <w:tcPr>
            <w:tcW w:type="dxa" w:w="9026"/>
            <w:gridSpan w:val="3"/>
            <w:tcBorders>
              <w:top w:val="single" w:color="B4C7D9" w:sz="1"/>
              <w:left w:val="single" w:color="B4C7D9" w:sz="1"/>
              <w:bottom w:val="single" w:color="B4C7D9" w:sz="1"/>
              <w:right w:val="single" w:color="B4C7D9" w:sz="1"/>
            </w:tcBorders>
            <w:shd w:fill="F2F6FA"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관계: ① 외부 위협 → ② 대응 시 AI 품질 문제 → ③ 근본 전제조건 부재 → KC로 동시 해결</w:t>
            </w:r>
          </w:p>
        </w:tc>
      </w:tr>
    </w:tbl>
    <w:p>
      <w:pPr>
        <w:spacing w:before="0" w:after="0"/>
      </w:pPr>
    </w:p>
    <w:p>
      <w:pPr>
        <w:pStyle w:val="Heading2"/>
        <w:spacing w:before="300" w:after="160"/>
      </w:pPr>
      <w:r>
        <w:rPr>
          <w:rFonts w:ascii="Arial" w:cs="Arial" w:eastAsia="Arial" w:hAnsi="Arial"/>
          <w:b/>
          <w:bCs/>
          <w:color w:val="1B3A5C"/>
          <w:sz w:val="26"/>
          <w:szCs w:val="26"/>
        </w:rPr>
        <w:t xml:space="preserve">1-2. 해결 방향: Knowledge Core의 접근법</w:t>
      </w:r>
    </w:p>
    <w:p>
      <w:pPr>
        <w:spacing w:before="0" w:after="0"/>
      </w:pPr>
    </w:p>
    <w:p>
      <w:pPr>
        <w:spacing w:before="60" w:after="100" w:line="360"/>
      </w:pPr>
      <w:r>
        <w:rPr>
          <w:rFonts w:ascii="Arial" w:cs="Arial" w:eastAsia="Arial" w:hAnsi="Arial"/>
          <w:color w:val="1A1A1A"/>
          <w:sz w:val="21"/>
          <w:szCs w:val="21"/>
        </w:rPr>
        <w:t xml:space="preserve">Knowledge Core(KC)는 보험 도메인 지식을 </w:t>
      </w:r>
      <w:r>
        <w:rPr>
          <w:rFonts w:ascii="Arial" w:cs="Arial" w:eastAsia="Arial" w:hAnsi="Arial"/>
          <w:b/>
          <w:bCs/>
          <w:color w:val="1A1A1A"/>
          <w:sz w:val="21"/>
          <w:szCs w:val="21"/>
        </w:rPr>
        <w:t xml:space="preserve">6+1종의 카드 체계</w:t>
      </w:r>
      <w:r>
        <w:rPr>
          <w:rFonts w:ascii="Arial" w:cs="Arial" w:eastAsia="Arial" w:hAnsi="Arial"/>
          <w:color w:val="1A1A1A"/>
          <w:sz w:val="21"/>
          <w:szCs w:val="21"/>
        </w:rPr>
        <w:t xml:space="preserve">로 구조화하여, AI의 출력을 통제하고 보험산업에 특화된 지식 아키텍처를 구축하는 프로젝트이다.</w:t>
      </w:r>
    </w:p>
    <w:p>
      <w:pPr>
        <w:spacing w:before="0" w:after="0"/>
      </w:pPr>
    </w:p>
    <w:p>
      <w:pPr>
        <w:pStyle w:val="Heading3"/>
        <w:spacing w:before="240" w:after="120"/>
      </w:pPr>
      <w:r>
        <w:rPr>
          <w:rFonts w:ascii="Arial" w:cs="Arial" w:eastAsia="Arial" w:hAnsi="Arial"/>
          <w:b/>
          <w:bCs/>
          <w:color w:val="2E75B6"/>
          <w:sz w:val="22"/>
          <w:szCs w:val="22"/>
        </w:rPr>
        <w:t xml:space="preserve">핵심 원칙</w:t>
      </w:r>
    </w:p>
    <w:p>
      <w:pPr>
        <w:pStyle w:val="ListParagraph"/>
        <w:numPr>
          <w:ilvl w:val="0"/>
          <w:numId w:val="2"/>
        </w:numPr>
        <w:spacing w:before="40" w:after="40" w:line="340"/>
      </w:pPr>
      <w:r>
        <w:rPr>
          <w:rFonts w:ascii="Arial" w:cs="Arial" w:eastAsia="Arial" w:hAnsi="Arial"/>
          <w:b/>
          <w:bCs/>
          <w:color w:val="1A1A1A"/>
          <w:sz w:val="21"/>
          <w:szCs w:val="21"/>
        </w:rPr>
        <w:t xml:space="preserve">KC 카드 단위 = 청크 단위: </w:t>
      </w:r>
      <w:r>
        <w:rPr>
          <w:rFonts w:ascii="Arial" w:cs="Arial" w:eastAsia="Arial" w:hAnsi="Arial"/>
          <w:color w:val="1A1A1A"/>
          <w:sz w:val="21"/>
          <w:szCs w:val="21"/>
        </w:rPr>
        <w:t xml:space="preserve">기존 RAG의 문제였던 의미 경계 모호성을 원천적으로 해결한다. 예를 들어 "보험료"라는 Definition 카드가 "보장을 유지하기 위해 지불해야 하는 비용"이라고 정의하면, AI는 사용자가 "보험비가 얼마야?"라고 물어도 "월납보험료"로 의미를 정확히 매칭할 수 있다.</w:t>
      </w:r>
    </w:p>
    <w:p>
      <w:pPr>
        <w:pStyle w:val="ListParagraph"/>
        <w:numPr>
          <w:ilvl w:val="0"/>
          <w:numId w:val="2"/>
        </w:numPr>
        <w:spacing w:before="40" w:after="40" w:line="340"/>
      </w:pPr>
      <w:r>
        <w:rPr>
          <w:rFonts w:ascii="Arial" w:cs="Arial" w:eastAsia="Arial" w:hAnsi="Arial"/>
          <w:b/>
          <w:bCs/>
          <w:color w:val="1A1A1A"/>
          <w:sz w:val="21"/>
          <w:szCs w:val="21"/>
        </w:rPr>
        <w:t xml:space="preserve">링크 구조에 의한 출력 통제: </w:t>
      </w:r>
      <w:r>
        <w:rPr>
          <w:rFonts w:ascii="Arial" w:cs="Arial" w:eastAsia="Arial" w:hAnsi="Arial"/>
          <w:color w:val="1A1A1A"/>
          <w:sz w:val="21"/>
          <w:szCs w:val="21"/>
        </w:rPr>
        <w:t xml:space="preserve">카드 간 참조 관계(Definition → Risk Type → Rule → Evidence → Policy)로 LLM이 동일 의미 경계(Meaning Layer) 내에서만 출력을 생성하도록 강제한다.</w:t>
      </w:r>
    </w:p>
    <w:p>
      <w:pPr>
        <w:pStyle w:val="ListParagraph"/>
        <w:numPr>
          <w:ilvl w:val="0"/>
          <w:numId w:val="2"/>
        </w:numPr>
        <w:spacing w:before="40" w:after="40" w:line="340"/>
      </w:pPr>
      <w:r>
        <w:rPr>
          <w:rFonts w:ascii="Arial" w:cs="Arial" w:eastAsia="Arial" w:hAnsi="Arial"/>
          <w:b/>
          <w:bCs/>
          <w:color w:val="1A1A1A"/>
          <w:sz w:val="21"/>
          <w:szCs w:val="21"/>
        </w:rPr>
        <w:t xml:space="preserve">One Source, Triple Use: </w:t>
      </w:r>
      <w:r>
        <w:rPr>
          <w:rFonts w:ascii="Arial" w:cs="Arial" w:eastAsia="Arial" w:hAnsi="Arial"/>
          <w:color w:val="1A1A1A"/>
          <w:sz w:val="21"/>
          <w:szCs w:val="21"/>
        </w:rPr>
        <w:t xml:space="preserve">하나의 KC 카드 체계가 AIO 콘텐츠(외부 권위 확보), Clark AI RAG 지식 베이스(진단 품질 향상), 사내 도메인 교육(신규 입사자 온보딩 등)을 동시에 해결한다.</w:t>
      </w:r>
    </w:p>
    <w:p>
      <w:pPr>
        <w:spacing w:before="0" w:after="0"/>
      </w:pPr>
    </w:p>
    <w:p>
      <w:pPr>
        <w:pStyle w:val="Heading2"/>
        <w:spacing w:before="300" w:after="160"/>
      </w:pPr>
      <w:r>
        <w:rPr>
          <w:rFonts w:ascii="Arial" w:cs="Arial" w:eastAsia="Arial" w:hAnsi="Arial"/>
          <w:b/>
          <w:bCs/>
          <w:color w:val="1B3A5C"/>
          <w:sz w:val="26"/>
          <w:szCs w:val="26"/>
        </w:rPr>
        <w:t xml:space="preserve">1-3. 최종 비전: 보험 도메인 특화 AI 아키텍처로의 로드맵</w:t>
      </w:r>
    </w:p>
    <w:p>
      <w:pPr>
        <w:spacing w:before="0" w:after="0"/>
      </w:pPr>
    </w:p>
    <w:p>
      <w:pPr>
        <w:spacing w:before="60" w:after="100" w:line="360"/>
      </w:pPr>
      <w:r>
        <w:rPr>
          <w:rFonts w:ascii="Arial" w:cs="Arial" w:eastAsia="Arial" w:hAnsi="Arial"/>
          <w:color w:val="1A1A1A"/>
          <w:sz w:val="21"/>
          <w:szCs w:val="21"/>
        </w:rPr>
        <w:t xml:space="preserve">Knowledge Core는 단순한 지식 정리 프로젝트가 아니다. 최종적으로 축적된 지식을 기반으로 아이지넷만의 보험 도메인 특화 AI 모델을 구축하는 것이 목표이다. 이를 세 단계로 접근한다.</w:t>
      </w:r>
    </w:p>
    <w:p>
      <w:pPr>
        <w:spacing w:before="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c>
          <w:tcPr>
            <w:tcW w:type="dxa" w:w="16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단계</w:t>
            </w:r>
          </w:p>
        </w:tc>
        <w:tc>
          <w:tcPr>
            <w:tcW w:type="dxa" w:w="24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목표</w:t>
            </w:r>
          </w:p>
        </w:tc>
        <w:tc>
          <w:tcPr>
            <w:tcW w:type="dxa" w:w="5026"/>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주요 산출물</w:t>
            </w:r>
          </w:p>
        </w:tc>
      </w:tr>
      <w:tr>
        <w:tc>
          <w:tcPr>
            <w:tcW w:type="dxa" w:w="1600"/>
            <w:tcBorders>
              <w:top w:val="single" w:color="B4C7D9" w:sz="1"/>
              <w:left w:val="single" w:color="B4C7D9" w:sz="1"/>
              <w:bottom w:val="single" w:color="B4C7D9" w:sz="1"/>
              <w:right w:val="single" w:color="B4C7D9" w:sz="1"/>
            </w:tcBorders>
            <w:shd w:fill="E3F0E8" w:val="clear"/>
            <w:tcMar>
              <w:top w:type="dxa" w:w="100"/>
              <w:left w:type="dxa" w:w="140"/>
              <w:bottom w:type="dxa" w:w="100"/>
              <w:right w:type="dxa" w:w="140"/>
            </w:tcMar>
          </w:tcPr>
          <w:p>
            <w:r>
              <w:rPr>
                <w:rFonts w:ascii="Arial" w:cs="Arial" w:eastAsia="Arial" w:hAnsi="Arial"/>
                <w:b/>
                <w:bCs/>
                <w:color w:val="1A1A1A"/>
                <w:sz w:val="20"/>
                <w:szCs w:val="20"/>
              </w:rPr>
              <w:t xml:space="preserve">Phase 1</w:t>
            </w:r>
          </w:p>
        </w:tc>
        <w:tc>
          <w:tcPr>
            <w:tcW w:type="dxa" w:w="2400"/>
            <w:tcBorders>
              <w:top w:val="single" w:color="B4C7D9" w:sz="1"/>
              <w:left w:val="single" w:color="B4C7D9" w:sz="1"/>
              <w:bottom w:val="single" w:color="B4C7D9" w:sz="1"/>
              <w:right w:val="single" w:color="B4C7D9" w:sz="1"/>
            </w:tcBorders>
            <w:shd w:fill="E3F0E8" w:val="clear"/>
            <w:tcMar>
              <w:top w:type="dxa" w:w="100"/>
              <w:left w:type="dxa" w:w="140"/>
              <w:bottom w:type="dxa" w:w="100"/>
              <w:right w:type="dxa" w:w="140"/>
            </w:tcMar>
          </w:tcPr>
          <w:p>
            <w:r>
              <w:rPr>
                <w:rFonts w:ascii="Arial" w:cs="Arial" w:eastAsia="Arial" w:hAnsi="Arial"/>
                <w:color w:val="1A1A1A"/>
                <w:sz w:val="20"/>
                <w:szCs w:val="20"/>
              </w:rPr>
              <w:t xml:space="preserve">KC 카드 체계 구축 및 KC Admin 개발</w:t>
            </w:r>
          </w:p>
        </w:tc>
        <w:tc>
          <w:tcPr>
            <w:tcW w:type="dxa" w:w="5026"/>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spacing w:after="40"/>
            </w:pPr>
            <w:r>
              <w:rPr>
                <w:rFonts w:ascii="Arial" w:cs="Arial" w:eastAsia="Arial" w:hAnsi="Arial"/>
                <w:color w:val="1A1A1A"/>
                <w:sz w:val="19"/>
                <w:szCs w:val="19"/>
              </w:rPr>
              <w:t xml:space="preserve">– 6+1종 KC 카드 스키마 설계 및 초기 데이터 입력</w:t>
            </w:r>
          </w:p>
          <w:p>
            <w:pPr>
              <w:spacing w:after="40"/>
            </w:pPr>
            <w:r>
              <w:rPr>
                <w:rFonts w:ascii="Arial" w:cs="Arial" w:eastAsia="Arial" w:hAnsi="Arial"/>
                <w:color w:val="1A1A1A"/>
                <w:sz w:val="19"/>
                <w:szCs w:val="19"/>
              </w:rPr>
              <w:t xml:space="preserve">– KC Admin 어드민 시스템 개발(CRUD(Create: 생성, Read: 조회, Update: 수정, Delete: 삭제), 승인 워크플로우)</w:t>
            </w:r>
          </w:p>
          <w:p>
            <w:pPr>
              <w:spacing w:after="0"/>
            </w:pPr>
            <w:r>
              <w:rPr>
                <w:rFonts w:ascii="Arial" w:cs="Arial" w:eastAsia="Arial" w:hAnsi="Arial"/>
                <w:color w:val="1A1A1A"/>
                <w:sz w:val="19"/>
                <w:szCs w:val="19"/>
              </w:rPr>
              <w:t xml:space="preserve">– Public/Internal 노출 정책 적용</w:t>
            </w:r>
          </w:p>
        </w:tc>
      </w:tr>
      <w:tr>
        <w:tc>
          <w:tcPr>
            <w:tcW w:type="dxa" w:w="1600"/>
            <w:tcBorders>
              <w:top w:val="single" w:color="B4C7D9" w:sz="1"/>
              <w:left w:val="single" w:color="B4C7D9" w:sz="1"/>
              <w:bottom w:val="single" w:color="B4C7D9" w:sz="1"/>
              <w:right w:val="single" w:color="B4C7D9" w:sz="1"/>
            </w:tcBorders>
            <w:shd w:fill="E8EDF8" w:val="clear"/>
            <w:tcMar>
              <w:top w:type="dxa" w:w="100"/>
              <w:left w:type="dxa" w:w="140"/>
              <w:bottom w:type="dxa" w:w="100"/>
              <w:right w:type="dxa" w:w="140"/>
            </w:tcMar>
          </w:tcPr>
          <w:p>
            <w:r>
              <w:rPr>
                <w:rFonts w:ascii="Arial" w:cs="Arial" w:eastAsia="Arial" w:hAnsi="Arial"/>
                <w:b/>
                <w:bCs/>
                <w:color w:val="1A1A1A"/>
                <w:sz w:val="20"/>
                <w:szCs w:val="20"/>
              </w:rPr>
              <w:t xml:space="preserve">Phase 2</w:t>
            </w:r>
          </w:p>
        </w:tc>
        <w:tc>
          <w:tcPr>
            <w:tcW w:type="dxa" w:w="2400"/>
            <w:tcBorders>
              <w:top w:val="single" w:color="B4C7D9" w:sz="1"/>
              <w:left w:val="single" w:color="B4C7D9" w:sz="1"/>
              <w:bottom w:val="single" w:color="B4C7D9" w:sz="1"/>
              <w:right w:val="single" w:color="B4C7D9" w:sz="1"/>
            </w:tcBorders>
            <w:shd w:fill="E8EDF8" w:val="clear"/>
            <w:tcMar>
              <w:top w:type="dxa" w:w="100"/>
              <w:left w:type="dxa" w:w="140"/>
              <w:bottom w:type="dxa" w:w="100"/>
              <w:right w:type="dxa" w:w="140"/>
            </w:tcMar>
          </w:tcPr>
          <w:p>
            <w:r>
              <w:rPr>
                <w:rFonts w:ascii="Arial" w:cs="Arial" w:eastAsia="Arial" w:hAnsi="Arial"/>
                <w:color w:val="1A1A1A"/>
                <w:sz w:val="20"/>
                <w:szCs w:val="20"/>
              </w:rPr>
              <w:t xml:space="preserve">Clark AI RAG 통합</w:t>
            </w:r>
          </w:p>
        </w:tc>
        <w:tc>
          <w:tcPr>
            <w:tcW w:type="dxa" w:w="5026"/>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spacing w:after="40"/>
            </w:pPr>
            <w:r>
              <w:rPr>
                <w:rFonts w:ascii="Arial" w:cs="Arial" w:eastAsia="Arial" w:hAnsi="Arial"/>
                <w:color w:val="1A1A1A"/>
                <w:sz w:val="19"/>
                <w:szCs w:val="19"/>
              </w:rPr>
              <w:t xml:space="preserve">– KC 카드 기반 RAG 파이프라인 구축</w:t>
            </w:r>
          </w:p>
          <w:p>
            <w:pPr>
              <w:spacing w:after="40"/>
            </w:pPr>
            <w:r>
              <w:rPr>
                <w:rFonts w:ascii="Arial" w:cs="Arial" w:eastAsia="Arial" w:hAnsi="Arial"/>
                <w:color w:val="1A1A1A"/>
                <w:sz w:val="19"/>
                <w:szCs w:val="19"/>
              </w:rPr>
              <w:t xml:space="preserve">– Clark AI 진단 품질 검증 및 최적화</w:t>
            </w:r>
          </w:p>
          <w:p>
            <w:pPr>
              <w:spacing w:after="0"/>
            </w:pPr>
            <w:r>
              <w:rPr>
                <w:rFonts w:ascii="Arial" w:cs="Arial" w:eastAsia="Arial" w:hAnsi="Arial"/>
                <w:color w:val="1A1A1A"/>
                <w:sz w:val="19"/>
                <w:szCs w:val="19"/>
              </w:rPr>
              <w:t xml:space="preserve">– Playbook 기반 리드 전환/배정 로직 적용</w:t>
            </w:r>
          </w:p>
        </w:tc>
      </w:tr>
      <w:tr>
        <w:tc>
          <w:tcPr>
            <w:tcW w:type="dxa" w:w="1600"/>
            <w:tcBorders>
              <w:top w:val="single" w:color="B4C7D9" w:sz="1"/>
              <w:left w:val="single" w:color="B4C7D9" w:sz="1"/>
              <w:bottom w:val="single" w:color="B4C7D9" w:sz="1"/>
              <w:right w:val="single" w:color="B4C7D9" w:sz="1"/>
            </w:tcBorders>
            <w:shd w:fill="F5E8E3" w:val="clear"/>
            <w:tcMar>
              <w:top w:type="dxa" w:w="100"/>
              <w:left w:type="dxa" w:w="140"/>
              <w:bottom w:type="dxa" w:w="100"/>
              <w:right w:type="dxa" w:w="140"/>
            </w:tcMar>
          </w:tcPr>
          <w:p>
            <w:r>
              <w:rPr>
                <w:rFonts w:ascii="Arial" w:cs="Arial" w:eastAsia="Arial" w:hAnsi="Arial"/>
                <w:b/>
                <w:bCs/>
                <w:color w:val="1A1A1A"/>
                <w:sz w:val="20"/>
                <w:szCs w:val="20"/>
              </w:rPr>
              <w:t xml:space="preserve">Phase 3</w:t>
            </w:r>
          </w:p>
        </w:tc>
        <w:tc>
          <w:tcPr>
            <w:tcW w:type="dxa" w:w="2400"/>
            <w:tcBorders>
              <w:top w:val="single" w:color="B4C7D9" w:sz="1"/>
              <w:left w:val="single" w:color="B4C7D9" w:sz="1"/>
              <w:bottom w:val="single" w:color="B4C7D9" w:sz="1"/>
              <w:right w:val="single" w:color="B4C7D9" w:sz="1"/>
            </w:tcBorders>
            <w:shd w:fill="F5E8E3" w:val="clear"/>
            <w:tcMar>
              <w:top w:type="dxa" w:w="100"/>
              <w:left w:type="dxa" w:w="140"/>
              <w:bottom w:type="dxa" w:w="100"/>
              <w:right w:type="dxa" w:w="140"/>
            </w:tcMar>
          </w:tcPr>
          <w:p>
            <w:r>
              <w:rPr>
                <w:rFonts w:ascii="Arial" w:cs="Arial" w:eastAsia="Arial" w:hAnsi="Arial"/>
                <w:color w:val="1A1A1A"/>
                <w:sz w:val="20"/>
                <w:szCs w:val="20"/>
              </w:rPr>
              <w:t xml:space="preserve">보험 도메인 특화 AI 모델</w:t>
            </w:r>
          </w:p>
        </w:tc>
        <w:tc>
          <w:tcPr>
            <w:tcW w:type="dxa" w:w="5026"/>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spacing w:after="40"/>
            </w:pPr>
            <w:r>
              <w:rPr>
                <w:rFonts w:ascii="Arial" w:cs="Arial" w:eastAsia="Arial" w:hAnsi="Arial"/>
                <w:color w:val="1A1A1A"/>
                <w:sz w:val="19"/>
                <w:szCs w:val="19"/>
              </w:rPr>
              <w:t xml:space="preserve">– 축적된 KC 데이터 + Case 카드 기반 파인튜닝</w:t>
            </w:r>
          </w:p>
          <w:p>
            <w:pPr>
              <w:spacing w:after="40"/>
            </w:pPr>
            <w:r>
              <w:rPr>
                <w:rFonts w:ascii="Arial" w:cs="Arial" w:eastAsia="Arial" w:hAnsi="Arial"/>
                <w:color w:val="1A1A1A"/>
                <w:sz w:val="19"/>
                <w:szCs w:val="19"/>
              </w:rPr>
              <w:t xml:space="preserve">– 아이지넷 전용 보험 도메인 AI 모델 구축</w:t>
            </w:r>
          </w:p>
          <w:p>
            <w:pPr>
              <w:spacing w:after="0"/>
            </w:pPr>
            <w:r>
              <w:rPr>
                <w:rFonts w:ascii="Arial" w:cs="Arial" w:eastAsia="Arial" w:hAnsi="Arial"/>
                <w:color w:val="1A1A1A"/>
                <w:sz w:val="19"/>
                <w:szCs w:val="19"/>
              </w:rPr>
              <w:t xml:space="preserve">– MCP 기반 AI 오케스트레이션 아키텍처 완성</w:t>
            </w:r>
          </w:p>
        </w:tc>
      </w:tr>
    </w:tbl>
    <w:p>
      <w:pPr>
        <w:spacing w:before="0" w:after="0"/>
      </w:pPr>
    </w:p>
    <w:p>
      <w:pPr>
        <w:spacing w:before="60" w:after="100" w:line="360"/>
      </w:pPr>
      <w:r>
        <w:rPr>
          <w:rFonts w:ascii="Arial" w:cs="Arial" w:eastAsia="Arial" w:hAnsi="Arial"/>
          <w:color w:val="1A1A1A"/>
          <w:sz w:val="21"/>
          <w:szCs w:val="21"/>
        </w:rPr>
        <w:t xml:space="preserve">본 기획서는 Phase 1을 중심으로 </w:t>
      </w:r>
      <w:r>
        <w:rPr>
          <w:rFonts w:ascii="Arial" w:cs="Arial" w:eastAsia="Arial" w:hAnsi="Arial"/>
          <w:b/>
          <w:bCs/>
          <w:color w:val="1A1A1A"/>
          <w:sz w:val="21"/>
          <w:szCs w:val="21"/>
        </w:rPr>
        <w:t xml:space="preserve">KC 카드 체계 설계와 KC Admin 기능 정의</w:t>
      </w:r>
      <w:r>
        <w:rPr>
          <w:rFonts w:ascii="Arial" w:cs="Arial" w:eastAsia="Arial" w:hAnsi="Arial"/>
          <w:color w:val="1A1A1A"/>
          <w:sz w:val="21"/>
          <w:szCs w:val="21"/>
        </w:rPr>
        <w:t xml:space="preserve">를 다룬다. Phase 2의 Clark AI RAG 통합 및 Phase 3의 파인튜닝 계획은 별도 문서에서 다룰 예정이다.</w:t>
      </w:r>
    </w:p>
    <w:p>
      <w:r>
        <w:br w:type="page"/>
      </w:r>
    </w:p>
    <w:p>
      <w:pPr>
        <w:pStyle w:val="Heading1"/>
        <w:spacing w:before="360" w:after="200"/>
      </w:pPr>
      <w:r>
        <w:rPr>
          <w:rFonts w:ascii="Arial" w:cs="Arial" w:eastAsia="Arial" w:hAnsi="Arial"/>
          <w:b/>
          <w:bCs/>
          <w:color w:val="1B3A5C"/>
          <w:sz w:val="32"/>
          <w:szCs w:val="32"/>
        </w:rPr>
        <w:t xml:space="preserve">2. KC 카드 체계 상세 설계</w:t>
      </w:r>
    </w:p>
    <w:p>
      <w:pPr>
        <w:spacing w:before="0" w:after="0"/>
      </w:pPr>
    </w:p>
    <w:p>
      <w:pPr>
        <w:spacing w:before="60" w:after="100" w:line="360"/>
      </w:pPr>
      <w:r>
        <w:rPr>
          <w:rFonts w:ascii="Arial" w:cs="Arial" w:eastAsia="Arial" w:hAnsi="Arial"/>
          <w:color w:val="1A1A1A"/>
          <w:sz w:val="21"/>
          <w:szCs w:val="21"/>
        </w:rPr>
        <w:t xml:space="preserve">Knowledge Core는 총 6+1종의 카드로 구성된다. 각 카드는 보험 도메인 지식의 서로 다른 계층을 담당하며, 카드 간 참조 관계를 통해 AI의 출력이 동일한 의미 경계 내에서 생성되도록 통제한다. 본 장에서는 각 카드의 정의와 역할, 카드 간 참조 흐름, 그리고 Public/Internal 노출 정책을 상세히 설명한다.</w:t>
      </w:r>
    </w:p>
    <w:p>
      <w:pPr>
        <w:spacing w:before="0" w:after="0"/>
      </w:pPr>
    </w:p>
    <w:p>
      <w:pPr>
        <w:pStyle w:val="Heading2"/>
        <w:spacing w:before="300" w:after="160"/>
      </w:pPr>
      <w:r>
        <w:rPr>
          <w:rFonts w:ascii="Arial" w:cs="Arial" w:eastAsia="Arial" w:hAnsi="Arial"/>
          <w:b/>
          <w:bCs/>
          <w:color w:val="1B3A5C"/>
          <w:sz w:val="26"/>
          <w:szCs w:val="26"/>
        </w:rPr>
        <w:t xml:space="preserve">2-1. KC 카드 체계의 설계 원리: 온톨로지 기반 AI 아키텍처</w:t>
      </w:r>
    </w:p>
    <w:p>
      <w:pPr>
        <w:spacing w:before="0" w:after="0"/>
      </w:pPr>
    </w:p>
    <w:p>
      <w:pPr>
        <w:pStyle w:val="Heading3"/>
        <w:spacing w:before="240" w:after="120"/>
      </w:pPr>
      <w:r>
        <w:rPr>
          <w:rFonts w:ascii="Arial" w:cs="Arial" w:eastAsia="Arial" w:hAnsi="Arial"/>
          <w:b/>
          <w:bCs/>
          <w:color w:val="2E75B6"/>
          <w:sz w:val="22"/>
          <w:szCs w:val="22"/>
        </w:rPr>
        <w:t xml:space="preserve">온톨로지(Ontology)란 무엇인가</w:t>
      </w:r>
    </w:p>
    <w:p>
      <w:pPr>
        <w:spacing w:before="60" w:after="100" w:line="360"/>
      </w:pPr>
      <w:r>
        <w:rPr>
          <w:rFonts w:ascii="Arial" w:cs="Arial" w:eastAsia="Arial" w:hAnsi="Arial"/>
          <w:color w:val="1A1A1A"/>
          <w:sz w:val="21"/>
          <w:szCs w:val="21"/>
        </w:rPr>
        <w:t xml:space="preserve">온톨로지는 쉽게 말하면 </w:t>
      </w:r>
      <w:r>
        <w:rPr>
          <w:rFonts w:ascii="Arial" w:cs="Arial" w:eastAsia="Arial" w:hAnsi="Arial"/>
          <w:b/>
          <w:bCs/>
          <w:color w:val="1A1A1A"/>
          <w:sz w:val="21"/>
          <w:szCs w:val="21"/>
        </w:rPr>
        <w:t xml:space="preserve">"어떤 도메인을 구조적으로 정의한 지식 체계"</w:t>
      </w:r>
      <w:r>
        <w:rPr>
          <w:rFonts w:ascii="Arial" w:cs="Arial" w:eastAsia="Arial" w:hAnsi="Arial"/>
          <w:color w:val="1A1A1A"/>
          <w:sz w:val="21"/>
          <w:szCs w:val="21"/>
        </w:rPr>
        <w:t xml:space="preserve">이다. 더 실무적으로 표현하면, 개념(Concept) + 관계(Relation) + 규칙(Rule)을 명확하게 정의한 지식 구조 모델이다.</w:t>
      </w:r>
    </w:p>
    <w:p>
      <w:pPr>
        <w:spacing w:before="60" w:after="100" w:line="360"/>
      </w:pPr>
      <w:r>
        <w:rPr>
          <w:rFonts w:ascii="Arial" w:cs="Arial" w:eastAsia="Arial" w:hAnsi="Arial"/>
          <w:color w:val="1A1A1A"/>
          <w:sz w:val="21"/>
          <w:szCs w:val="21"/>
        </w:rPr>
        <w:t xml:space="preserve">일반적인 데이터와 온톨로지의 차이를 보험 도메인으로 예를 들면 명확해진다.</w:t>
      </w:r>
    </w:p>
    <w:p>
      <w:pPr>
        <w:spacing w:before="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구분</w:t>
            </w:r>
          </w:p>
        </w:tc>
        <w:tc>
          <w:tcPr>
            <w:tcW w:type="dxa" w:w="3613"/>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일반 데이터</w:t>
            </w:r>
          </w:p>
        </w:tc>
        <w:tc>
          <w:tcPr>
            <w:tcW w:type="dxa" w:w="3613"/>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온톨로지</w:t>
            </w:r>
          </w:p>
        </w:tc>
      </w:tr>
      <w:tr>
        <w:tc>
          <w:tcPr>
            <w:tcW w:type="dxa" w:w="1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예시</w:t>
            </w:r>
          </w:p>
        </w:tc>
        <w:tc>
          <w:tcPr>
            <w:tcW w:type="dxa" w:w="36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암 진단금 = 2,000만 원</w:t>
            </w:r>
          </w:p>
        </w:tc>
        <w:tc>
          <w:tcPr>
            <w:tcW w:type="dxa" w:w="36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암 진단금 &lt; 기준 → 암 보장 부족 → 상담 필요</w:t>
            </w:r>
          </w:p>
        </w:tc>
      </w:tr>
      <w:tr>
        <w:tc>
          <w:tcPr>
            <w:tcW w:type="dxa" w:w="1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특성</w:t>
            </w:r>
          </w:p>
        </w:tc>
        <w:tc>
          <w:tcPr>
            <w:tcW w:type="dxa" w:w="36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데이터 자체로는 의미가 없음</w:t>
            </w:r>
          </w:p>
        </w:tc>
        <w:tc>
          <w:tcPr>
            <w:tcW w:type="dxa" w:w="36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데이터 → 의미 → 판단으로 확장 가능</w:t>
            </w:r>
          </w:p>
        </w:tc>
      </w:tr>
    </w:tbl>
    <w:p>
      <w:pPr>
        <w:spacing w:before="0" w:after="0"/>
      </w:pPr>
    </w:p>
    <w:p>
      <w:pPr>
        <w:spacing w:before="60" w:after="100" w:line="360"/>
      </w:pPr>
      <w:r>
        <w:rPr>
          <w:rFonts w:ascii="Arial" w:cs="Arial" w:eastAsia="Arial" w:hAnsi="Arial"/>
          <w:color w:val="1A1A1A"/>
          <w:sz w:val="21"/>
          <w:szCs w:val="21"/>
        </w:rPr>
        <w:t xml:space="preserve">즉, 온톨로지는 단순한 데이터 저장이 아니라, </w:t>
      </w:r>
      <w:r>
        <w:rPr>
          <w:rFonts w:ascii="Arial" w:cs="Arial" w:eastAsia="Arial" w:hAnsi="Arial"/>
          <w:b/>
          <w:bCs/>
          <w:color w:val="1A1A1A"/>
          <w:sz w:val="21"/>
          <w:szCs w:val="21"/>
        </w:rPr>
        <w:t xml:space="preserve">데이터에 의미와 판단 기준을 부여하는 구조</w:t>
      </w:r>
      <w:r>
        <w:rPr>
          <w:rFonts w:ascii="Arial" w:cs="Arial" w:eastAsia="Arial" w:hAnsi="Arial"/>
          <w:color w:val="1A1A1A"/>
          <w:sz w:val="21"/>
          <w:szCs w:val="21"/>
        </w:rPr>
        <w:t xml:space="preserve">이다.</w:t>
      </w:r>
    </w:p>
    <w:p>
      <w:pPr>
        <w:spacing w:before="0" w:after="0"/>
      </w:pPr>
    </w:p>
    <w:p>
      <w:pPr>
        <w:pStyle w:val="Heading3"/>
        <w:spacing w:before="240" w:after="120"/>
      </w:pPr>
      <w:r>
        <w:rPr>
          <w:rFonts w:ascii="Arial" w:cs="Arial" w:eastAsia="Arial" w:hAnsi="Arial"/>
          <w:b/>
          <w:bCs/>
          <w:color w:val="2E75B6"/>
          <w:sz w:val="22"/>
          <w:szCs w:val="22"/>
        </w:rPr>
        <w:t xml:space="preserve">LLM의 한계와 온톨로지의 필요성</w:t>
      </w:r>
    </w:p>
    <w:p>
      <w:pPr>
        <w:spacing w:before="60" w:after="100" w:line="360"/>
      </w:pPr>
      <w:r>
        <w:rPr>
          <w:rFonts w:ascii="Arial" w:cs="Arial" w:eastAsia="Arial" w:hAnsi="Arial"/>
          <w:color w:val="1A1A1A"/>
          <w:sz w:val="21"/>
          <w:szCs w:val="21"/>
        </w:rPr>
        <w:t xml:space="preserve">Clark AI의 기반이 되는 LLM(Large Language Model, 대규모 언어 모델)은 본질적으로 </w:t>
      </w:r>
      <w:r>
        <w:rPr>
          <w:rFonts w:ascii="Arial" w:cs="Arial" w:eastAsia="Arial" w:hAnsi="Arial"/>
          <w:b/>
          <w:bCs/>
          <w:color w:val="1A1A1A"/>
          <w:sz w:val="21"/>
          <w:szCs w:val="21"/>
        </w:rPr>
        <w:t xml:space="preserve">패턴 생성 엔진</w:t>
      </w:r>
      <w:r>
        <w:rPr>
          <w:rFonts w:ascii="Arial" w:cs="Arial" w:eastAsia="Arial" w:hAnsi="Arial"/>
          <w:color w:val="1A1A1A"/>
          <w:sz w:val="21"/>
          <w:szCs w:val="21"/>
        </w:rPr>
        <w:t xml:space="preserve">이다. 입력을 받으면 확률적으로 가장 그럴듯한 출력을 생성한다. 설명을 잘하지만, 정확한 판단, 일관된 기준 유지, 도메인 규칙 준수는 보장하지 못한다.</w:t>
      </w:r>
    </w:p>
    <w:p>
      <w:pPr>
        <w:spacing w:before="60" w:after="100" w:line="360"/>
      </w:pPr>
      <w:r>
        <w:rPr>
          <w:rFonts w:ascii="Arial" w:cs="Arial" w:eastAsia="Arial" w:hAnsi="Arial"/>
          <w:color w:val="1A1A1A"/>
          <w:sz w:val="21"/>
          <w:szCs w:val="21"/>
        </w:rPr>
        <w:t xml:space="preserve">보험 도메인에서 LLM만으로 AI를 운영하면, 어떤 날은 "암 보장 충분"이라고 하고 어떤 날은 "암 보장 부족"이라고 하는 식으로 판단 기준이 흔들린다. 이는 규제산업에서 치명적인 문제이다.</w:t>
      </w:r>
    </w:p>
    <w:p>
      <w:pPr>
        <w:spacing w:before="0" w:after="0"/>
      </w:pPr>
    </w:p>
    <w:p>
      <w:pPr>
        <w:spacing w:before="60" w:after="100" w:line="360"/>
      </w:pPr>
      <w:r>
        <w:rPr>
          <w:rFonts w:ascii="Arial" w:cs="Arial" w:eastAsia="Arial" w:hAnsi="Arial"/>
          <w:color w:val="1A1A1A"/>
          <w:sz w:val="21"/>
          <w:szCs w:val="21"/>
        </w:rPr>
        <w:t xml:space="preserve">온톨로지는 이 한계를 보완한다. 역할을 명확히 분리하면: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역할</w:t>
            </w:r>
          </w:p>
        </w:tc>
        <w:tc>
          <w:tcPr>
            <w:tcW w:type="dxa" w:w="3313"/>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담당</w:t>
            </w:r>
          </w:p>
        </w:tc>
        <w:tc>
          <w:tcPr>
            <w:tcW w:type="dxa" w:w="3313"/>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비유</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리스크 정의</w:t>
            </w:r>
          </w:p>
        </w:tc>
        <w:tc>
          <w:tcPr>
            <w:tcW w:type="dxa" w:w="33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온톨로지 (KC 카드)</w:t>
            </w:r>
          </w:p>
        </w:tc>
        <w:tc>
          <w:tcPr>
            <w:tcW w:type="dxa" w:w="33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판단하는 뇌</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판단 기준</w:t>
            </w:r>
          </w:p>
        </w:tc>
        <w:tc>
          <w:tcPr>
            <w:tcW w:type="dxa" w:w="33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온톨로지 (KC 카드)</w:t>
            </w:r>
          </w:p>
        </w:tc>
        <w:tc>
          <w:tcPr>
            <w:tcW w:type="dxa" w:w="33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판단하는 뇌</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설명 생성</w:t>
            </w:r>
          </w:p>
        </w:tc>
        <w:tc>
          <w:tcPr>
            <w:tcW w:type="dxa" w:w="33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LLM (Clark AI)</w:t>
            </w:r>
          </w:p>
        </w:tc>
        <w:tc>
          <w:tcPr>
            <w:tcW w:type="dxa" w:w="33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말하는 입</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대화 UX</w:t>
            </w:r>
          </w:p>
        </w:tc>
        <w:tc>
          <w:tcPr>
            <w:tcW w:type="dxa" w:w="33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LLM (Clark AI)</w:t>
            </w:r>
          </w:p>
        </w:tc>
        <w:tc>
          <w:tcPr>
            <w:tcW w:type="dxa" w:w="33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말하는 입</w:t>
            </w:r>
          </w:p>
        </w:tc>
      </w:tr>
    </w:tbl>
    <w:p>
      <w:pPr>
        <w:spacing w:before="0" w:after="0"/>
      </w:pPr>
    </w:p>
    <w:p>
      <w:pPr>
        <w:spacing w:before="60" w:after="100" w:line="360"/>
      </w:pPr>
      <w:r>
        <w:rPr>
          <w:rFonts w:ascii="Arial" w:cs="Arial" w:eastAsia="Arial" w:hAnsi="Arial"/>
          <w:b w:val="false"/>
          <w:bCs w:val="false"/>
          <w:color w:val="1A1A1A"/>
          <w:sz w:val="21"/>
          <w:szCs w:val="21"/>
        </w:rPr>
        <w:t xml:space="preserve">즉, </w:t>
      </w:r>
      <w:r>
        <w:rPr>
          <w:rFonts w:ascii="Arial" w:cs="Arial" w:eastAsia="Arial" w:hAnsi="Arial"/>
          <w:b/>
          <w:bCs/>
          <w:color w:val="1A1A1A"/>
          <w:sz w:val="21"/>
          <w:szCs w:val="21"/>
        </w:rPr>
        <w:t xml:space="preserve">온톨로지는 "판단하는 뇌", LLM은 "말하는 입"</w:t>
      </w:r>
      <w:r>
        <w:rPr>
          <w:rFonts w:ascii="Arial" w:cs="Arial" w:eastAsia="Arial" w:hAnsi="Arial"/>
          <w:color w:val="1A1A1A"/>
          <w:sz w:val="21"/>
          <w:szCs w:val="21"/>
        </w:rPr>
        <w:t xml:space="preserve">이다. 둘을 결합해야 정확한 판단을 자연스러운 언어로 설명할 수 있다.</w:t>
      </w:r>
    </w:p>
    <w:p>
      <w:pPr>
        <w:spacing w:before="0" w:after="0"/>
      </w:pPr>
    </w:p>
    <w:p>
      <w:pPr>
        <w:pStyle w:val="Heading3"/>
        <w:spacing w:before="240" w:after="120"/>
      </w:pPr>
      <w:r>
        <w:rPr>
          <w:rFonts w:ascii="Arial" w:cs="Arial" w:eastAsia="Arial" w:hAnsi="Arial"/>
          <w:b/>
          <w:bCs/>
          <w:color w:val="2E75B6"/>
          <w:sz w:val="22"/>
          <w:szCs w:val="22"/>
        </w:rPr>
        <w:t xml:space="preserve">KC 카드 체계 = 보험 도메인 온톨로지</w:t>
      </w:r>
    </w:p>
    <w:p>
      <w:pPr>
        <w:spacing w:before="60" w:after="100" w:line="360"/>
      </w:pPr>
      <w:r>
        <w:rPr>
          <w:rFonts w:ascii="Arial" w:cs="Arial" w:eastAsia="Arial" w:hAnsi="Arial"/>
          <w:color w:val="1A1A1A"/>
          <w:sz w:val="21"/>
          <w:szCs w:val="21"/>
        </w:rPr>
        <w:t xml:space="preserve">KC 카드 체계를 온톨로지 관점에서 보면, 이미 완전한 온톨로지 구조를 갖추고 있다.</w:t>
      </w:r>
    </w:p>
    <w:p>
      <w:pPr>
        <w:spacing w:before="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온톨로지 요소</w:t>
            </w:r>
          </w:p>
        </w:tc>
        <w:tc>
          <w:tcPr>
            <w:tcW w:type="dxa" w:w="3313"/>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KC 카드 대응</w:t>
            </w:r>
          </w:p>
        </w:tc>
        <w:tc>
          <w:tcPr>
            <w:tcW w:type="dxa" w:w="3313"/>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역할</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개념 (Concept)</w:t>
            </w:r>
          </w:p>
        </w:tc>
        <w:tc>
          <w:tcPr>
            <w:tcW w:type="dxa" w:w="33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Definition 카드</w:t>
            </w:r>
          </w:p>
        </w:tc>
        <w:tc>
          <w:tcPr>
            <w:tcW w:type="dxa" w:w="33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보험 용어와 개념을 정의</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관계 (Relation)</w:t>
            </w:r>
          </w:p>
        </w:tc>
        <w:tc>
          <w:tcPr>
            <w:tcW w:type="dxa" w:w="33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카드 간 참조 링크</w:t>
            </w:r>
          </w:p>
        </w:tc>
        <w:tc>
          <w:tcPr>
            <w:tcW w:type="dxa" w:w="33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개념 간 의미 관계를 정의</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규칙 (Rule)</w:t>
            </w:r>
          </w:p>
        </w:tc>
        <w:tc>
          <w:tcPr>
            <w:tcW w:type="dxa" w:w="33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Rule 카드 + Evidence 카드</w:t>
            </w:r>
          </w:p>
        </w:tc>
        <w:tc>
          <w:tcPr>
            <w:tcW w:type="dxa" w:w="33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판단 기준과 근거를 정의</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제약 (Constraint)</w:t>
            </w:r>
          </w:p>
        </w:tc>
        <w:tc>
          <w:tcPr>
            <w:tcW w:type="dxa" w:w="33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Policy 카드</w:t>
            </w:r>
          </w:p>
        </w:tc>
        <w:tc>
          <w:tcPr>
            <w:tcW w:type="dxa" w:w="33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출력 범위의 규제적 제약을 정의</w:t>
            </w:r>
          </w:p>
        </w:tc>
      </w:tr>
    </w:tbl>
    <w:p>
      <w:pPr>
        <w:spacing w:before="0" w:after="0"/>
      </w:pPr>
    </w:p>
    <w:p>
      <w:pPr>
        <w:spacing w:before="60" w:after="100" w:line="360"/>
      </w:pPr>
      <w:r>
        <w:rPr>
          <w:rFonts w:ascii="Arial" w:cs="Arial" w:eastAsia="Arial" w:hAnsi="Arial"/>
          <w:color w:val="1A1A1A"/>
          <w:sz w:val="21"/>
          <w:szCs w:val="21"/>
        </w:rPr>
        <w:t xml:space="preserve">Clark AI의 전체 진단 흐름을 온톨로지와 LLM의 역할 분리로 보면 다음과 같다:</w:t>
      </w:r>
    </w:p>
    <w:p>
      <w:pPr>
        <w:spacing w:before="0" w:after="0"/>
      </w:pPr>
    </w:p>
    <w:p>
      <w:pPr>
        <w:spacing w:before="60" w:after="100" w:line="360"/>
      </w:pPr>
      <w:r>
        <w:rPr>
          <w:rFonts w:ascii="Arial" w:cs="Arial" w:eastAsia="Arial" w:hAnsi="Arial"/>
          <w:b w:val="false"/>
          <w:bCs w:val="false"/>
          <w:color w:val="1A1A1A"/>
          <w:sz w:val="21"/>
          <w:szCs w:val="21"/>
        </w:rPr>
        <w:t xml:space="preserve">사용자 질문 → </w:t>
      </w:r>
      <w:r>
        <w:rPr>
          <w:rFonts w:ascii="Arial" w:cs="Arial" w:eastAsia="Arial" w:hAnsi="Arial"/>
          <w:b/>
          <w:bCs/>
          <w:color w:val="2E75B6"/>
          <w:sz w:val="21"/>
          <w:szCs w:val="21"/>
        </w:rPr>
        <w:t xml:space="preserve">온톨로지 기반 판단</w:t>
      </w:r>
      <w:r>
        <w:rPr>
          <w:rFonts w:ascii="Arial" w:cs="Arial" w:eastAsia="Arial" w:hAnsi="Arial"/>
          <w:b w:val="false"/>
          <w:bCs w:val="false"/>
          <w:color w:val="1A1A1A"/>
          <w:sz w:val="21"/>
          <w:szCs w:val="21"/>
        </w:rPr>
        <w:t xml:space="preserve">(Definition → Risk Type → Rule → Evidence → Policy)</w:t>
      </w:r>
      <w:r>
        <w:rPr>
          <w:rFonts w:ascii="Arial" w:cs="Arial" w:eastAsia="Arial" w:hAnsi="Arial"/>
          <w:b w:val="false"/>
          <w:bCs w:val="false"/>
          <w:color w:val="1A1A1A"/>
          <w:sz w:val="21"/>
          <w:szCs w:val="21"/>
        </w:rPr>
        <w:t xml:space="preserve"> → </w:t>
      </w:r>
      <w:r>
        <w:rPr>
          <w:rFonts w:ascii="Arial" w:cs="Arial" w:eastAsia="Arial" w:hAnsi="Arial"/>
          <w:b/>
          <w:bCs/>
          <w:color w:val="2E75B6"/>
          <w:sz w:val="21"/>
          <w:szCs w:val="21"/>
        </w:rPr>
        <w:t xml:space="preserve">LLM 설명 생성</w:t>
      </w:r>
      <w:r>
        <w:rPr>
          <w:rFonts w:ascii="Arial" w:cs="Arial" w:eastAsia="Arial" w:hAnsi="Arial"/>
          <w:b w:val="false"/>
          <w:bCs w:val="false"/>
          <w:color w:val="1A1A1A"/>
          <w:sz w:val="21"/>
          <w:szCs w:val="21"/>
        </w:rPr>
        <w:t xml:space="preserve">(Clark AI 답변)</w:t>
      </w:r>
    </w:p>
    <w:p>
      <w:pPr>
        <w:spacing w:before="0" w:after="0"/>
      </w:pPr>
    </w:p>
    <w:p>
      <w:pPr>
        <w:pStyle w:val="Heading3"/>
        <w:spacing w:before="240" w:after="120"/>
      </w:pPr>
      <w:r>
        <w:rPr>
          <w:rFonts w:ascii="Arial" w:cs="Arial" w:eastAsia="Arial" w:hAnsi="Arial"/>
          <w:b/>
          <w:bCs/>
          <w:color w:val="2E75B6"/>
          <w:sz w:val="22"/>
          <w:szCs w:val="22"/>
        </w:rPr>
        <w:t xml:space="preserve">전략적 의미: 진짜 경쟁력은 온톨로지이다</w:t>
      </w:r>
    </w:p>
    <w:p>
      <w:pPr>
        <w:spacing w:before="60" w:after="100" w:line="360"/>
      </w:pPr>
      <w:r>
        <w:rPr>
          <w:rFonts w:ascii="Arial" w:cs="Arial" w:eastAsia="Arial" w:hAnsi="Arial"/>
          <w:color w:val="1A1A1A"/>
          <w:sz w:val="21"/>
          <w:szCs w:val="21"/>
        </w:rPr>
        <w:t xml:space="preserve">이 구조에서 전략적으로 가장 중요한 포인트가 있다. </w:t>
      </w:r>
      <w:r>
        <w:rPr>
          <w:rFonts w:ascii="Arial" w:cs="Arial" w:eastAsia="Arial" w:hAnsi="Arial"/>
          <w:b/>
          <w:bCs/>
          <w:color w:val="1A1A1A"/>
          <w:sz w:val="21"/>
          <w:szCs w:val="21"/>
        </w:rPr>
        <w:t xml:space="preserve">LLM은 교체 가능하지만, 온톨로지는 교체 불가능한 플랫폼 자산이다.</w:t>
      </w:r>
    </w:p>
    <w:p>
      <w:pPr>
        <w:spacing w:before="60" w:after="100" w:line="360"/>
      </w:pPr>
      <w:r>
        <w:rPr>
          <w:rFonts w:ascii="Arial" w:cs="Arial" w:eastAsia="Arial" w:hAnsi="Arial"/>
          <w:color w:val="1A1A1A"/>
          <w:sz w:val="21"/>
          <w:szCs w:val="21"/>
        </w:rPr>
        <w:t xml:space="preserve">LLM은 GPT, Claude, Gemini 등 다양한 모델로 교체할 수 있다. 그러나 보험 도메인에 특화된 온톨로지, 즉 KC 카드 체계(Risk Type, Rule, Evidence, Policy)는 아이지넷이 직접 구축한 고유 자산이며, 경쟁사가 복제할 수 없다.</w:t>
      </w:r>
    </w:p>
    <w:p>
      <w:pPr>
        <w:spacing w:before="60" w:after="100" w:line="360"/>
      </w:pPr>
      <w:r>
        <w:rPr>
          <w:rFonts w:ascii="Arial" w:cs="Arial" w:eastAsia="Arial" w:hAnsi="Arial"/>
          <w:color w:val="1A1A1A"/>
          <w:sz w:val="21"/>
          <w:szCs w:val="21"/>
        </w:rPr>
        <w:t xml:space="preserve">따라서 Clark을 한 문장으로 정의하면: </w:t>
      </w:r>
      <w:r>
        <w:rPr>
          <w:rFonts w:ascii="Arial" w:cs="Arial" w:eastAsia="Arial" w:hAnsi="Arial"/>
          <w:b/>
          <w:bCs/>
          <w:color w:val="1A1A1A"/>
          <w:sz w:val="21"/>
          <w:szCs w:val="21"/>
        </w:rPr>
        <w:t xml:space="preserve">"온톨로지 기반 보험 진단 엔진 + LLM 인터페이스"</w:t>
      </w:r>
      <w:r>
        <w:rPr>
          <w:rFonts w:ascii="Arial" w:cs="Arial" w:eastAsia="Arial" w:hAnsi="Arial"/>
          <w:color w:val="1A1A1A"/>
          <w:sz w:val="21"/>
          <w:szCs w:val="21"/>
        </w:rPr>
        <w:t xml:space="preserve">이다. Knowledge Core는 이 온톨로지를 체계적으로 구축하고 관리하기 위한 프로젝트이다.</w:t>
      </w:r>
    </w:p>
    <w:p>
      <w:pPr>
        <w:spacing w:before="0" w:after="0"/>
      </w:pPr>
    </w:p>
    <w:p>
      <w:r>
        <w:br w:type="page"/>
      </w:r>
    </w:p>
    <w:p>
      <w:pPr>
        <w:pStyle w:val="Heading2"/>
        <w:spacing w:before="300" w:after="160"/>
      </w:pPr>
      <w:r>
        <w:rPr>
          <w:rFonts w:ascii="Arial" w:cs="Arial" w:eastAsia="Arial" w:hAnsi="Arial"/>
          <w:b/>
          <w:bCs/>
          <w:color w:val="1B3A5C"/>
          <w:sz w:val="26"/>
          <w:szCs w:val="26"/>
        </w:rPr>
        <w:t xml:space="preserve">2-2. 카드별 정의</w:t>
      </w:r>
    </w:p>
    <w:p>
      <w:pPr>
        <w:spacing w:before="0" w:after="0"/>
      </w:pPr>
    </w:p>
    <w:p>
      <w:pPr>
        <w:pStyle w:val="Heading3"/>
        <w:spacing w:before="240" w:after="120"/>
      </w:pPr>
      <w:r>
        <w:rPr>
          <w:rFonts w:ascii="Arial" w:cs="Arial" w:eastAsia="Arial" w:hAnsi="Arial"/>
          <w:b/>
          <w:bCs/>
          <w:color w:val="2E75B6"/>
          <w:sz w:val="22"/>
          <w:szCs w:val="22"/>
        </w:rPr>
        <w:t xml:space="preserve">① Definition 카드 (메타 정의 계층)</w:t>
      </w:r>
    </w:p>
    <w:p>
      <w:pPr>
        <w:spacing w:before="60" w:after="100" w:line="360"/>
      </w:pPr>
      <w:r>
        <w:rPr>
          <w:rFonts w:ascii="Arial" w:cs="Arial" w:eastAsia="Arial" w:hAnsi="Arial"/>
          <w:color w:val="1A1A1A"/>
          <w:sz w:val="21"/>
          <w:szCs w:val="21"/>
        </w:rPr>
        <w:t xml:space="preserve">Definition 카드는 KC 체계의 최상위 계층으로, </w:t>
      </w:r>
      <w:r>
        <w:rPr>
          <w:rFonts w:ascii="Arial" w:cs="Arial" w:eastAsia="Arial" w:hAnsi="Arial"/>
          <w:b/>
          <w:bCs/>
          <w:color w:val="1A1A1A"/>
          <w:sz w:val="21"/>
          <w:szCs w:val="21"/>
        </w:rPr>
        <w:t xml:space="preserve">보험 및 보장 구조에 대한 기본 개념과 용어를 정의</w:t>
      </w:r>
      <w:r>
        <w:rPr>
          <w:rFonts w:ascii="Arial" w:cs="Arial" w:eastAsia="Arial" w:hAnsi="Arial"/>
          <w:color w:val="1A1A1A"/>
          <w:sz w:val="21"/>
          <w:szCs w:val="21"/>
        </w:rPr>
        <w:t xml:space="preserve">한다. AIO 백서의 도입부이자 Clark AI의 AI 진단 철학의 근거가 되며, 사용자의 질문 의도를 AI가 정확히 이해하는 데 핵심적인 역할을 한다.</w:t>
      </w:r>
    </w:p>
    <w:p>
      <w:pPr>
        <w:spacing w:before="60" w:after="100" w:line="360"/>
      </w:pPr>
      <w:r>
        <w:rPr>
          <w:rFonts w:ascii="Arial" w:cs="Arial" w:eastAsia="Arial" w:hAnsi="Arial"/>
          <w:color w:val="1A1A1A"/>
          <w:sz w:val="21"/>
          <w:szCs w:val="21"/>
        </w:rPr>
        <w:t xml:space="preserve">예를 들어, "보험료"를 "보장을 유지하기 위해 지불해야 하는 비용으로, 월납보험료라고도 하며 일상적으로는 보험비라고도 불린다"라고 정의하면, Clark AI는 사용자가 "내 보험비가 얼마야?"라고 물어도 "월납보험료는 얼마입니까?"로 의미를 정확히 매칭할 수 있다.</w:t>
      </w:r>
    </w:p>
    <w:p>
      <w:pPr>
        <w:spacing w:before="0" w:after="0"/>
      </w:pPr>
    </w:p>
    <w:p>
      <w:pPr>
        <w:spacing w:before="60" w:after="100" w:line="360"/>
      </w:pPr>
      <w:r>
        <w:rPr>
          <w:rFonts w:ascii="Arial" w:cs="Arial" w:eastAsia="Arial" w:hAnsi="Arial"/>
          <w:b/>
          <w:bCs/>
          <w:color w:val="1A1A1A"/>
          <w:sz w:val="21"/>
          <w:szCs w:val="21"/>
        </w:rPr>
        <w:t xml:space="preserve">하위 분류 예시: </w:t>
      </w:r>
      <w:r>
        <w:rPr>
          <w:rFonts w:ascii="Arial" w:cs="Arial" w:eastAsia="Arial" w:hAnsi="Arial"/>
          <w:color w:val="1A1A1A"/>
          <w:sz w:val="21"/>
          <w:szCs w:val="21"/>
        </w:rPr>
        <w:t xml:space="preserve">Definition 카드는 아래와 같은 하위 분류를 가질 수 있으며, 실제 운영 과정에서 담당자가 KC Admin을 통해 추가·변경할 수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분류</w:t>
            </w:r>
          </w:p>
        </w:tc>
        <w:tc>
          <w:tcPr>
            <w:tcW w:type="dxa" w:w="6426"/>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예시 항목</w:t>
            </w:r>
          </w:p>
        </w:tc>
      </w:tr>
      <w:tr>
        <w:tc>
          <w:tcPr>
            <w:tcW w:type="dxa" w:w="26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보험의 목적 정의</w:t>
            </w:r>
          </w:p>
        </w:tc>
        <w:tc>
          <w:tcPr>
            <w:tcW w:type="dxa" w:w="64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리스크 이전 도구, 현금 흐름 방어 장치, 생애주기 위험 대응 등</w:t>
            </w:r>
          </w:p>
        </w:tc>
      </w:tr>
      <w:tr>
        <w:tc>
          <w:tcPr>
            <w:tcW w:type="dxa" w:w="26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보장 구조 분석의 목적</w:t>
            </w:r>
          </w:p>
        </w:tc>
        <w:tc>
          <w:tcPr>
            <w:tcW w:type="dxa" w:w="64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보장 공백 탐지, 과잉/비효용 탐지, 장기 비용 리스크 탐지 등</w:t>
            </w:r>
          </w:p>
        </w:tc>
      </w:tr>
      <w:tr>
        <w:tc>
          <w:tcPr>
            <w:tcW w:type="dxa" w:w="26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보장 카테고리 분류</w:t>
            </w:r>
          </w:p>
        </w:tc>
        <w:tc>
          <w:tcPr>
            <w:tcW w:type="dxa" w:w="64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실손, 3대 중요 질병(암/뇌/심장), 사망, 후유장해, 간병/치매, 수술/입원, 기타 특약 등</w:t>
            </w:r>
          </w:p>
        </w:tc>
      </w:tr>
    </w:tbl>
    <w:p>
      <w:pPr>
        <w:spacing w:before="0" w:after="0"/>
      </w:pPr>
    </w:p>
    <w:p>
      <w:pPr>
        <w:pStyle w:val="Heading3"/>
        <w:spacing w:before="240" w:after="120"/>
      </w:pPr>
      <w:r>
        <w:rPr>
          <w:rFonts w:ascii="Arial" w:cs="Arial" w:eastAsia="Arial" w:hAnsi="Arial"/>
          <w:b/>
          <w:bCs/>
          <w:color w:val="2E75B6"/>
          <w:sz w:val="22"/>
          <w:szCs w:val="22"/>
        </w:rPr>
        <w:t xml:space="preserve">② Risk Type 카드 (보장 구조 정의 계층)</w:t>
      </w:r>
    </w:p>
    <w:p>
      <w:pPr>
        <w:spacing w:before="60" w:after="100" w:line="360"/>
      </w:pPr>
      <w:r>
        <w:rPr>
          <w:rFonts w:ascii="Arial" w:cs="Arial" w:eastAsia="Arial" w:hAnsi="Arial"/>
          <w:color w:val="1A1A1A"/>
          <w:sz w:val="21"/>
          <w:szCs w:val="21"/>
        </w:rPr>
        <w:t xml:space="preserve">Risk Type 카드는 </w:t>
      </w:r>
      <w:r>
        <w:rPr>
          <w:rFonts w:ascii="Arial" w:cs="Arial" w:eastAsia="Arial" w:hAnsi="Arial"/>
          <w:b/>
          <w:bCs/>
          <w:color w:val="1A1A1A"/>
          <w:sz w:val="21"/>
          <w:szCs w:val="21"/>
        </w:rPr>
        <w:t xml:space="preserve">보험을 상품이 아닌 "구조"로 정의하고, 사용자의 보장 상태에서 발생할 수 있는 위험 유형을 분류</w:t>
      </w:r>
      <w:r>
        <w:rPr>
          <w:rFonts w:ascii="Arial" w:cs="Arial" w:eastAsia="Arial" w:hAnsi="Arial"/>
          <w:color w:val="1A1A1A"/>
          <w:sz w:val="21"/>
          <w:szCs w:val="21"/>
        </w:rPr>
        <w:t xml:space="preserve">한다. Clark AI가 사용자의 보험 데이터를 AI 진단한 후, 해당 사용자가 어떤 위험 유형에 해당하는지를 판단하는 기준이 된다.</w:t>
      </w:r>
    </w:p>
    <w:p>
      <w:pPr>
        <w:spacing w:before="60" w:after="100" w:line="360"/>
      </w:pPr>
      <w:r>
        <w:rPr>
          <w:rFonts w:ascii="Arial" w:cs="Arial" w:eastAsia="Arial" w:hAnsi="Arial"/>
          <w:color w:val="1A1A1A"/>
          <w:sz w:val="21"/>
          <w:szCs w:val="21"/>
        </w:rPr>
        <w:t xml:space="preserve">각 Risk Type에는 리드 스코어가 배정되어, 보험 설계사가 선호하는 위험 유형에 가점을 부여하는 배정 최적화에도 활용된다. Risk Type은 담당자가 KC Admin을 통해 추가할 수 있다.</w:t>
      </w:r>
    </w:p>
    <w:p>
      <w:pPr>
        <w:spacing w:before="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위험 유형</w:t>
            </w:r>
          </w:p>
        </w:tc>
        <w:tc>
          <w:tcPr>
            <w:tcW w:type="dxa" w:w="6226"/>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설명</w:t>
            </w:r>
          </w:p>
        </w:tc>
      </w:tr>
      <w:tr>
        <w:tc>
          <w:tcPr>
            <w:tcW w:type="dxa" w:w="2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무보장형</w:t>
            </w:r>
          </w:p>
        </w:tc>
        <w:tc>
          <w:tcPr>
            <w:tcW w:type="dxa" w:w="62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실손보험을 포함한 기초적인 보장이 없는 경우</w:t>
            </w:r>
          </w:p>
        </w:tc>
      </w:tr>
      <w:tr>
        <w:tc>
          <w:tcPr>
            <w:tcW w:type="dxa" w:w="2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암투병생활비 부족형</w:t>
            </w:r>
          </w:p>
        </w:tc>
        <w:tc>
          <w:tcPr>
            <w:tcW w:type="dxa" w:w="62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암진단금 부족으로 암 발병 시 치료 지속이 어려워지는 경우</w:t>
            </w:r>
          </w:p>
        </w:tc>
      </w:tr>
      <w:tr>
        <w:tc>
          <w:tcPr>
            <w:tcW w:type="dxa" w:w="2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심혈관질환보장 협소형</w:t>
            </w:r>
          </w:p>
        </w:tc>
        <w:tc>
          <w:tcPr>
            <w:tcW w:type="dxa" w:w="62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협심증 보장은 있으나 허혈성 심장질환 보장이 없는 등 좁은 질병코드 상의 보장만 있는 경우</w:t>
            </w:r>
          </w:p>
        </w:tc>
      </w:tr>
      <w:tr>
        <w:tc>
          <w:tcPr>
            <w:tcW w:type="dxa" w:w="2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뇌혈관질환보장 협소형</w:t>
            </w:r>
          </w:p>
        </w:tc>
        <w:tc>
          <w:tcPr>
            <w:tcW w:type="dxa" w:w="62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뇌출혈 보장은 있으나 뇌졸중 보장이 없는 등 좁은 질병코드 상의 보장만 있는 경우</w:t>
            </w:r>
          </w:p>
        </w:tc>
      </w:tr>
      <w:tr>
        <w:tc>
          <w:tcPr>
            <w:tcW w:type="dxa" w:w="2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노후돌봄보장 공백형</w:t>
            </w:r>
          </w:p>
        </w:tc>
        <w:tc>
          <w:tcPr>
            <w:tcW w:type="dxa" w:w="62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간병/치매 보험 등 장수리스크 보장이 없는 경우</w:t>
            </w:r>
          </w:p>
        </w:tc>
      </w:tr>
      <w:tr>
        <w:tc>
          <w:tcPr>
            <w:tcW w:type="dxa" w:w="2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납입여력부족 우려형</w:t>
            </w:r>
          </w:p>
        </w:tc>
        <w:tc>
          <w:tcPr>
            <w:tcW w:type="dxa" w:w="62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갱신형 보험료가 과다하여 장기적으로 보장 유지가 어려운 경우</w:t>
            </w:r>
          </w:p>
        </w:tc>
      </w:tr>
      <w:tr>
        <w:tc>
          <w:tcPr>
            <w:tcW w:type="dxa" w:w="2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비용 대비 보장 비효율형</w:t>
            </w:r>
          </w:p>
        </w:tc>
        <w:tc>
          <w:tcPr>
            <w:tcW w:type="dxa" w:w="62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동일 보장이 여러 상품에서 중복 가입되거나 과다 보장을 받고 있는 경우</w:t>
            </w:r>
          </w:p>
        </w:tc>
      </w:tr>
      <w:tr>
        <w:tc>
          <w:tcPr>
            <w:tcW w:type="dxa" w:w="2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생애주기 적합도 저조형</w:t>
            </w:r>
          </w:p>
        </w:tc>
        <w:tc>
          <w:tcPr>
            <w:tcW w:type="dxa" w:w="62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부양가족이 있는 주소득원임에도 조기 사망 리스크 대비와 노후 자금 마련이 모두 부재한 경우</w:t>
            </w:r>
          </w:p>
        </w:tc>
      </w:tr>
    </w:tbl>
    <w:p>
      <w:pPr>
        <w:spacing w:before="60" w:after="100" w:line="360"/>
      </w:pPr>
      <w:r>
        <w:rPr>
          <w:rFonts w:ascii="Arial" w:cs="Arial" w:eastAsia="Arial" w:hAnsi="Arial"/>
          <w:i/>
          <w:iCs/>
          <w:color w:val="666666"/>
          <w:sz w:val="21"/>
          <w:szCs w:val="21"/>
        </w:rPr>
        <w:t xml:space="preserve">※ 위 유형은 초기 설계 기준이며, 담당자가 KC Admin을 통해 새로운 Risk Type을 추가할 수 있다.</w:t>
      </w:r>
    </w:p>
    <w:p>
      <w:pPr>
        <w:spacing w:before="0" w:after="0"/>
      </w:pPr>
    </w:p>
    <w:p>
      <w:pPr>
        <w:pStyle w:val="Heading3"/>
        <w:spacing w:before="240" w:after="120"/>
      </w:pPr>
      <w:r>
        <w:rPr>
          <w:rFonts w:ascii="Arial" w:cs="Arial" w:eastAsia="Arial" w:hAnsi="Arial"/>
          <w:b/>
          <w:bCs/>
          <w:color w:val="2E75B6"/>
          <w:sz w:val="22"/>
          <w:szCs w:val="22"/>
        </w:rPr>
        <w:t xml:space="preserve">③ Rule 카드 (리스크 평가 계층)</w:t>
      </w:r>
    </w:p>
    <w:p>
      <w:pPr>
        <w:spacing w:before="60" w:after="100" w:line="360"/>
      </w:pPr>
      <w:r>
        <w:rPr>
          <w:rFonts w:ascii="Arial" w:cs="Arial" w:eastAsia="Arial" w:hAnsi="Arial"/>
          <w:color w:val="1A1A1A"/>
          <w:sz w:val="21"/>
          <w:szCs w:val="21"/>
        </w:rPr>
        <w:t xml:space="preserve">Rule 카드는 </w:t>
      </w:r>
      <w:r>
        <w:rPr>
          <w:rFonts w:ascii="Arial" w:cs="Arial" w:eastAsia="Arial" w:hAnsi="Arial"/>
          <w:b/>
          <w:bCs/>
          <w:color w:val="1A1A1A"/>
          <w:sz w:val="21"/>
          <w:szCs w:val="21"/>
        </w:rPr>
        <w:t xml:space="preserve">"보닥만의 판단 기준"을 구축하는 카드</w:t>
      </w:r>
      <w:r>
        <w:rPr>
          <w:rFonts w:ascii="Arial" w:cs="Arial" w:eastAsia="Arial" w:hAnsi="Arial"/>
          <w:color w:val="1A1A1A"/>
          <w:sz w:val="21"/>
          <w:szCs w:val="21"/>
        </w:rPr>
        <w:t xml:space="preserve">로, Clark AI의 AI 진단 핵심 로직이다. 각 Risk Type에 대해 "어떤 조건일 때 해당 위험 유형으로 판단하는가"의 구체적인 기준값을 정의한다. 담당자가 KC Admin에서 마이데이터 규격 및 질병코드를 혼합하여 기준을 설정한다.</w:t>
      </w:r>
    </w:p>
    <w:p>
      <w:pPr>
        <w:spacing w:before="0" w:after="0"/>
      </w:pPr>
    </w:p>
    <w:p>
      <w:pPr>
        <w:spacing w:before="60" w:after="100" w:line="360"/>
      </w:pPr>
      <w:r>
        <w:rPr>
          <w:rFonts w:ascii="Arial" w:cs="Arial" w:eastAsia="Arial" w:hAnsi="Arial"/>
          <w:b/>
          <w:bCs/>
          <w:color w:val="1B3A5C"/>
          <w:sz w:val="21"/>
          <w:szCs w:val="21"/>
        </w:rPr>
        <w:t xml:space="preserve">Rule 카드 예시: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대상 Risk Type</w:t>
            </w:r>
          </w:p>
        </w:tc>
        <w:tc>
          <w:tcPr>
            <w:tcW w:type="dxa" w:w="6226"/>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Rule 예시</w:t>
            </w:r>
          </w:p>
        </w:tc>
      </w:tr>
      <w:tr>
        <w:tc>
          <w:tcPr>
            <w:tcW w:type="dxa" w:w="2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암투병생활비 부족형</w:t>
            </w:r>
          </w:p>
        </w:tc>
        <w:tc>
          <w:tcPr>
            <w:tcW w:type="dxa" w:w="6226"/>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spacing w:after="40"/>
            </w:pPr>
            <w:r>
              <w:rPr>
                <w:rFonts w:ascii="Arial" w:cs="Arial" w:eastAsia="Arial" w:hAnsi="Arial"/>
                <w:color w:val="1A1A1A"/>
                <w:sz w:val="19"/>
                <w:szCs w:val="19"/>
              </w:rPr>
              <w:t xml:space="preserve">– 40대 남성 암 진단금 5천만 원 미만 → "공백" 문제 경고</w:t>
            </w:r>
          </w:p>
          <w:p>
            <w:pPr>
              <w:spacing w:after="0"/>
            </w:pPr>
            <w:r>
              <w:rPr>
                <w:rFonts w:ascii="Arial" w:cs="Arial" w:eastAsia="Arial" w:hAnsi="Arial"/>
                <w:color w:val="1A1A1A"/>
                <w:sz w:val="19"/>
                <w:szCs w:val="19"/>
              </w:rPr>
              <w:t xml:space="preserve">– 뇌출혈 보장 보유, 뇌졸중 보장 미보유 → "구조" 문제 경고</w:t>
            </w:r>
          </w:p>
        </w:tc>
      </w:tr>
      <w:tr>
        <w:tc>
          <w:tcPr>
            <w:tcW w:type="dxa" w:w="2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납입여력부족 우려형</w:t>
            </w:r>
          </w:p>
        </w:tc>
        <w:tc>
          <w:tcPr>
            <w:tcW w:type="dxa" w:w="6226"/>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spacing w:after="40"/>
            </w:pPr>
            <w:r>
              <w:rPr>
                <w:rFonts w:ascii="Arial" w:cs="Arial" w:eastAsia="Arial" w:hAnsi="Arial"/>
                <w:color w:val="1A1A1A"/>
                <w:sz w:val="19"/>
                <w:szCs w:val="19"/>
              </w:rPr>
              <w:t xml:space="preserve">– 갱신형 담보 비율 70% 이상 → "납입 여력" 문제 경고</w:t>
            </w:r>
          </w:p>
          <w:p>
            <w:pPr>
              <w:spacing w:after="0"/>
            </w:pPr>
            <w:r>
              <w:rPr>
                <w:rFonts w:ascii="Arial" w:cs="Arial" w:eastAsia="Arial" w:hAnsi="Arial"/>
                <w:color w:val="1A1A1A"/>
                <w:sz w:val="19"/>
                <w:szCs w:val="19"/>
              </w:rPr>
              <w:t xml:space="preserve">– 60세 이후 보험료 증가 예상치 계산</w:t>
            </w:r>
          </w:p>
        </w:tc>
      </w:tr>
      <w:tr>
        <w:tc>
          <w:tcPr>
            <w:tcW w:type="dxa" w:w="2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비용 대비 보장 비효율형</w:t>
            </w:r>
          </w:p>
        </w:tc>
        <w:tc>
          <w:tcPr>
            <w:tcW w:type="dxa" w:w="6226"/>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spacing w:after="40"/>
            </w:pPr>
            <w:r>
              <w:rPr>
                <w:rFonts w:ascii="Arial" w:cs="Arial" w:eastAsia="Arial" w:hAnsi="Arial"/>
                <w:color w:val="1A1A1A"/>
                <w:sz w:val="19"/>
                <w:szCs w:val="19"/>
              </w:rPr>
              <w:t xml:space="preserve">– 월 보험료 대비 주요 질병 보장 비율 분석</w:t>
            </w:r>
          </w:p>
          <w:p>
            <w:pPr>
              <w:spacing w:after="0"/>
            </w:pPr>
            <w:r>
              <w:rPr>
                <w:rFonts w:ascii="Arial" w:cs="Arial" w:eastAsia="Arial" w:hAnsi="Arial"/>
                <w:color w:val="1A1A1A"/>
                <w:sz w:val="19"/>
                <w:szCs w:val="19"/>
              </w:rPr>
              <w:t xml:space="preserve">– 동일 연령 평균 대비 비교(보닥 서버 내 마이데이터 통계 활용)</w:t>
            </w:r>
          </w:p>
        </w:tc>
      </w:tr>
    </w:tbl>
    <w:p>
      <w:pPr>
        <w:spacing w:before="0" w:after="0"/>
      </w:pPr>
    </w:p>
    <w:p>
      <w:pPr>
        <w:pStyle w:val="Heading3"/>
        <w:spacing w:before="240" w:after="120"/>
      </w:pPr>
      <w:r>
        <w:rPr>
          <w:rFonts w:ascii="Arial" w:cs="Arial" w:eastAsia="Arial" w:hAnsi="Arial"/>
          <w:b/>
          <w:bCs/>
          <w:color w:val="2E75B6"/>
          <w:sz w:val="22"/>
          <w:szCs w:val="22"/>
        </w:rPr>
        <w:t xml:space="preserve">④ Evidence 카드 (Rule 설정의 근거 계층)</w:t>
      </w:r>
    </w:p>
    <w:p>
      <w:pPr>
        <w:spacing w:before="60" w:after="100" w:line="360"/>
      </w:pPr>
      <w:r>
        <w:rPr>
          <w:rFonts w:ascii="Arial" w:cs="Arial" w:eastAsia="Arial" w:hAnsi="Arial"/>
          <w:color w:val="1A1A1A"/>
          <w:sz w:val="21"/>
          <w:szCs w:val="21"/>
        </w:rPr>
        <w:t xml:space="preserve">Evidence 카드는 Rule 카드와 별도의 독립 카드로, </w:t>
      </w:r>
      <w:r>
        <w:rPr>
          <w:rFonts w:ascii="Arial" w:cs="Arial" w:eastAsia="Arial" w:hAnsi="Arial"/>
          <w:b/>
          <w:bCs/>
          <w:color w:val="1A1A1A"/>
          <w:sz w:val="21"/>
          <w:szCs w:val="21"/>
        </w:rPr>
        <w:t xml:space="preserve">Rule을 설정할 때 참조하는 데이터 근거의 출처와 활용 방법을 정의</w:t>
      </w:r>
      <w:r>
        <w:rPr>
          <w:rFonts w:ascii="Arial" w:cs="Arial" w:eastAsia="Arial" w:hAnsi="Arial"/>
          <w:color w:val="1A1A1A"/>
          <w:sz w:val="21"/>
          <w:szCs w:val="21"/>
        </w:rPr>
        <w:t xml:space="preserve">한다. 또한 Clark AI가 사용자에게 특정 Risk Type에 해당하는 이유를 설명할 때도 참조된다.</w:t>
      </w:r>
    </w:p>
    <w:p>
      <w:pPr>
        <w:spacing w:before="0" w:after="0"/>
      </w:pPr>
    </w:p>
    <w:p>
      <w:pPr>
        <w:spacing w:before="60" w:after="100" w:line="360"/>
      </w:pPr>
      <w:r>
        <w:rPr>
          <w:rFonts w:ascii="Arial" w:cs="Arial" w:eastAsia="Arial" w:hAnsi="Arial"/>
          <w:b/>
          <w:bCs/>
          <w:color w:val="1B3A5C"/>
          <w:sz w:val="21"/>
          <w:szCs w:val="21"/>
        </w:rPr>
        <w:t xml:space="preserve">현재 활용 가능한 Evidence 유형:</w:t>
      </w:r>
    </w:p>
    <w:p>
      <w:pPr>
        <w:pStyle w:val="ListParagraph"/>
        <w:numPr>
          <w:ilvl w:val="0"/>
          <w:numId w:val="2"/>
        </w:numPr>
        <w:spacing w:before="40" w:after="40" w:line="340"/>
      </w:pPr>
      <w:r>
        <w:rPr>
          <w:rFonts w:ascii="Arial" w:cs="Arial" w:eastAsia="Arial" w:hAnsi="Arial"/>
          <w:b/>
          <w:bCs/>
          <w:color w:val="1A1A1A"/>
          <w:sz w:val="21"/>
          <w:szCs w:val="21"/>
        </w:rPr>
        <w:t xml:space="preserve">마이데이터(보험자기신용정보): </w:t>
      </w:r>
      <w:r>
        <w:rPr>
          <w:rFonts w:ascii="Arial" w:cs="Arial" w:eastAsia="Arial" w:hAnsi="Arial"/>
          <w:color w:val="1A1A1A"/>
          <w:sz w:val="21"/>
          <w:szCs w:val="21"/>
        </w:rPr>
        <w:t xml:space="preserve">한국신용정보원 ICIS 데이터 또는 보험가입증권 이미지 등을 통해 수집된 사용자의 보험 계약 정보</w:t>
      </w:r>
    </w:p>
    <w:p>
      <w:pPr>
        <w:pStyle w:val="ListParagraph"/>
        <w:numPr>
          <w:ilvl w:val="0"/>
          <w:numId w:val="3"/>
        </w:numPr>
        <w:spacing w:before="40" w:after="40" w:line="340"/>
      </w:pPr>
      <w:r>
        <w:rPr>
          <w:rFonts w:ascii="Arial" w:cs="Arial" w:eastAsia="Arial" w:hAnsi="Arial"/>
          <w:b/>
          <w:bCs/>
          <w:color w:val="1A1A1A"/>
          <w:sz w:val="21"/>
          <w:szCs w:val="21"/>
        </w:rPr>
        <w:t xml:space="preserve">보닥 서버 내 마이데이터 통계 정보: </w:t>
      </w:r>
      <w:r>
        <w:rPr>
          <w:rFonts w:ascii="Arial" w:cs="Arial" w:eastAsia="Arial" w:hAnsi="Arial"/>
          <w:color w:val="1A1A1A"/>
          <w:sz w:val="21"/>
          <w:szCs w:val="21"/>
        </w:rPr>
        <w:t xml:space="preserve">보닥 사용자 전체의 보장 통계를 기반으로 한 연령별/성별 평균 비교 데이터</w:t>
      </w:r>
    </w:p>
    <w:p>
      <w:pPr>
        <w:pStyle w:val="ListParagraph"/>
        <w:numPr>
          <w:ilvl w:val="0"/>
          <w:numId w:val="4"/>
        </w:numPr>
        <w:spacing w:before="40" w:after="40" w:line="340"/>
      </w:pPr>
      <w:r>
        <w:rPr>
          <w:rFonts w:ascii="Arial" w:cs="Arial" w:eastAsia="Arial" w:hAnsi="Arial"/>
          <w:b/>
          <w:bCs/>
          <w:color w:val="1A1A1A"/>
          <w:sz w:val="21"/>
          <w:szCs w:val="21"/>
        </w:rPr>
        <w:t xml:space="preserve">질병코드: </w:t>
      </w:r>
      <w:r>
        <w:rPr>
          <w:rFonts w:ascii="Arial" w:cs="Arial" w:eastAsia="Arial" w:hAnsi="Arial"/>
          <w:color w:val="1A1A1A"/>
          <w:sz w:val="21"/>
          <w:szCs w:val="21"/>
        </w:rPr>
        <w:t xml:space="preserve">보장 범위의 넓고 좁음을 판단하는 기준 (예: 뇌출혈 vs 뇌졸중 질병코드 범위 차이)</w:t>
      </w:r>
    </w:p>
    <w:p>
      <w:pPr>
        <w:spacing w:before="0" w:after="0"/>
      </w:pPr>
    </w:p>
    <w:p>
      <w:pPr>
        <w:pStyle w:val="Heading3"/>
        <w:spacing w:before="240" w:after="120"/>
      </w:pPr>
      <w:r>
        <w:rPr>
          <w:rFonts w:ascii="Arial" w:cs="Arial" w:eastAsia="Arial" w:hAnsi="Arial"/>
          <w:b/>
          <w:bCs/>
          <w:color w:val="2E75B6"/>
          <w:sz w:val="22"/>
          <w:szCs w:val="22"/>
        </w:rPr>
        <w:t xml:space="preserve">⑤ Playbook 카드 (개입 우선순위 계층)</w:t>
      </w:r>
    </w:p>
    <w:p>
      <w:pPr>
        <w:spacing w:before="60" w:after="100" w:line="360"/>
      </w:pPr>
      <w:r>
        <w:rPr>
          <w:rFonts w:ascii="Arial" w:cs="Arial" w:eastAsia="Arial" w:hAnsi="Arial"/>
          <w:color w:val="1A1A1A"/>
          <w:sz w:val="21"/>
          <w:szCs w:val="21"/>
        </w:rPr>
        <w:t xml:space="preserve">Playbook 카드는 </w:t>
      </w:r>
      <w:r>
        <w:rPr>
          <w:rFonts w:ascii="Arial" w:cs="Arial" w:eastAsia="Arial" w:hAnsi="Arial"/>
          <w:b/>
          <w:bCs/>
          <w:color w:val="1A1A1A"/>
          <w:sz w:val="21"/>
          <w:szCs w:val="21"/>
        </w:rPr>
        <w:t xml:space="preserve">Clark AI가 인간 설계사의 개입 시점을 판단하여 리드를 전환·배정하는 방법을 정의</w:t>
      </w:r>
      <w:r>
        <w:rPr>
          <w:rFonts w:ascii="Arial" w:cs="Arial" w:eastAsia="Arial" w:hAnsi="Arial"/>
          <w:color w:val="1A1A1A"/>
          <w:sz w:val="21"/>
          <w:szCs w:val="21"/>
        </w:rPr>
        <w:t xml:space="preserve">한다. 총 세 가지 레이어로 구성된다.</w:t>
      </w:r>
    </w:p>
    <w:p>
      <w:pPr>
        <w:spacing w:before="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레이어</w:t>
            </w:r>
          </w:p>
        </w:tc>
        <w:tc>
          <w:tcPr>
            <w:tcW w:type="dxa" w:w="6626"/>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역할</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리드 전환 레이어</w:t>
            </w:r>
          </w:p>
        </w:tc>
        <w:tc>
          <w:tcPr>
            <w:tcW w:type="dxa" w:w="6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"이제 어떻게 해야 해?", "보험 추천해줘" 등의 발화가 감지되면 보닥플래너에게 리드를 전환한다.</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리드 스코어링 레이어</w:t>
            </w:r>
          </w:p>
        </w:tc>
        <w:tc>
          <w:tcPr>
            <w:tcW w:type="dxa" w:w="6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Risk Type 스코어 + 상담 희망 유형 스코어를 합산하여 총 리드 스코어를 산출한다.</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배정 최적화 레이어</w:t>
            </w:r>
          </w:p>
        </w:tc>
        <w:tc>
          <w:tcPr>
            <w:tcW w:type="dxa" w:w="6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리드 스코어에 따라 First Connect를 통해 성적 우수 설계사에 리드를 배정하고, 미 컨택 시 회수 및 차순위 재배정한다.</w:t>
            </w:r>
          </w:p>
        </w:tc>
      </w:tr>
    </w:tbl>
    <w:p>
      <w:pPr>
        <w:spacing w:before="0" w:after="0"/>
      </w:pPr>
    </w:p>
    <w:p>
      <w:pPr>
        <w:pStyle w:val="Heading3"/>
        <w:spacing w:before="240" w:after="120"/>
      </w:pPr>
      <w:r>
        <w:rPr>
          <w:rFonts w:ascii="Arial" w:cs="Arial" w:eastAsia="Arial" w:hAnsi="Arial"/>
          <w:b/>
          <w:bCs/>
          <w:color w:val="2E75B6"/>
          <w:sz w:val="22"/>
          <w:szCs w:val="22"/>
        </w:rPr>
        <w:t xml:space="preserve">⑥ Policy 카드 (최종 출력 통제 계층)</w:t>
      </w:r>
    </w:p>
    <w:p>
      <w:pPr>
        <w:spacing w:before="60" w:after="100" w:line="360"/>
      </w:pPr>
      <w:r>
        <w:rPr>
          <w:rFonts w:ascii="Arial" w:cs="Arial" w:eastAsia="Arial" w:hAnsi="Arial"/>
          <w:color w:val="1A1A1A"/>
          <w:sz w:val="21"/>
          <w:szCs w:val="21"/>
        </w:rPr>
        <w:t xml:space="preserve">Policy 카드는 </w:t>
      </w:r>
      <w:r>
        <w:rPr>
          <w:rFonts w:ascii="Arial" w:cs="Arial" w:eastAsia="Arial" w:hAnsi="Arial"/>
          <w:b/>
          <w:bCs/>
          <w:color w:val="1A1A1A"/>
          <w:sz w:val="21"/>
          <w:szCs w:val="21"/>
        </w:rPr>
        <w:t xml:space="preserve">Clark AI의 최종 출력을 규제 범위 내에서 통제하는 안전장치</w:t>
      </w:r>
      <w:r>
        <w:rPr>
          <w:rFonts w:ascii="Arial" w:cs="Arial" w:eastAsia="Arial" w:hAnsi="Arial"/>
          <w:color w:val="1A1A1A"/>
          <w:sz w:val="21"/>
          <w:szCs w:val="21"/>
        </w:rPr>
        <w:t xml:space="preserve">이다. Clark AI가 생성한 답변이 금융소비자보호법, 보험업법, 기타 보험산업 내 AI 관련 규제 사항에 저촉되지 않는지를 검증하는 레이어이다. 내부 법무검토 문서도 Policy 카드에 포함된다.</w:t>
      </w:r>
    </w:p>
    <w:p>
      <w:pPr>
        <w:spacing w:before="0" w:after="0"/>
      </w:pPr>
    </w:p>
    <w:p>
      <w:pPr>
        <w:pStyle w:val="Heading3"/>
        <w:spacing w:before="240" w:after="120"/>
      </w:pPr>
      <w:r>
        <w:rPr>
          <w:rFonts w:ascii="Arial" w:cs="Arial" w:eastAsia="Arial" w:hAnsi="Arial"/>
          <w:b/>
          <w:bCs/>
          <w:color w:val="2E75B6"/>
          <w:sz w:val="22"/>
          <w:szCs w:val="22"/>
        </w:rPr>
        <w:t xml:space="preserve">⑦ Case 카드 (피드백 루프 계층, +1종)</w:t>
      </w:r>
    </w:p>
    <w:p>
      <w:pPr>
        <w:spacing w:before="60" w:after="100" w:line="360"/>
      </w:pPr>
      <w:r>
        <w:rPr>
          <w:rFonts w:ascii="Arial" w:cs="Arial" w:eastAsia="Arial" w:hAnsi="Arial"/>
          <w:color w:val="1A1A1A"/>
          <w:sz w:val="21"/>
          <w:szCs w:val="21"/>
        </w:rPr>
        <w:t xml:space="preserve">Case 카드는 </w:t>
      </w:r>
      <w:r>
        <w:rPr>
          <w:rFonts w:ascii="Arial" w:cs="Arial" w:eastAsia="Arial" w:hAnsi="Arial"/>
          <w:b/>
          <w:bCs/>
          <w:color w:val="1A1A1A"/>
          <w:sz w:val="21"/>
          <w:szCs w:val="21"/>
        </w:rPr>
        <w:t xml:space="preserve">Clark AI와 사용자 간 대화에서 리드 전환에 성공한 케이스를 축적하는 카드</w:t>
      </w:r>
      <w:r>
        <w:rPr>
          <w:rFonts w:ascii="Arial" w:cs="Arial" w:eastAsia="Arial" w:hAnsi="Arial"/>
          <w:color w:val="1A1A1A"/>
          <w:sz w:val="21"/>
          <w:szCs w:val="21"/>
        </w:rPr>
        <w:t xml:space="preserve">이다. 축적될수록 Clark AI의 AI 진단 품질이 개선되며, 우수 케이스는 보험 설계사에게도 노출하여 상담 품질 개선에 활용한다.</w:t>
      </w:r>
    </w:p>
    <w:p>
      <w:pPr>
        <w:spacing w:before="60" w:after="100" w:line="360"/>
      </w:pPr>
      <w:r>
        <w:rPr>
          <w:rFonts w:ascii="Arial" w:cs="Arial" w:eastAsia="Arial" w:hAnsi="Arial"/>
          <w:b/>
          <w:bCs/>
          <w:color w:val="1A1A1A"/>
          <w:sz w:val="21"/>
          <w:szCs w:val="21"/>
        </w:rPr>
        <w:t xml:space="preserve">생성 방식: </w:t>
      </w:r>
      <w:r>
        <w:rPr>
          <w:rFonts w:ascii="Arial" w:cs="Arial" w:eastAsia="Arial" w:hAnsi="Arial"/>
          <w:color w:val="1A1A1A"/>
          <w:sz w:val="21"/>
          <w:szCs w:val="21"/>
        </w:rPr>
        <w:t xml:space="preserve">Clark AI가 리드 전환 성공으로 판단한 케이스를 자동으로 태깅하고, 담당자(Aron)와 검수자(Eric)가 최종 저장 여부를 결정하는 반자동 방식으로 운영한다. 상세한 워크플로우는 3장(KC Admin 기능 정의)에서 다룬다.</w:t>
      </w:r>
    </w:p>
    <w:p>
      <w:pPr>
        <w:spacing w:before="60" w:after="100" w:line="360"/>
      </w:pPr>
      <w:r>
        <w:rPr>
          <w:rFonts w:ascii="Arial" w:cs="Arial" w:eastAsia="Arial" w:hAnsi="Arial"/>
          <w:b/>
          <w:bCs/>
          <w:color w:val="1A1A1A"/>
          <w:sz w:val="21"/>
          <w:szCs w:val="21"/>
        </w:rPr>
        <w:t xml:space="preserve">노출 정책: </w:t>
      </w:r>
      <w:r>
        <w:rPr>
          <w:rFonts w:ascii="Arial" w:cs="Arial" w:eastAsia="Arial" w:hAnsi="Arial"/>
          <w:color w:val="1A1A1A"/>
          <w:sz w:val="21"/>
          <w:szCs w:val="21"/>
        </w:rPr>
        <w:t xml:space="preserve">Case 카드는 원본 대화 데이터(개인정보 포함)와 패턴화된 성공 시나리오 요약본을 분리하여 관리한다. 원본은 Internal(담당자 Aron/Eric만 접근), 요약본은 설계사 교육용 및 Clark AI 학습용으로 활용한다.</w:t>
      </w:r>
    </w:p>
    <w:p>
      <w:pPr>
        <w:spacing w:before="0" w:after="0"/>
      </w:pPr>
    </w:p>
    <w:p>
      <w:r>
        <w:br w:type="page"/>
      </w:r>
    </w:p>
    <w:p>
      <w:pPr>
        <w:pStyle w:val="Heading2"/>
        <w:spacing w:before="300" w:after="160"/>
      </w:pPr>
      <w:r>
        <w:rPr>
          <w:rFonts w:ascii="Arial" w:cs="Arial" w:eastAsia="Arial" w:hAnsi="Arial"/>
          <w:b/>
          <w:bCs/>
          <w:color w:val="1B3A5C"/>
          <w:sz w:val="26"/>
          <w:szCs w:val="26"/>
        </w:rPr>
        <w:t xml:space="preserve">2-3. 카드 간 참조 흐름</w:t>
      </w:r>
    </w:p>
    <w:p>
      <w:pPr>
        <w:spacing w:before="0" w:after="0"/>
      </w:pPr>
    </w:p>
    <w:p>
      <w:pPr>
        <w:spacing w:before="60" w:after="100" w:line="360"/>
      </w:pPr>
      <w:r>
        <w:rPr>
          <w:rFonts w:ascii="Arial" w:cs="Arial" w:eastAsia="Arial" w:hAnsi="Arial"/>
          <w:color w:val="1A1A1A"/>
          <w:sz w:val="21"/>
          <w:szCs w:val="21"/>
        </w:rPr>
        <w:t xml:space="preserve">KC 카드는 독립적으로 존재하지 않고, 카드 간 참조 관계를 통해 하나의 의미 경계(Meaning Layer)를 형성한다. 이 참조 구조가 Clark AI의 출력을 통제하는 핵심 메커니즘이다.</w:t>
      </w:r>
    </w:p>
    <w:p>
      <w:pPr>
        <w:spacing w:before="0" w:after="0"/>
      </w:pPr>
    </w:p>
    <w:p>
      <w:pPr>
        <w:pStyle w:val="Heading3"/>
        <w:spacing w:before="240" w:after="120"/>
      </w:pPr>
      <w:r>
        <w:rPr>
          <w:rFonts w:ascii="Arial" w:cs="Arial" w:eastAsia="Arial" w:hAnsi="Arial"/>
          <w:b/>
          <w:bCs/>
          <w:color w:val="2E75B6"/>
          <w:sz w:val="22"/>
          <w:szCs w:val="22"/>
        </w:rPr>
        <w:t xml:space="preserve">메인 참조 흐름 (단방향 체이닝)</w:t>
      </w:r>
    </w:p>
    <w:p>
      <w:pPr>
        <w:spacing w:before="60" w:after="100" w:line="360"/>
      </w:pPr>
      <w:r>
        <w:rPr>
          <w:rFonts w:ascii="Arial" w:cs="Arial" w:eastAsia="Arial" w:hAnsi="Arial"/>
          <w:color w:val="1A1A1A"/>
          <w:sz w:val="21"/>
          <w:szCs w:val="21"/>
        </w:rPr>
        <w:t xml:space="preserve">Clark AI가 사용자의 보험 데이터를 AI 진단할 때, 카드 참조는 다음 순서로 흐른다:</w:t>
      </w:r>
    </w:p>
    <w:p>
      <w:pPr>
        <w:spacing w:before="0" w:after="0"/>
      </w:pPr>
    </w:p>
    <w:p>
      <w:pPr>
        <w:spacing w:before="60" w:after="100" w:line="360"/>
      </w:pPr>
      <w:r>
        <w:rPr>
          <w:rFonts w:ascii="Arial" w:cs="Arial" w:eastAsia="Arial" w:hAnsi="Arial"/>
          <w:b/>
          <w:bCs/>
          <w:color w:val="2E75B6"/>
          <w:sz w:val="21"/>
          <w:szCs w:val="21"/>
        </w:rPr>
        <w:t xml:space="preserve">Definition</w:t>
      </w:r>
      <w:r>
        <w:rPr>
          <w:rFonts w:ascii="Arial" w:cs="Arial" w:eastAsia="Arial" w:hAnsi="Arial"/>
          <w:b/>
          <w:bCs/>
          <w:color w:val="1A1A1A"/>
          <w:sz w:val="21"/>
          <w:szCs w:val="21"/>
        </w:rPr>
        <w:t xml:space="preserve"> → </w:t>
      </w:r>
      <w:r>
        <w:rPr>
          <w:rFonts w:ascii="Arial" w:cs="Arial" w:eastAsia="Arial" w:hAnsi="Arial"/>
          <w:b/>
          <w:bCs/>
          <w:color w:val="2E75B6"/>
          <w:sz w:val="21"/>
          <w:szCs w:val="21"/>
        </w:rPr>
        <w:t xml:space="preserve">Risk Type</w:t>
      </w:r>
      <w:r>
        <w:rPr>
          <w:rFonts w:ascii="Arial" w:cs="Arial" w:eastAsia="Arial" w:hAnsi="Arial"/>
          <w:b/>
          <w:bCs/>
          <w:color w:val="1A1A1A"/>
          <w:sz w:val="21"/>
          <w:szCs w:val="21"/>
        </w:rPr>
        <w:t xml:space="preserve"> → </w:t>
      </w:r>
      <w:r>
        <w:rPr>
          <w:rFonts w:ascii="Arial" w:cs="Arial" w:eastAsia="Arial" w:hAnsi="Arial"/>
          <w:b/>
          <w:bCs/>
          <w:color w:val="2E75B6"/>
          <w:sz w:val="21"/>
          <w:szCs w:val="21"/>
        </w:rPr>
        <w:t xml:space="preserve">Rule</w:t>
      </w:r>
      <w:r>
        <w:rPr>
          <w:rFonts w:ascii="Arial" w:cs="Arial" w:eastAsia="Arial" w:hAnsi="Arial"/>
          <w:b/>
          <w:bCs/>
          <w:color w:val="1A1A1A"/>
          <w:sz w:val="21"/>
          <w:szCs w:val="21"/>
        </w:rPr>
        <w:t xml:space="preserve"> → </w:t>
      </w:r>
      <w:r>
        <w:rPr>
          <w:rFonts w:ascii="Arial" w:cs="Arial" w:eastAsia="Arial" w:hAnsi="Arial"/>
          <w:b/>
          <w:bCs/>
          <w:color w:val="2E75B6"/>
          <w:sz w:val="21"/>
          <w:szCs w:val="21"/>
        </w:rPr>
        <w:t xml:space="preserve">Evidence</w:t>
      </w:r>
      <w:r>
        <w:rPr>
          <w:rFonts w:ascii="Arial" w:cs="Arial" w:eastAsia="Arial" w:hAnsi="Arial"/>
          <w:b/>
          <w:bCs/>
          <w:color w:val="1A1A1A"/>
          <w:sz w:val="21"/>
          <w:szCs w:val="21"/>
        </w:rPr>
        <w:t xml:space="preserve"> → </w:t>
      </w:r>
      <w:r>
        <w:rPr>
          <w:rFonts w:ascii="Arial" w:cs="Arial" w:eastAsia="Arial" w:hAnsi="Arial"/>
          <w:b/>
          <w:bCs/>
          <w:color w:val="2E75B6"/>
          <w:sz w:val="21"/>
          <w:szCs w:val="21"/>
        </w:rPr>
        <w:t xml:space="preserve">Policy</w:t>
      </w:r>
    </w:p>
    <w:p>
      <w:pPr>
        <w:spacing w:before="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26"/>
      </w:tblGrid>
      <w:tr>
        <w:tc>
          <w:tcPr>
            <w:tcW w:type="dxa" w:w="14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순서</w:t>
            </w:r>
          </w:p>
        </w:tc>
        <w:tc>
          <w:tcPr>
            <w:tcW w:type="dxa" w:w="32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카드</w:t>
            </w:r>
          </w:p>
        </w:tc>
        <w:tc>
          <w:tcPr>
            <w:tcW w:type="dxa" w:w="4426"/>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역할</w:t>
            </w:r>
          </w:p>
        </w:tc>
      </w:tr>
      <w:tr>
        <w:tc>
          <w:tcPr>
            <w:tcW w:type="dxa" w:w="1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1</w:t>
            </w:r>
          </w:p>
        </w:tc>
        <w:tc>
          <w:tcPr>
            <w:tcW w:type="dxa" w:w="32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2E75B6"/>
                <w:sz w:val="19"/>
                <w:szCs w:val="19"/>
              </w:rPr>
              <w:t xml:space="preserve">Definition</w:t>
            </w:r>
          </w:p>
        </w:tc>
        <w:tc>
          <w:tcPr>
            <w:tcW w:type="dxa" w:w="44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사용자의 질문 의도를 이해하고 용어를 정확히 매칭</w:t>
            </w:r>
          </w:p>
        </w:tc>
      </w:tr>
      <w:tr>
        <w:tc>
          <w:tcPr>
            <w:tcW w:type="dxa" w:w="1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2</w:t>
            </w:r>
          </w:p>
        </w:tc>
        <w:tc>
          <w:tcPr>
            <w:tcW w:type="dxa" w:w="32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2E75B6"/>
                <w:sz w:val="19"/>
                <w:szCs w:val="19"/>
              </w:rPr>
              <w:t xml:space="preserve">Risk Type</w:t>
            </w:r>
          </w:p>
        </w:tc>
        <w:tc>
          <w:tcPr>
            <w:tcW w:type="dxa" w:w="44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사용자의 보장 상태에서 해당하는 위험 유형을 진단</w:t>
            </w:r>
          </w:p>
        </w:tc>
      </w:tr>
      <w:tr>
        <w:tc>
          <w:tcPr>
            <w:tcW w:type="dxa" w:w="1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3</w:t>
            </w:r>
          </w:p>
        </w:tc>
        <w:tc>
          <w:tcPr>
            <w:tcW w:type="dxa" w:w="32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2E75B6"/>
                <w:sz w:val="19"/>
                <w:szCs w:val="19"/>
              </w:rPr>
              <w:t xml:space="preserve">Rule</w:t>
            </w:r>
          </w:p>
        </w:tc>
        <w:tc>
          <w:tcPr>
            <w:tcW w:type="dxa" w:w="44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해당 Risk Type의 구체적 판단 기준값을 참조하여 진단 근거를 생성</w:t>
            </w:r>
          </w:p>
        </w:tc>
      </w:tr>
      <w:tr>
        <w:tc>
          <w:tcPr>
            <w:tcW w:type="dxa" w:w="1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4</w:t>
            </w:r>
          </w:p>
        </w:tc>
        <w:tc>
          <w:tcPr>
            <w:tcW w:type="dxa" w:w="32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2E75B6"/>
                <w:sz w:val="19"/>
                <w:szCs w:val="19"/>
              </w:rPr>
              <w:t xml:space="preserve">Evidence</w:t>
            </w:r>
          </w:p>
        </w:tc>
        <w:tc>
          <w:tcPr>
            <w:tcW w:type="dxa" w:w="44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Rule이 참조한 데이터 근거를 통해 진단의 당위성을 설명</w:t>
            </w:r>
          </w:p>
        </w:tc>
      </w:tr>
      <w:tr>
        <w:tc>
          <w:tcPr>
            <w:tcW w:type="dxa" w:w="1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5</w:t>
            </w:r>
          </w:p>
        </w:tc>
        <w:tc>
          <w:tcPr>
            <w:tcW w:type="dxa" w:w="32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2E75B6"/>
                <w:sz w:val="19"/>
                <w:szCs w:val="19"/>
              </w:rPr>
              <w:t xml:space="preserve">Policy</w:t>
            </w:r>
          </w:p>
        </w:tc>
        <w:tc>
          <w:tcPr>
            <w:tcW w:type="dxa" w:w="44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최종 답변이 규제 범위를 벗어나지 않는지 검증 후 출력</w:t>
            </w:r>
          </w:p>
        </w:tc>
      </w:tr>
    </w:tbl>
    <w:p>
      <w:pPr>
        <w:spacing w:before="0" w:after="0"/>
      </w:pPr>
    </w:p>
    <w:p>
      <w:pPr>
        <w:pStyle w:val="Heading3"/>
        <w:spacing w:before="240" w:after="120"/>
      </w:pPr>
      <w:r>
        <w:rPr>
          <w:rFonts w:ascii="Arial" w:cs="Arial" w:eastAsia="Arial" w:hAnsi="Arial"/>
          <w:b/>
          <w:bCs/>
          <w:color w:val="2E75B6"/>
          <w:sz w:val="22"/>
          <w:szCs w:val="22"/>
        </w:rPr>
        <w:t xml:space="preserve">병렬 및 피드백 흐름</w:t>
      </w:r>
    </w:p>
    <w:p>
      <w:pPr>
        <w:spacing w:before="60" w:after="100" w:line="360"/>
      </w:pPr>
      <w:r>
        <w:rPr>
          <w:rFonts w:ascii="Arial" w:cs="Arial" w:eastAsia="Arial" w:hAnsi="Arial"/>
          <w:b/>
          <w:bCs/>
          <w:color w:val="1A1A1A"/>
          <w:sz w:val="21"/>
          <w:szCs w:val="21"/>
        </w:rPr>
        <w:t xml:space="preserve">Playbook 카드</w:t>
      </w:r>
      <w:r>
        <w:rPr>
          <w:rFonts w:ascii="Arial" w:cs="Arial" w:eastAsia="Arial" w:hAnsi="Arial"/>
          <w:color w:val="1A1A1A"/>
          <w:sz w:val="21"/>
          <w:szCs w:val="21"/>
        </w:rPr>
        <w:t xml:space="preserve">는 위 메인 흐름과 병렬로 동작한다. Clark AI가 Risk Type을 진단한 후, 사용자의 발화에서 리드 전환 시그널을 감지하면 Playbook을 참조하여 리드 스코어링 → 배정 최적화를 수행한다.</w:t>
      </w:r>
    </w:p>
    <w:p>
      <w:pPr>
        <w:spacing w:before="60" w:after="100" w:line="360"/>
      </w:pPr>
      <w:r>
        <w:rPr>
          <w:rFonts w:ascii="Arial" w:cs="Arial" w:eastAsia="Arial" w:hAnsi="Arial"/>
          <w:b/>
          <w:bCs/>
          <w:color w:val="1A1A1A"/>
          <w:sz w:val="21"/>
          <w:szCs w:val="21"/>
        </w:rPr>
        <w:t xml:space="preserve">Case 카드</w:t>
      </w:r>
      <w:r>
        <w:rPr>
          <w:rFonts w:ascii="Arial" w:cs="Arial" w:eastAsia="Arial" w:hAnsi="Arial"/>
          <w:color w:val="1A1A1A"/>
          <w:sz w:val="21"/>
          <w:szCs w:val="21"/>
        </w:rPr>
        <w:t xml:space="preserve">는 전체 흐름의 결과물로서, 성공 케이스가 축적되면 Clark AI의 AI 진단 품질을 개선하는 피드백 루프를 형성한다.</w:t>
      </w:r>
    </w:p>
    <w:p>
      <w:pPr>
        <w:spacing w:before="0" w:after="0"/>
      </w:pPr>
    </w:p>
    <w:p>
      <w:r>
        <w:br w:type="page"/>
      </w:r>
    </w:p>
    <w:p>
      <w:pPr>
        <w:pStyle w:val="Heading2"/>
        <w:spacing w:before="300" w:after="160"/>
      </w:pPr>
      <w:r>
        <w:rPr>
          <w:rFonts w:ascii="Arial" w:cs="Arial" w:eastAsia="Arial" w:hAnsi="Arial"/>
          <w:b/>
          <w:bCs/>
          <w:color w:val="1B3A5C"/>
          <w:sz w:val="26"/>
          <w:szCs w:val="26"/>
        </w:rPr>
        <w:t xml:space="preserve">2-4. 공개범위 정책 (Public / Baseline / Internal)</w:t>
      </w:r>
    </w:p>
    <w:p>
      <w:pPr>
        <w:spacing w:before="0" w:after="0"/>
      </w:pPr>
    </w:p>
    <w:p>
      <w:pPr>
        <w:spacing w:before="60" w:after="100" w:line="360"/>
      </w:pPr>
      <w:r>
        <w:rPr>
          <w:rFonts w:ascii="Arial" w:cs="Arial" w:eastAsia="Arial" w:hAnsi="Arial"/>
          <w:color w:val="1A1A1A"/>
          <w:sz w:val="21"/>
          <w:szCs w:val="21"/>
        </w:rPr>
        <w:t xml:space="preserve">KC 카드는 카드 유형에 따라 세 단계의 공개범위로 구분된다. 이 구분은 AIO 콘텐츠로 활용할 대상과 내부 운영용으로만 사용할 대상을 명확히 분리하여, 경쟁사에 대한 전략적 정보 유출을 방지하고 규제 리스크를 관리하는 목적이다.</w:t>
      </w:r>
    </w:p>
    <w:p>
      <w:pPr>
        <w:spacing w:before="0" w:after="0"/>
      </w:pPr>
    </w:p>
    <w:p>
      <w:pPr>
        <w:spacing w:before="60" w:after="100" w:line="360"/>
      </w:pPr>
      <w:r>
        <w:rPr>
          <w:rFonts w:ascii="Arial" w:cs="Arial" w:eastAsia="Arial" w:hAnsi="Arial"/>
          <w:b/>
          <w:bCs/>
          <w:color w:val="1B3A5C"/>
          <w:sz w:val="21"/>
          <w:szCs w:val="21"/>
        </w:rPr>
        <w:t xml:space="preserve">▶ 공개범위 3단계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공개범위</w:t>
            </w:r>
          </w:p>
        </w:tc>
        <w:tc>
          <w:tcPr>
            <w:tcW w:type="dxa" w:w="7226"/>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정의</w:t>
            </w:r>
          </w:p>
        </w:tc>
      </w:tr>
      <w:tr>
        <w:tc>
          <w:tcPr>
            <w:tcW w:type="dxa" w:w="1800"/>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jc w:val="center"/>
            </w:pPr>
            <w:r>
              <w:rPr>
                <w:rFonts w:ascii="Arial" w:cs="Arial" w:eastAsia="Arial" w:hAnsi="Arial"/>
                <w:b/>
                <w:bCs/>
                <w:color w:val="2E7D32"/>
                <w:sz w:val="19"/>
                <w:szCs w:val="19"/>
              </w:rPr>
              <w:t xml:space="preserve">Public</w:t>
            </w:r>
          </w:p>
        </w:tc>
        <w:tc>
          <w:tcPr>
            <w:tcW w:type="dxa" w:w="72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외부 노출 대상. AIO 콘텐츠로 활용되어 생성형 AI가 참조·인용할 수 있는 권위 있는 지식 소스로 활용된다.</w:t>
            </w:r>
          </w:p>
        </w:tc>
      </w:tr>
      <w:tr>
        <w:tc>
          <w:tcPr>
            <w:tcW w:type="dxa" w:w="1800"/>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jc w:val="center"/>
            </w:pPr>
            <w:r>
              <w:rPr>
                <w:rFonts w:ascii="Arial" w:cs="Arial" w:eastAsia="Arial" w:hAnsi="Arial"/>
                <w:b/>
                <w:bCs/>
                <w:color w:val="A16207"/>
                <w:sz w:val="19"/>
                <w:szCs w:val="19"/>
              </w:rPr>
              <w:t xml:space="preserve">Baseline</w:t>
            </w:r>
          </w:p>
        </w:tc>
        <w:tc>
          <w:tcPr>
            <w:tcW w:type="dxa" w:w="72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부분 외부 노출. 판단 철학과 기준선은 외부에 노출하되, 구체적인 기준값(예: 5천만 원)과 참조하는 데이터 규격 필드명은 비노출. Rule 카드의 "부분 Public" 정책을 구현하는 용도이다.</w:t>
            </w:r>
          </w:p>
        </w:tc>
      </w:tr>
      <w:tr>
        <w:tc>
          <w:tcPr>
            <w:tcW w:type="dxa" w:w="1800"/>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jc w:val="center"/>
            </w:pPr>
            <w:r>
              <w:rPr>
                <w:rFonts w:ascii="Arial" w:cs="Arial" w:eastAsia="Arial" w:hAnsi="Arial"/>
                <w:b/>
                <w:bCs/>
                <w:color w:val="C62828"/>
                <w:sz w:val="19"/>
                <w:szCs w:val="19"/>
              </w:rPr>
              <w:t xml:space="preserve">Internal</w:t>
            </w:r>
          </w:p>
        </w:tc>
        <w:tc>
          <w:tcPr>
            <w:tcW w:type="dxa" w:w="72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완전 비노출. 내부 운영용으로만 사용되며, 외부에는 어떤 형태로도 노출되지 않는다. 전략적 데이터, 영업 로직, 규제 대응 문서 등이 해당된다.</w:t>
            </w:r>
          </w:p>
        </w:tc>
      </w:tr>
    </w:tbl>
    <w:p>
      <w:pPr>
        <w:spacing w:before="0" w:after="0"/>
      </w:pPr>
    </w:p>
    <w:p>
      <w:pPr>
        <w:spacing w:before="60" w:after="100" w:line="360"/>
      </w:pPr>
      <w:r>
        <w:rPr>
          <w:rFonts w:ascii="Arial" w:cs="Arial" w:eastAsia="Arial" w:hAnsi="Arial"/>
          <w:b/>
          <w:bCs/>
          <w:color w:val="1B3A5C"/>
          <w:sz w:val="21"/>
          <w:szCs w:val="21"/>
        </w:rPr>
        <w:t xml:space="preserve">▶ 카드 유형별 공개범위 적용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카드 유형</w:t>
            </w:r>
          </w:p>
        </w:tc>
        <w:tc>
          <w:tcPr>
            <w:tcW w:type="dxa" w:w="16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공개범위</w:t>
            </w:r>
          </w:p>
        </w:tc>
        <w:tc>
          <w:tcPr>
            <w:tcW w:type="dxa" w:w="5226"/>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사유</w:t>
            </w:r>
          </w:p>
        </w:tc>
      </w:tr>
      <w:tr>
        <w:tc>
          <w:tcPr>
            <w:tcW w:type="dxa" w:w="22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Definition</w:t>
            </w:r>
          </w:p>
        </w:tc>
        <w:tc>
          <w:tcPr>
            <w:tcW w:type="dxa" w:w="1600"/>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jc w:val="center"/>
            </w:pPr>
            <w:r>
              <w:rPr>
                <w:rFonts w:ascii="Arial" w:cs="Arial" w:eastAsia="Arial" w:hAnsi="Arial"/>
                <w:b/>
                <w:bCs/>
                <w:color w:val="2E7D32"/>
                <w:sz w:val="19"/>
                <w:szCs w:val="19"/>
              </w:rPr>
              <w:t xml:space="preserve">Public</w:t>
            </w:r>
          </w:p>
        </w:tc>
        <w:tc>
          <w:tcPr>
            <w:tcW w:type="dxa" w:w="52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AIO 백서의 도입부로 활용, 외부 권위 확보 대상</w:t>
            </w:r>
          </w:p>
        </w:tc>
      </w:tr>
      <w:tr>
        <w:tc>
          <w:tcPr>
            <w:tcW w:type="dxa" w:w="22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Risk Type</w:t>
            </w:r>
          </w:p>
        </w:tc>
        <w:tc>
          <w:tcPr>
            <w:tcW w:type="dxa" w:w="1600"/>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jc w:val="center"/>
            </w:pPr>
            <w:r>
              <w:rPr>
                <w:rFonts w:ascii="Arial" w:cs="Arial" w:eastAsia="Arial" w:hAnsi="Arial"/>
                <w:b/>
                <w:bCs/>
                <w:color w:val="2E7D32"/>
                <w:sz w:val="19"/>
                <w:szCs w:val="19"/>
              </w:rPr>
              <w:t xml:space="preserve">Public</w:t>
            </w:r>
          </w:p>
        </w:tc>
        <w:tc>
          <w:tcPr>
            <w:tcW w:type="dxa" w:w="52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보장 구조의 위험 유형 분류 자체는 공개하여 전문성 확보</w:t>
            </w:r>
          </w:p>
        </w:tc>
      </w:tr>
      <w:tr>
        <w:tc>
          <w:tcPr>
            <w:tcW w:type="dxa" w:w="22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Rule</w:t>
            </w:r>
          </w:p>
        </w:tc>
        <w:tc>
          <w:tcPr>
            <w:tcW w:type="dxa" w:w="1600"/>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jc w:val="center"/>
            </w:pPr>
            <w:r>
              <w:rPr>
                <w:rFonts w:ascii="Arial" w:cs="Arial" w:eastAsia="Arial" w:hAnsi="Arial"/>
                <w:b/>
                <w:bCs/>
                <w:color w:val="A16207"/>
                <w:sz w:val="19"/>
                <w:szCs w:val="19"/>
              </w:rPr>
              <w:t xml:space="preserve">Baseline</w:t>
            </w:r>
          </w:p>
        </w:tc>
        <w:tc>
          <w:tcPr>
            <w:tcW w:type="dxa" w:w="52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판단 철학과 기준선은 Public 노출, 구체적 기준값과 데이터 규격은 Internal 처리</w:t>
            </w:r>
          </w:p>
        </w:tc>
      </w:tr>
      <w:tr>
        <w:tc>
          <w:tcPr>
            <w:tcW w:type="dxa" w:w="22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Evidence</w:t>
            </w:r>
          </w:p>
        </w:tc>
        <w:tc>
          <w:tcPr>
            <w:tcW w:type="dxa" w:w="1600"/>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jc w:val="center"/>
            </w:pPr>
            <w:r>
              <w:rPr>
                <w:rFonts w:ascii="Arial" w:cs="Arial" w:eastAsia="Arial" w:hAnsi="Arial"/>
                <w:b/>
                <w:bCs/>
                <w:color w:val="C62828"/>
                <w:sz w:val="19"/>
                <w:szCs w:val="19"/>
              </w:rPr>
              <w:t xml:space="preserve">Internal</w:t>
            </w:r>
          </w:p>
        </w:tc>
        <w:tc>
          <w:tcPr>
            <w:tcW w:type="dxa" w:w="52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마이데이터 규격, 통계 정보 등 전략적 데이터로 외부 비노출</w:t>
            </w:r>
          </w:p>
        </w:tc>
      </w:tr>
      <w:tr>
        <w:tc>
          <w:tcPr>
            <w:tcW w:type="dxa" w:w="22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Playbook</w:t>
            </w:r>
          </w:p>
        </w:tc>
        <w:tc>
          <w:tcPr>
            <w:tcW w:type="dxa" w:w="1600"/>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jc w:val="center"/>
            </w:pPr>
            <w:r>
              <w:rPr>
                <w:rFonts w:ascii="Arial" w:cs="Arial" w:eastAsia="Arial" w:hAnsi="Arial"/>
                <w:b/>
                <w:bCs/>
                <w:color w:val="C62828"/>
                <w:sz w:val="19"/>
                <w:szCs w:val="19"/>
              </w:rPr>
              <w:t xml:space="preserve">Internal</w:t>
            </w:r>
          </w:p>
        </w:tc>
        <w:tc>
          <w:tcPr>
            <w:tcW w:type="dxa" w:w="52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리드 전환/배정 로직은 영업 핵심 전략으로 외부 비노출</w:t>
            </w:r>
          </w:p>
        </w:tc>
      </w:tr>
      <w:tr>
        <w:tc>
          <w:tcPr>
            <w:tcW w:type="dxa" w:w="22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Policy</w:t>
            </w:r>
          </w:p>
        </w:tc>
        <w:tc>
          <w:tcPr>
            <w:tcW w:type="dxa" w:w="1600"/>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jc w:val="center"/>
            </w:pPr>
            <w:r>
              <w:rPr>
                <w:rFonts w:ascii="Arial" w:cs="Arial" w:eastAsia="Arial" w:hAnsi="Arial"/>
                <w:b/>
                <w:bCs/>
                <w:color w:val="C62828"/>
                <w:sz w:val="19"/>
                <w:szCs w:val="19"/>
              </w:rPr>
              <w:t xml:space="preserve">Internal</w:t>
            </w:r>
          </w:p>
        </w:tc>
        <w:tc>
          <w:tcPr>
            <w:tcW w:type="dxa" w:w="52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내부 법무검토 문서 및 규제 대응 전략 포함</w:t>
            </w:r>
          </w:p>
        </w:tc>
      </w:tr>
      <w:tr>
        <w:tc>
          <w:tcPr>
            <w:tcW w:type="dxa" w:w="22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Case</w:t>
            </w:r>
          </w:p>
        </w:tc>
        <w:tc>
          <w:tcPr>
            <w:tcW w:type="dxa" w:w="1600"/>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jc w:val="center"/>
            </w:pPr>
            <w:r>
              <w:rPr>
                <w:rFonts w:ascii="Arial" w:cs="Arial" w:eastAsia="Arial" w:hAnsi="Arial"/>
                <w:b/>
                <w:bCs/>
                <w:color w:val="2E75B6"/>
                <w:sz w:val="19"/>
                <w:szCs w:val="19"/>
              </w:rPr>
              <w:t xml:space="preserve">분리 관리</w:t>
            </w:r>
          </w:p>
        </w:tc>
        <w:tc>
          <w:tcPr>
            <w:tcW w:type="dxa" w:w="52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원본(개인정보 포함): Internal, 패턴화된 요약본: 설계사 교육/AI 학습용</w:t>
            </w:r>
          </w:p>
        </w:tc>
      </w:tr>
    </w:tbl>
    <w:p>
      <w:pPr>
        <w:spacing w:before="0" w:after="0"/>
      </w:pPr>
    </w:p>
    <w:p>
      <w:pPr>
        <w:spacing w:before="60" w:after="100" w:line="360"/>
      </w:pPr>
      <w:r>
        <w:rPr>
          <w:rFonts w:ascii="Arial" w:cs="Arial" w:eastAsia="Arial" w:hAnsi="Arial"/>
          <w:b/>
          <w:bCs/>
          <w:color w:val="1A1A1A"/>
          <w:sz w:val="21"/>
          <w:szCs w:val="21"/>
        </w:rPr>
        <w:t xml:space="preserve">※ Baseline 적용 예시 (Rule 카드): </w:t>
      </w:r>
      <w:r>
        <w:rPr>
          <w:rFonts w:ascii="Arial" w:cs="Arial" w:eastAsia="Arial" w:hAnsi="Arial"/>
          <w:color w:val="1A1A1A"/>
          <w:sz w:val="21"/>
          <w:szCs w:val="21"/>
        </w:rPr>
        <w:t xml:space="preserve">"보닥은 40대 남성의 암 진단금이 일정 기준 미만이면 보장 공백으로 판단합니다"와 같은 판단 철학은 외부에 노출(Public 영역)하되, 구체적인 금액 기준값(5천만 원)이나 참조하는 마이데이터 규격 필드명은 비노출(Internal 영역)로 관리한다. KC Admin에서 Rule 카드의 공개범위를 Baseline으로 설정하면, 시스템이 자동으로 철학 영역과 기준값 영역을 분리하여 노출을 통제한다.</w:t>
      </w:r>
    </w:p>
    <w:p>
      <w:r>
        <w:br w:type="page"/>
      </w:r>
    </w:p>
    <w:p>
      <w:pPr>
        <w:pStyle w:val="Heading1"/>
        <w:spacing w:before="360" w:after="200"/>
      </w:pPr>
      <w:r>
        <w:rPr>
          <w:rFonts w:ascii="Arial" w:cs="Arial" w:eastAsia="Arial" w:hAnsi="Arial"/>
          <w:b/>
          <w:bCs/>
          <w:color w:val="1B3A5C"/>
          <w:sz w:val="32"/>
          <w:szCs w:val="32"/>
        </w:rPr>
        <w:t xml:space="preserve">3. KC Admin 기능 정의</w:t>
      </w:r>
    </w:p>
    <w:p>
      <w:pPr>
        <w:spacing w:before="0" w:after="0"/>
      </w:pPr>
    </w:p>
    <w:p>
      <w:pPr>
        <w:spacing w:before="60" w:after="100" w:line="360"/>
      </w:pPr>
      <w:r>
        <w:rPr>
          <w:rFonts w:ascii="Arial" w:cs="Arial" w:eastAsia="Arial" w:hAnsi="Arial"/>
          <w:color w:val="1A1A1A"/>
          <w:sz w:val="21"/>
          <w:szCs w:val="21"/>
        </w:rPr>
        <w:t xml:space="preserve">KC Admin은 KC 카드 체계를 생성·관리·승인하는 어드민 시스템이다. 본 장에서는 KC Admin의 기능 정의와 워크플로우를 다룬다. UI 상세 설계는 별도 문서에서 다룰 예정이다.</w:t>
      </w:r>
    </w:p>
    <w:p>
      <w:pPr>
        <w:spacing w:before="0" w:after="0"/>
      </w:pPr>
    </w:p>
    <w:p>
      <w:pPr>
        <w:pStyle w:val="Heading2"/>
        <w:spacing w:before="300" w:after="160"/>
      </w:pPr>
      <w:r>
        <w:rPr>
          <w:rFonts w:ascii="Arial" w:cs="Arial" w:eastAsia="Arial" w:hAnsi="Arial"/>
          <w:b/>
          <w:bCs/>
          <w:color w:val="1B3A5C"/>
          <w:sz w:val="26"/>
          <w:szCs w:val="26"/>
        </w:rPr>
        <w:t xml:space="preserve">3-1. 역할 및 권한 정의</w:t>
      </w:r>
    </w:p>
    <w:p>
      <w:pPr>
        <w:spacing w:before="0" w:after="0"/>
      </w:pPr>
    </w:p>
    <w:p>
      <w:pPr>
        <w:spacing w:before="60" w:after="100" w:line="360"/>
      </w:pPr>
      <w:r>
        <w:rPr>
          <w:rFonts w:ascii="Arial" w:cs="Arial" w:eastAsia="Arial" w:hAnsi="Arial"/>
          <w:color w:val="1A1A1A"/>
          <w:sz w:val="21"/>
          <w:szCs w:val="21"/>
        </w:rPr>
        <w:t xml:space="preserve">KC Admin은 세 가지 역할로 구분되며, 각 역할에 따라 접근 가능한 기능이 다르다. 이 역할 분리는 KC 카드의 품질과 규제 준수를 보장하기 위한 구조이다.</w:t>
      </w:r>
    </w:p>
    <w:p>
      <w:pPr>
        <w:spacing w:before="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26"/>
      </w:tblGrid>
      <w:tr>
        <w:tc>
          <w:tcPr>
            <w:tcW w:type="dxa" w:w="16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역할</w:t>
            </w:r>
          </w:p>
        </w:tc>
        <w:tc>
          <w:tcPr>
            <w:tcW w:type="dxa" w:w="16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담당자</w:t>
            </w:r>
          </w:p>
        </w:tc>
        <w:tc>
          <w:tcPr>
            <w:tcW w:type="dxa" w:w="5826"/>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권한 범위</w:t>
            </w:r>
          </w:p>
        </w:tc>
      </w:tr>
      <w:tr>
        <w:tc>
          <w:tcPr>
            <w:tcW w:type="dxa" w:w="16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담당자</w:t>
            </w:r>
          </w:p>
        </w:tc>
        <w:tc>
          <w:tcPr>
            <w:tcW w:type="dxa" w:w="1600"/>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Aron</w:t>
            </w:r>
          </w:p>
        </w:tc>
        <w:tc>
          <w:tcPr>
            <w:tcW w:type="dxa" w:w="5826"/>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spacing w:after="40"/>
            </w:pPr>
            <w:r>
              <w:rPr>
                <w:rFonts w:ascii="Arial" w:cs="Arial" w:eastAsia="Arial" w:hAnsi="Arial"/>
                <w:color w:val="1A1A1A"/>
                <w:sz w:val="19"/>
                <w:szCs w:val="19"/>
              </w:rPr>
              <w:t xml:space="preserve">– 모든 카드 유형의 생성(Create), 조회(Read), 수정(Update), 삭제(Delete)</w:t>
            </w:r>
          </w:p>
          <w:p>
            <w:pPr>
              <w:spacing w:after="40"/>
            </w:pPr>
            <w:r>
              <w:rPr>
                <w:rFonts w:ascii="Arial" w:cs="Arial" w:eastAsia="Arial" w:hAnsi="Arial"/>
                <w:color w:val="1A1A1A"/>
                <w:sz w:val="19"/>
                <w:szCs w:val="19"/>
              </w:rPr>
              <w:t xml:space="preserve">– Risk Type 추가, Rule 기준값 설정, Evidence 등록</w:t>
            </w:r>
          </w:p>
          <w:p>
            <w:pPr>
              <w:spacing w:after="0"/>
            </w:pPr>
            <w:r>
              <w:rPr>
                <w:rFonts w:ascii="Arial" w:cs="Arial" w:eastAsia="Arial" w:hAnsi="Arial"/>
                <w:color w:val="1A1A1A"/>
                <w:sz w:val="19"/>
                <w:szCs w:val="19"/>
              </w:rPr>
              <w:t xml:space="preserve">– Case 카드 최종 저장 요청</w:t>
            </w:r>
          </w:p>
        </w:tc>
      </w:tr>
      <w:tr>
        <w:tc>
          <w:tcPr>
            <w:tcW w:type="dxa" w:w="16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검수자</w:t>
            </w:r>
          </w:p>
        </w:tc>
        <w:tc>
          <w:tcPr>
            <w:tcW w:type="dxa" w:w="1600"/>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Eric</w:t>
            </w:r>
          </w:p>
        </w:tc>
        <w:tc>
          <w:tcPr>
            <w:tcW w:type="dxa" w:w="5826"/>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spacing w:after="40"/>
            </w:pPr>
            <w:r>
              <w:rPr>
                <w:rFonts w:ascii="Arial" w:cs="Arial" w:eastAsia="Arial" w:hAnsi="Arial"/>
                <w:color w:val="1A1A1A"/>
                <w:sz w:val="19"/>
                <w:szCs w:val="19"/>
              </w:rPr>
              <w:t xml:space="preserve">– 담당자가 생성·수정한 카드의 검수 및 승인/반려</w:t>
            </w:r>
          </w:p>
          <w:p>
            <w:pPr>
              <w:spacing w:after="40"/>
            </w:pPr>
            <w:r>
              <w:rPr>
                <w:rFonts w:ascii="Arial" w:cs="Arial" w:eastAsia="Arial" w:hAnsi="Arial"/>
                <w:color w:val="1A1A1A"/>
                <w:sz w:val="19"/>
                <w:szCs w:val="19"/>
              </w:rPr>
              <w:t xml:space="preserve">– Case 카드 최종 저장 승인</w:t>
            </w:r>
          </w:p>
          <w:p>
            <w:pPr>
              <w:spacing w:after="0"/>
            </w:pPr>
            <w:r>
              <w:rPr>
                <w:rFonts w:ascii="Arial" w:cs="Arial" w:eastAsia="Arial" w:hAnsi="Arial"/>
                <w:color w:val="1A1A1A"/>
                <w:sz w:val="19"/>
                <w:szCs w:val="19"/>
              </w:rPr>
              <w:t xml:space="preserve">– 모든 카드 조회(Read) 가능</w:t>
            </w:r>
          </w:p>
        </w:tc>
      </w:tr>
      <w:tr>
        <w:tc>
          <w:tcPr>
            <w:tcW w:type="dxa" w:w="16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준법감시인</w:t>
            </w:r>
          </w:p>
        </w:tc>
        <w:tc>
          <w:tcPr>
            <w:tcW w:type="dxa" w:w="1600"/>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Dwhy</w:t>
            </w:r>
          </w:p>
        </w:tc>
        <w:tc>
          <w:tcPr>
            <w:tcW w:type="dxa" w:w="5826"/>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spacing w:after="40"/>
            </w:pPr>
            <w:r>
              <w:rPr>
                <w:rFonts w:ascii="Arial" w:cs="Arial" w:eastAsia="Arial" w:hAnsi="Arial"/>
                <w:color w:val="1A1A1A"/>
                <w:sz w:val="19"/>
                <w:szCs w:val="19"/>
              </w:rPr>
              <w:t xml:space="preserve">– Policy 카드의 최종 승인 권한 (규제 준수 검증)</w:t>
            </w:r>
          </w:p>
          <w:p>
            <w:pPr>
              <w:spacing w:after="40"/>
            </w:pPr>
            <w:r>
              <w:rPr>
                <w:rFonts w:ascii="Arial" w:cs="Arial" w:eastAsia="Arial" w:hAnsi="Arial"/>
                <w:color w:val="1A1A1A"/>
                <w:sz w:val="19"/>
                <w:szCs w:val="19"/>
              </w:rPr>
              <w:t xml:space="preserve">– Rule 카드 중 규제 관련 항목의 검토 및 승인</w:t>
            </w:r>
          </w:p>
          <w:p>
            <w:pPr>
              <w:spacing w:after="0"/>
            </w:pPr>
            <w:r>
              <w:rPr>
                <w:rFonts w:ascii="Arial" w:cs="Arial" w:eastAsia="Arial" w:hAnsi="Arial"/>
                <w:color w:val="1A1A1A"/>
                <w:sz w:val="19"/>
                <w:szCs w:val="19"/>
              </w:rPr>
              <w:t xml:space="preserve">– 모든 카드 조회(Read) 가능, 직접 생성·수정은 불가</w:t>
            </w:r>
          </w:p>
        </w:tc>
      </w:tr>
    </w:tbl>
    <w:p>
      <w:pPr>
        <w:spacing w:before="0" w:after="0"/>
      </w:pPr>
    </w:p>
    <w:p>
      <w:pPr>
        <w:pStyle w:val="Heading2"/>
        <w:spacing w:before="300" w:after="160"/>
      </w:pPr>
      <w:r>
        <w:rPr>
          <w:rFonts w:ascii="Arial" w:cs="Arial" w:eastAsia="Arial" w:hAnsi="Arial"/>
          <w:b/>
          <w:bCs/>
          <w:color w:val="1B3A5C"/>
          <w:sz w:val="26"/>
          <w:szCs w:val="26"/>
        </w:rPr>
        <w:t xml:space="preserve">3-2. 카드 CRUD 기능</w:t>
      </w:r>
    </w:p>
    <w:p>
      <w:pPr>
        <w:spacing w:before="0" w:after="0"/>
      </w:pPr>
    </w:p>
    <w:p>
      <w:pPr>
        <w:spacing w:before="60" w:after="100" w:line="360"/>
      </w:pPr>
      <w:r>
        <w:rPr>
          <w:rFonts w:ascii="Arial" w:cs="Arial" w:eastAsia="Arial" w:hAnsi="Arial"/>
          <w:color w:val="1A1A1A"/>
          <w:sz w:val="21"/>
          <w:szCs w:val="21"/>
        </w:rPr>
        <w:t xml:space="preserve">KC Admin의 기본 기능은 6+1종 KC 카드의 생성(Create), 조회(Read), 수정(Update), 삭제(Delete)이다. 카드 유형별로 입력 항목과 기능이 다르며, 주요 기능은 다음과 같다.</w:t>
      </w:r>
    </w:p>
    <w:p>
      <w:pPr>
        <w:spacing w:before="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카드 유형</w:t>
            </w:r>
          </w:p>
        </w:tc>
        <w:tc>
          <w:tcPr>
            <w:tcW w:type="dxa" w:w="3513"/>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주요 입력 항목</w:t>
            </w:r>
          </w:p>
        </w:tc>
        <w:tc>
          <w:tcPr>
            <w:tcW w:type="dxa" w:w="3513"/>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특이 사항</w:t>
            </w:r>
          </w:p>
        </w:tc>
      </w:tr>
      <w:tr>
        <w:tc>
          <w:tcPr>
            <w:tcW w:type="dxa" w:w="20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Definition</w:t>
            </w:r>
          </w:p>
        </w:tc>
        <w:tc>
          <w:tcPr>
            <w:tcW w:type="dxa" w:w="35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용어명, 정의 설명, 유사어/일상어, 하위 분류</w:t>
            </w:r>
          </w:p>
        </w:tc>
        <w:tc>
          <w:tcPr>
            <w:tcW w:type="dxa" w:w="35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유사어 등록으로 AI 의미 매칭 정확도 향상</w:t>
            </w:r>
          </w:p>
        </w:tc>
      </w:tr>
      <w:tr>
        <w:tc>
          <w:tcPr>
            <w:tcW w:type="dxa" w:w="20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Risk Type</w:t>
            </w:r>
          </w:p>
        </w:tc>
        <w:tc>
          <w:tcPr>
            <w:tcW w:type="dxa" w:w="35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위험 유형명, 설명, 리드 스코어 배정값</w:t>
            </w:r>
          </w:p>
        </w:tc>
        <w:tc>
          <w:tcPr>
            <w:tcW w:type="dxa" w:w="35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담당자가 새로운 Risk Type을 추가 가능</w:t>
            </w:r>
          </w:p>
        </w:tc>
      </w:tr>
      <w:tr>
        <w:tc>
          <w:tcPr>
            <w:tcW w:type="dxa" w:w="20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Rule</w:t>
            </w:r>
          </w:p>
        </w:tc>
        <w:tc>
          <w:tcPr>
            <w:tcW w:type="dxa" w:w="35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대상 Risk Type, 판단 조건, 기준값, 경고 메시지</w:t>
            </w:r>
          </w:p>
        </w:tc>
        <w:tc>
          <w:tcPr>
            <w:tcW w:type="dxa" w:w="35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마이데이터 규격 및 질병코드 혼합 설정</w:t>
            </w:r>
          </w:p>
        </w:tc>
      </w:tr>
      <w:tr>
        <w:tc>
          <w:tcPr>
            <w:tcW w:type="dxa" w:w="20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Evidence</w:t>
            </w:r>
          </w:p>
        </w:tc>
        <w:tc>
          <w:tcPr>
            <w:tcW w:type="dxa" w:w="35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데이터 출처, 활용 방법, 연결된 Rule</w:t>
            </w:r>
          </w:p>
        </w:tc>
        <w:tc>
          <w:tcPr>
            <w:tcW w:type="dxa" w:w="35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Rule 카드와 참조 링크로 연결</w:t>
            </w:r>
          </w:p>
        </w:tc>
      </w:tr>
      <w:tr>
        <w:tc>
          <w:tcPr>
            <w:tcW w:type="dxa" w:w="20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Playbook</w:t>
            </w:r>
          </w:p>
        </w:tc>
        <w:tc>
          <w:tcPr>
            <w:tcW w:type="dxa" w:w="35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레이어별 설정(전환/스코어링/배정)</w:t>
            </w:r>
          </w:p>
        </w:tc>
        <w:tc>
          <w:tcPr>
            <w:tcW w:type="dxa" w:w="35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발화 키워드, 스코어 산출 공식 설정</w:t>
            </w:r>
          </w:p>
        </w:tc>
      </w:tr>
      <w:tr>
        <w:tc>
          <w:tcPr>
            <w:tcW w:type="dxa" w:w="20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Policy</w:t>
            </w:r>
          </w:p>
        </w:tc>
        <w:tc>
          <w:tcPr>
            <w:tcW w:type="dxa" w:w="35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규제 문서명, 적용 범위, 핵심 조항</w:t>
            </w:r>
          </w:p>
        </w:tc>
        <w:tc>
          <w:tcPr>
            <w:tcW w:type="dxa" w:w="35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준법감시인(Dwhy) 최종 승인 필수</w:t>
            </w:r>
          </w:p>
        </w:tc>
      </w:tr>
      <w:tr>
        <w:tc>
          <w:tcPr>
            <w:tcW w:type="dxa" w:w="20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Case</w:t>
            </w:r>
          </w:p>
        </w:tc>
        <w:tc>
          <w:tcPr>
            <w:tcW w:type="dxa" w:w="35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대화 요약, Risk Type, 전환 결과, 성공 요인</w:t>
            </w:r>
          </w:p>
        </w:tc>
        <w:tc>
          <w:tcPr>
            <w:tcW w:type="dxa" w:w="3513"/>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AI 자동 태깅 → 담당자/검수자 최종 승인</w:t>
            </w:r>
          </w:p>
        </w:tc>
      </w:tr>
    </w:tbl>
    <w:p>
      <w:pPr>
        <w:spacing w:before="0" w:after="0"/>
      </w:pPr>
    </w:p>
    <w:p>
      <w:pPr>
        <w:spacing w:before="60" w:after="100" w:line="360"/>
      </w:pPr>
      <w:r>
        <w:rPr>
          <w:rFonts w:ascii="Arial" w:cs="Arial" w:eastAsia="Arial" w:hAnsi="Arial"/>
          <w:b/>
          <w:bCs/>
          <w:color w:val="1A1A1A"/>
          <w:sz w:val="21"/>
          <w:szCs w:val="21"/>
        </w:rPr>
        <w:t xml:space="preserve">공통 기능: </w:t>
      </w:r>
      <w:r>
        <w:rPr>
          <w:rFonts w:ascii="Arial" w:cs="Arial" w:eastAsia="Arial" w:hAnsi="Arial"/>
          <w:color w:val="1A1A1A"/>
          <w:sz w:val="21"/>
          <w:szCs w:val="21"/>
        </w:rPr>
        <w:t xml:space="preserve">모든 카드에는 버전 이력 관리(수정 이력 추적), Public/Internal 노출 정책 설정, 카드 간 참조 링크 설정 기능이 공통으로 적용된다.</w:t>
      </w:r>
    </w:p>
    <w:p>
      <w:pPr>
        <w:spacing w:before="0" w:after="0"/>
      </w:pPr>
    </w:p>
    <w:p>
      <w:pPr>
        <w:pStyle w:val="Heading2"/>
        <w:spacing w:before="300" w:after="160"/>
      </w:pPr>
      <w:r>
        <w:rPr>
          <w:rFonts w:ascii="Arial" w:cs="Arial" w:eastAsia="Arial" w:hAnsi="Arial"/>
          <w:b/>
          <w:bCs/>
          <w:color w:val="1B3A5C"/>
          <w:sz w:val="26"/>
          <w:szCs w:val="26"/>
        </w:rPr>
        <w:t xml:space="preserve">3-3. 승인 워크플로우</w:t>
      </w:r>
    </w:p>
    <w:p>
      <w:pPr>
        <w:spacing w:before="0" w:after="0"/>
      </w:pPr>
    </w:p>
    <w:p>
      <w:pPr>
        <w:spacing w:before="60" w:after="100" w:line="360"/>
      </w:pPr>
      <w:r>
        <w:rPr>
          <w:rFonts w:ascii="Arial" w:cs="Arial" w:eastAsia="Arial" w:hAnsi="Arial"/>
          <w:color w:val="1A1A1A"/>
          <w:sz w:val="21"/>
          <w:szCs w:val="21"/>
        </w:rPr>
        <w:t xml:space="preserve">KC 카드는 담당자가 생성·수정한 후 바로 적용되지 않는다. 카드 유형에 따라 검수자 또는 준법감시인의 승인을 거쳐야 최종 반영된다. 이를 통해 KC 카드의 품질과 규제 준수를 보장한다.</w:t>
      </w:r>
    </w:p>
    <w:p>
      <w:pPr>
        <w:spacing w:before="0" w:after="0"/>
      </w:pPr>
    </w:p>
    <w:p>
      <w:pPr>
        <w:pStyle w:val="Heading3"/>
        <w:spacing w:before="240" w:after="120"/>
      </w:pPr>
      <w:r>
        <w:rPr>
          <w:rFonts w:ascii="Arial" w:cs="Arial" w:eastAsia="Arial" w:hAnsi="Arial"/>
          <w:b/>
          <w:bCs/>
          <w:color w:val="2E75B6"/>
          <w:sz w:val="22"/>
          <w:szCs w:val="22"/>
        </w:rPr>
        <w:t xml:space="preserve">일반 카드 승인 플로우 (Definition, Risk Type, Rule, Evidence, Playbook)</w:t>
      </w:r>
    </w:p>
    <w:p>
      <w:pPr>
        <w:spacing w:before="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800"/>
        <w:gridCol w:w="3526"/>
      </w:tblGrid>
      <w:tr>
        <w:tc>
          <w:tcPr>
            <w:tcW w:type="dxa" w:w="9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단계</w:t>
            </w:r>
          </w:p>
        </w:tc>
        <w:tc>
          <w:tcPr>
            <w:tcW w:type="dxa" w:w="18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상태</w:t>
            </w:r>
          </w:p>
        </w:tc>
        <w:tc>
          <w:tcPr>
            <w:tcW w:type="dxa" w:w="28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수행자</w:t>
            </w:r>
          </w:p>
        </w:tc>
        <w:tc>
          <w:tcPr>
            <w:tcW w:type="dxa" w:w="3526"/>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설명</w:t>
            </w:r>
          </w:p>
        </w:tc>
      </w:tr>
      <w:tr>
        <w:tc>
          <w:tcPr>
            <w:tcW w:type="dxa" w:w="9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1</w:t>
            </w:r>
          </w:p>
        </w:tc>
        <w:tc>
          <w:tcPr>
            <w:tcW w:type="dxa" w:w="1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작성 중</w:t>
            </w:r>
          </w:p>
        </w:tc>
        <w:tc>
          <w:tcPr>
            <w:tcW w:type="dxa" w:w="2800"/>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담당자 (Aron)</w:t>
            </w:r>
          </w:p>
        </w:tc>
        <w:tc>
          <w:tcPr>
            <w:tcW w:type="dxa" w:w="35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카드를 생성하거나 수정한다. 임시 저장 가능.</w:t>
            </w:r>
          </w:p>
        </w:tc>
      </w:tr>
      <w:tr>
        <w:tc>
          <w:tcPr>
            <w:tcW w:type="dxa" w:w="9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2</w:t>
            </w:r>
          </w:p>
        </w:tc>
        <w:tc>
          <w:tcPr>
            <w:tcW w:type="dxa" w:w="1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검수 요청</w:t>
            </w:r>
          </w:p>
        </w:tc>
        <w:tc>
          <w:tcPr>
            <w:tcW w:type="dxa" w:w="2800"/>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담당자 (Aron) → 검수자 (Eric)</w:t>
            </w:r>
          </w:p>
        </w:tc>
        <w:tc>
          <w:tcPr>
            <w:tcW w:type="dxa" w:w="35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작성 완료 후 검수자에게 검수를 요청한다.</w:t>
            </w:r>
          </w:p>
        </w:tc>
      </w:tr>
      <w:tr>
        <w:tc>
          <w:tcPr>
            <w:tcW w:type="dxa" w:w="9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3</w:t>
            </w:r>
          </w:p>
        </w:tc>
        <w:tc>
          <w:tcPr>
            <w:tcW w:type="dxa" w:w="1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검수 완료</w:t>
            </w:r>
          </w:p>
        </w:tc>
        <w:tc>
          <w:tcPr>
            <w:tcW w:type="dxa" w:w="2800"/>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검수자 (Eric)</w:t>
            </w:r>
          </w:p>
        </w:tc>
        <w:tc>
          <w:tcPr>
            <w:tcW w:type="dxa" w:w="35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검수자가 내용을 확인하고 승인 또는 반려(사유 기재)한다.</w:t>
            </w:r>
          </w:p>
        </w:tc>
      </w:tr>
      <w:tr>
        <w:tc>
          <w:tcPr>
            <w:tcW w:type="dxa" w:w="9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4</w:t>
            </w:r>
          </w:p>
        </w:tc>
        <w:tc>
          <w:tcPr>
            <w:tcW w:type="dxa" w:w="1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적용 완료</w:t>
            </w:r>
          </w:p>
        </w:tc>
        <w:tc>
          <w:tcPr>
            <w:tcW w:type="dxa" w:w="2800"/>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시스템</w:t>
            </w:r>
          </w:p>
        </w:tc>
        <w:tc>
          <w:tcPr>
            <w:tcW w:type="dxa" w:w="35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승인된 카드가 Clark AI의 RAG 지식 베이스에 반영된다.</w:t>
            </w:r>
          </w:p>
        </w:tc>
      </w:tr>
    </w:tbl>
    <w:p>
      <w:pPr>
        <w:spacing w:before="0" w:after="0"/>
      </w:pPr>
    </w:p>
    <w:p>
      <w:pPr>
        <w:pStyle w:val="Heading3"/>
        <w:spacing w:before="240" w:after="120"/>
      </w:pPr>
      <w:r>
        <w:rPr>
          <w:rFonts w:ascii="Arial" w:cs="Arial" w:eastAsia="Arial" w:hAnsi="Arial"/>
          <w:b/>
          <w:bCs/>
          <w:color w:val="2E75B6"/>
          <w:sz w:val="22"/>
          <w:szCs w:val="22"/>
        </w:rPr>
        <w:t xml:space="preserve">Policy 카드 승인 플로우 (규제 검토 포함)</w:t>
      </w:r>
    </w:p>
    <w:p>
      <w:pPr>
        <w:spacing w:before="60" w:after="100" w:line="360"/>
      </w:pPr>
      <w:r>
        <w:rPr>
          <w:rFonts w:ascii="Arial" w:cs="Arial" w:eastAsia="Arial" w:hAnsi="Arial"/>
          <w:color w:val="1A1A1A"/>
          <w:sz w:val="21"/>
          <w:szCs w:val="21"/>
        </w:rPr>
        <w:t xml:space="preserve">Policy 카드는 금융소비자보호법, 보험업법 등 규제 사항을 다루므로, 준법감시인(Dwhy)의 최종 승인이 추가로 필요하다.</w:t>
      </w:r>
    </w:p>
    <w:p>
      <w:pPr>
        <w:spacing w:before="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800"/>
        <w:gridCol w:w="3526"/>
      </w:tblGrid>
      <w:tr>
        <w:tc>
          <w:tcPr>
            <w:tcW w:type="dxa" w:w="9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단계</w:t>
            </w:r>
          </w:p>
        </w:tc>
        <w:tc>
          <w:tcPr>
            <w:tcW w:type="dxa" w:w="18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상태</w:t>
            </w:r>
          </w:p>
        </w:tc>
        <w:tc>
          <w:tcPr>
            <w:tcW w:type="dxa" w:w="28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수행자</w:t>
            </w:r>
          </w:p>
        </w:tc>
        <w:tc>
          <w:tcPr>
            <w:tcW w:type="dxa" w:w="3526"/>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설명</w:t>
            </w:r>
          </w:p>
        </w:tc>
      </w:tr>
      <w:tr>
        <w:tc>
          <w:tcPr>
            <w:tcW w:type="dxa" w:w="9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1</w:t>
            </w:r>
          </w:p>
        </w:tc>
        <w:tc>
          <w:tcPr>
            <w:tcW w:type="dxa" w:w="1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작성 중</w:t>
            </w:r>
          </w:p>
        </w:tc>
        <w:tc>
          <w:tcPr>
            <w:tcW w:type="dxa" w:w="2800"/>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담당자 (Aron)</w:t>
            </w:r>
          </w:p>
        </w:tc>
        <w:tc>
          <w:tcPr>
            <w:tcW w:type="dxa" w:w="35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Policy 카드를 생성하거나 수정한다.</w:t>
            </w:r>
          </w:p>
        </w:tc>
      </w:tr>
      <w:tr>
        <w:tc>
          <w:tcPr>
            <w:tcW w:type="dxa" w:w="9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2</w:t>
            </w:r>
          </w:p>
        </w:tc>
        <w:tc>
          <w:tcPr>
            <w:tcW w:type="dxa" w:w="1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검수 요청</w:t>
            </w:r>
          </w:p>
        </w:tc>
        <w:tc>
          <w:tcPr>
            <w:tcW w:type="dxa" w:w="2800"/>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담당자 (Aron) → 검수자 (Eric)</w:t>
            </w:r>
          </w:p>
        </w:tc>
        <w:tc>
          <w:tcPr>
            <w:tcW w:type="dxa" w:w="35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검수자가 내용을 1차 확인한다.</w:t>
            </w:r>
          </w:p>
        </w:tc>
      </w:tr>
      <w:tr>
        <w:tc>
          <w:tcPr>
            <w:tcW w:type="dxa" w:w="9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3</w:t>
            </w:r>
          </w:p>
        </w:tc>
        <w:tc>
          <w:tcPr>
            <w:tcW w:type="dxa" w:w="1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법무 검토</w:t>
            </w:r>
          </w:p>
        </w:tc>
        <w:tc>
          <w:tcPr>
            <w:tcW w:type="dxa" w:w="2800"/>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검수자 (Eric) → 준법감시인 (Dwhy)</w:t>
            </w:r>
          </w:p>
        </w:tc>
        <w:tc>
          <w:tcPr>
            <w:tcW w:type="dxa" w:w="35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준법감시인이 규제 준수 여부를 검토하고 최종 승인 또는 반려한다.</w:t>
            </w:r>
          </w:p>
        </w:tc>
      </w:tr>
      <w:tr>
        <w:tc>
          <w:tcPr>
            <w:tcW w:type="dxa" w:w="9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4</w:t>
            </w:r>
          </w:p>
        </w:tc>
        <w:tc>
          <w:tcPr>
            <w:tcW w:type="dxa" w:w="1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적용 완료</w:t>
            </w:r>
          </w:p>
        </w:tc>
        <w:tc>
          <w:tcPr>
            <w:tcW w:type="dxa" w:w="2800"/>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시스템</w:t>
            </w:r>
          </w:p>
        </w:tc>
        <w:tc>
          <w:tcPr>
            <w:tcW w:type="dxa" w:w="35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준법감시인 승인 후 Clark AI 출력 통제 레이어에 반영된다.</w:t>
            </w:r>
          </w:p>
        </w:tc>
      </w:tr>
    </w:tbl>
    <w:p>
      <w:pPr>
        <w:spacing w:before="0" w:after="0"/>
      </w:pPr>
    </w:p>
    <w:p>
      <w:pPr>
        <w:pStyle w:val="Heading2"/>
        <w:spacing w:before="300" w:after="160"/>
      </w:pPr>
      <w:r>
        <w:rPr>
          <w:rFonts w:ascii="Arial" w:cs="Arial" w:eastAsia="Arial" w:hAnsi="Arial"/>
          <w:b/>
          <w:bCs/>
          <w:color w:val="1B3A5C"/>
          <w:sz w:val="26"/>
          <w:szCs w:val="26"/>
        </w:rPr>
        <w:t xml:space="preserve">3-4. Case 카드 반자동 생성 플로우</w:t>
      </w:r>
    </w:p>
    <w:p>
      <w:pPr>
        <w:spacing w:before="0" w:after="0"/>
      </w:pPr>
    </w:p>
    <w:p>
      <w:pPr>
        <w:spacing w:before="60" w:after="100" w:line="360"/>
      </w:pPr>
      <w:r>
        <w:rPr>
          <w:rFonts w:ascii="Arial" w:cs="Arial" w:eastAsia="Arial" w:hAnsi="Arial"/>
          <w:color w:val="1A1A1A"/>
          <w:sz w:val="21"/>
          <w:szCs w:val="21"/>
        </w:rPr>
        <w:t xml:space="preserve">Case 카드는 Clark AI와 사용자 간 대화에서 리드 전환에 성공한 케이스를 축적하는 카드이다. 인력 투입을 최소화하면서도 품질을 보장하기 위해, AI 자동 태깅 + 담당자 최종 승인의 반자동 방식으로 운영한다.</w:t>
      </w:r>
    </w:p>
    <w:p>
      <w:pPr>
        <w:spacing w:before="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000"/>
        <w:gridCol w:w="4326"/>
      </w:tblGrid>
      <w:tr>
        <w:tc>
          <w:tcPr>
            <w:tcW w:type="dxa" w:w="9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단계</w:t>
            </w:r>
          </w:p>
        </w:tc>
        <w:tc>
          <w:tcPr>
            <w:tcW w:type="dxa" w:w="18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상태</w:t>
            </w:r>
          </w:p>
        </w:tc>
        <w:tc>
          <w:tcPr>
            <w:tcW w:type="dxa" w:w="20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수행자</w:t>
            </w:r>
          </w:p>
        </w:tc>
        <w:tc>
          <w:tcPr>
            <w:tcW w:type="dxa" w:w="4326"/>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설명</w:t>
            </w:r>
          </w:p>
        </w:tc>
      </w:tr>
      <w:tr>
        <w:tc>
          <w:tcPr>
            <w:tcW w:type="dxa" w:w="9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1</w:t>
            </w:r>
          </w:p>
        </w:tc>
        <w:tc>
          <w:tcPr>
            <w:tcW w:type="dxa" w:w="1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자동 태깅</w:t>
            </w:r>
          </w:p>
        </w:tc>
        <w:tc>
          <w:tcPr>
            <w:tcW w:type="dxa" w:w="2000"/>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Clark AI</w:t>
            </w:r>
          </w:p>
        </w:tc>
        <w:tc>
          <w:tcPr>
            <w:tcW w:type="dxa" w:w="43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리드 전환 성공으로 판단된 대화를 자동으로 태깅하고, 대화 요약·해당 Risk Type·전환 결과·성공 요인을 추출한다.</w:t>
            </w:r>
          </w:p>
        </w:tc>
      </w:tr>
      <w:tr>
        <w:tc>
          <w:tcPr>
            <w:tcW w:type="dxa" w:w="9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2</w:t>
            </w:r>
          </w:p>
        </w:tc>
        <w:tc>
          <w:tcPr>
            <w:tcW w:type="dxa" w:w="1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검토 대기</w:t>
            </w:r>
          </w:p>
        </w:tc>
        <w:tc>
          <w:tcPr>
            <w:tcW w:type="dxa" w:w="2000"/>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담당자 (Aron)</w:t>
            </w:r>
          </w:p>
        </w:tc>
        <w:tc>
          <w:tcPr>
            <w:tcW w:type="dxa" w:w="43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KC Admin의 Case 후보 목록에서 태깅된 케이스를 확인하고, 저장 요청 또는 폐기한다.</w:t>
            </w:r>
          </w:p>
        </w:tc>
      </w:tr>
      <w:tr>
        <w:tc>
          <w:tcPr>
            <w:tcW w:type="dxa" w:w="9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3</w:t>
            </w:r>
          </w:p>
        </w:tc>
        <w:tc>
          <w:tcPr>
            <w:tcW w:type="dxa" w:w="1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검수 승인</w:t>
            </w:r>
          </w:p>
        </w:tc>
        <w:tc>
          <w:tcPr>
            <w:tcW w:type="dxa" w:w="2000"/>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검수자 (Eric)</w:t>
            </w:r>
          </w:p>
        </w:tc>
        <w:tc>
          <w:tcPr>
            <w:tcW w:type="dxa" w:w="43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검수자가 최종 확인 후 승인한다. 승인 시 개인정보 제거된 요약본이 자동 생성된다.</w:t>
            </w:r>
          </w:p>
        </w:tc>
      </w:tr>
      <w:tr>
        <w:tc>
          <w:tcPr>
            <w:tcW w:type="dxa" w:w="9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4</w:t>
            </w:r>
          </w:p>
        </w:tc>
        <w:tc>
          <w:tcPr>
            <w:tcW w:type="dxa" w:w="18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저장 완료</w:t>
            </w:r>
          </w:p>
        </w:tc>
        <w:tc>
          <w:tcPr>
            <w:tcW w:type="dxa" w:w="2000"/>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시스템</w:t>
            </w:r>
          </w:p>
        </w:tc>
        <w:tc>
          <w:tcPr>
            <w:tcW w:type="dxa" w:w="43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원본(Internal)과 요약본(설계사 교육/AI 학습용)이 분리 저장된다.</w:t>
            </w:r>
          </w:p>
        </w:tc>
      </w:tr>
    </w:tbl>
    <w:p>
      <w:pPr>
        <w:spacing w:before="0" w:after="0"/>
      </w:pPr>
    </w:p>
    <w:p>
      <w:pPr>
        <w:spacing w:before="60" w:after="100" w:line="360"/>
      </w:pPr>
      <w:r>
        <w:rPr>
          <w:rFonts w:ascii="Arial" w:cs="Arial" w:eastAsia="Arial" w:hAnsi="Arial"/>
          <w:b/>
          <w:bCs/>
          <w:color w:val="1A1A1A"/>
          <w:sz w:val="21"/>
          <w:szCs w:val="21"/>
        </w:rPr>
        <w:t xml:space="preserve">※ 폐기 케이스 처리: </w:t>
      </w:r>
      <w:r>
        <w:rPr>
          <w:rFonts w:ascii="Arial" w:cs="Arial" w:eastAsia="Arial" w:hAnsi="Arial"/>
          <w:color w:val="1A1A1A"/>
          <w:sz w:val="21"/>
          <w:szCs w:val="21"/>
        </w:rPr>
        <w:t xml:space="preserve">담당자가 폐기한 케이스는 즉시 삭제되지 않고, 30일간 보관 후 자동 삭제된다. 이 기간 내 복원이 가능하다.</w:t>
      </w:r>
    </w:p>
    <w:p>
      <w:r>
        <w:br w:type="page"/>
      </w:r>
    </w:p>
    <w:p>
      <w:pPr>
        <w:pStyle w:val="Heading1"/>
        <w:spacing w:before="360" w:after="200"/>
      </w:pPr>
      <w:r>
        <w:rPr>
          <w:rFonts w:ascii="Arial" w:cs="Arial" w:eastAsia="Arial" w:hAnsi="Arial"/>
          <w:b/>
          <w:bCs/>
          <w:color w:val="1B3A5C"/>
          <w:sz w:val="32"/>
          <w:szCs w:val="32"/>
        </w:rPr>
        <w:t xml:space="preserve">4. 기대 효과 및 향후 계획</w:t>
      </w:r>
    </w:p>
    <w:p>
      <w:pPr>
        <w:spacing w:before="0" w:after="0"/>
      </w:pPr>
    </w:p>
    <w:p>
      <w:pPr>
        <w:spacing w:before="60" w:after="100" w:line="360"/>
      </w:pPr>
      <w:r>
        <w:rPr>
          <w:rFonts w:ascii="Arial" w:cs="Arial" w:eastAsia="Arial" w:hAnsi="Arial"/>
          <w:color w:val="1A1A1A"/>
          <w:sz w:val="21"/>
          <w:szCs w:val="21"/>
        </w:rPr>
        <w:t xml:space="preserve">Knowledge Core는 단계별로 서로 다른 수준의 성과를 창출한다. 본 장에서는 Phase별 기대 효과, 추정 일정, 그리고 후속 과제를 정리한다.</w:t>
      </w:r>
    </w:p>
    <w:p>
      <w:pPr>
        <w:spacing w:before="0" w:after="0"/>
      </w:pPr>
    </w:p>
    <w:p>
      <w:pPr>
        <w:pStyle w:val="Heading2"/>
        <w:spacing w:before="300" w:after="160"/>
      </w:pPr>
      <w:r>
        <w:rPr>
          <w:rFonts w:ascii="Arial" w:cs="Arial" w:eastAsia="Arial" w:hAnsi="Arial"/>
          <w:b/>
          <w:bCs/>
          <w:color w:val="1B3A5C"/>
          <w:sz w:val="26"/>
          <w:szCs w:val="26"/>
        </w:rPr>
        <w:t xml:space="preserve">4-1. Phase별 기대 효과</w:t>
      </w:r>
    </w:p>
    <w:p>
      <w:pPr>
        <w:spacing w:before="0" w:after="0"/>
      </w:pPr>
    </w:p>
    <w:p>
      <w:pPr>
        <w:pStyle w:val="Heading3"/>
        <w:spacing w:before="240" w:after="120"/>
      </w:pPr>
      <w:r>
        <w:rPr>
          <w:rFonts w:ascii="Arial" w:cs="Arial" w:eastAsia="Arial" w:hAnsi="Arial"/>
          <w:b/>
          <w:bCs/>
          <w:color w:val="2E75B6"/>
          <w:sz w:val="22"/>
          <w:szCs w:val="22"/>
        </w:rPr>
        <w:t xml:space="preserve">Phase 1: KC 카드 체계 구축 및 KC Admin 개발</w:t>
      </w:r>
    </w:p>
    <w:p>
      <w:pPr>
        <w:spacing w:before="60" w:after="100" w:line="360"/>
      </w:pPr>
      <w:r>
        <w:rPr>
          <w:rFonts w:ascii="Arial" w:cs="Arial" w:eastAsia="Arial" w:hAnsi="Arial"/>
          <w:color w:val="1A1A1A"/>
          <w:sz w:val="21"/>
          <w:szCs w:val="21"/>
        </w:rPr>
        <w:t xml:space="preserve">Phase 1은 KC의 기반을 다지는 단계로, 직접적인 매출 효과보다는 후속 단계의 성과를 위한 전제조건을 확보하는 데 의미가 있다.</w:t>
      </w:r>
    </w:p>
    <w:p>
      <w:pPr>
        <w:spacing w:before="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효과 영역</w:t>
            </w:r>
          </w:p>
        </w:tc>
        <w:tc>
          <w:tcPr>
            <w:tcW w:type="dxa" w:w="6626"/>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상세 내용</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도메인 지식 체계화</w:t>
            </w:r>
          </w:p>
        </w:tc>
        <w:tc>
          <w:tcPr>
            <w:tcW w:type="dxa" w:w="6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흩어져 있던 보험 도메인 지식이 6+1종 카드로 구조화되어, AI 학습·교육·AIO 콘텐츠의 공통 기반이 확보된다.</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AIO 선점 기반 확보</w:t>
            </w:r>
          </w:p>
        </w:tc>
        <w:tc>
          <w:tcPr>
            <w:tcW w:type="dxa" w:w="6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Definition, Risk Type 등 Public 카드가 AIO 콘텐츠로 활용 가능해져, 생성형 AI가 bodoc의 지식을 참조할 권위 있는 소스가 마련된다.</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운영 프로세스 표준화</w:t>
            </w:r>
          </w:p>
        </w:tc>
        <w:tc>
          <w:tcPr>
            <w:tcW w:type="dxa" w:w="6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KC Admin의 역할 분리(Aron/Eric/Dwhy)와 승인 워크플로우를 통해, 카드 품질 관리와 규제 준수가 시스템적으로 보장된다.</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사내 교육 효율화</w:t>
            </w:r>
          </w:p>
        </w:tc>
        <w:tc>
          <w:tcPr>
            <w:tcW w:type="dxa" w:w="6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체계화된 KC 카드가 신규 입사자 온보딩 및 도메인 교육 자료로 즉시 활용 가능해진다.</w:t>
            </w:r>
          </w:p>
        </w:tc>
      </w:tr>
    </w:tbl>
    <w:p>
      <w:pPr>
        <w:spacing w:before="0" w:after="0"/>
      </w:pPr>
    </w:p>
    <w:p>
      <w:pPr>
        <w:pStyle w:val="Heading3"/>
        <w:spacing w:before="240" w:after="120"/>
      </w:pPr>
      <w:r>
        <w:rPr>
          <w:rFonts w:ascii="Arial" w:cs="Arial" w:eastAsia="Arial" w:hAnsi="Arial"/>
          <w:b/>
          <w:bCs/>
          <w:color w:val="2E75B6"/>
          <w:sz w:val="22"/>
          <w:szCs w:val="22"/>
        </w:rPr>
        <w:t xml:space="preserve">Phase 2: Clark AI RAG 통합</w:t>
      </w:r>
    </w:p>
    <w:p>
      <w:pPr>
        <w:spacing w:before="60" w:after="100" w:line="360"/>
      </w:pPr>
      <w:r>
        <w:rPr>
          <w:rFonts w:ascii="Arial" w:cs="Arial" w:eastAsia="Arial" w:hAnsi="Arial"/>
          <w:color w:val="1A1A1A"/>
          <w:sz w:val="21"/>
          <w:szCs w:val="21"/>
        </w:rPr>
        <w:t xml:space="preserve">Phase 2는 KC 카드 체계가 Clark AI의 실제 진단 품질과 리드 전환율에 직접적으로 영향을 미치는 단계이다.</w:t>
      </w:r>
    </w:p>
    <w:p>
      <w:pPr>
        <w:spacing w:before="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효과 영역</w:t>
            </w:r>
          </w:p>
        </w:tc>
        <w:tc>
          <w:tcPr>
            <w:tcW w:type="dxa" w:w="6626"/>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상세 내용 및 추정치</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AI 진단 품질 향상</w:t>
            </w:r>
          </w:p>
        </w:tc>
        <w:tc>
          <w:tcPr>
            <w:tcW w:type="dxa" w:w="6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온톨로지 기반 판단으로 할루시네이션이 감소하고, 진단 일관성이 확보된다. 기존 RAG 대비 진단 정확도 20~30% 향상이 기대된다.</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리드 전환율 개선</w:t>
            </w:r>
          </w:p>
        </w:tc>
        <w:tc>
          <w:tcPr>
            <w:tcW w:type="dxa" w:w="6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Playbook 기반의 체계적 리드 전환 로직으로, 사용자의 상담 의향을 정확하게 포착하여 리드 전환율 개선이 기대된다.</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배정 효율성 향상</w:t>
            </w:r>
          </w:p>
        </w:tc>
        <w:tc>
          <w:tcPr>
            <w:tcW w:type="dxa" w:w="6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리드 스코어링과 배정 최적화를 통해, 성적 우수 설계사에게 우선 배정되어 컨택율과 계약 전환율이 개선된다.</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규제 리스크 감소</w:t>
            </w:r>
          </w:p>
        </w:tc>
        <w:tc>
          <w:tcPr>
            <w:tcW w:type="dxa" w:w="6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Policy 카드 기반 출력 통제로, Clark AI의 답변이 금소법·보험업법 범위 내에서 생성되어 법적 리스크가 체계적으로 관리된다.</w:t>
            </w:r>
          </w:p>
        </w:tc>
      </w:tr>
    </w:tbl>
    <w:p>
      <w:pPr>
        <w:spacing w:before="0" w:after="0"/>
      </w:pPr>
    </w:p>
    <w:p>
      <w:pPr>
        <w:pStyle w:val="Heading3"/>
        <w:spacing w:before="240" w:after="120"/>
      </w:pPr>
      <w:r>
        <w:rPr>
          <w:rFonts w:ascii="Arial" w:cs="Arial" w:eastAsia="Arial" w:hAnsi="Arial"/>
          <w:b/>
          <w:bCs/>
          <w:color w:val="2E75B6"/>
          <w:sz w:val="22"/>
          <w:szCs w:val="22"/>
        </w:rPr>
        <w:t xml:space="preserve">Phase 3: 보험 도메인 특화 AI 모델</w:t>
      </w:r>
    </w:p>
    <w:p>
      <w:pPr>
        <w:spacing w:before="60" w:after="100" w:line="360"/>
      </w:pPr>
      <w:r>
        <w:rPr>
          <w:rFonts w:ascii="Arial" w:cs="Arial" w:eastAsia="Arial" w:hAnsi="Arial"/>
          <w:color w:val="1A1A1A"/>
          <w:sz w:val="21"/>
          <w:szCs w:val="21"/>
        </w:rPr>
        <w:t xml:space="preserve">Phase 3는 KC의 최종 목표인 아이지넷 고유의 보험 도메인 특화 AI를 완성하는 단계이다.</w:t>
      </w:r>
    </w:p>
    <w:p>
      <w:pPr>
        <w:spacing w:before="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효과 영역</w:t>
            </w:r>
          </w:p>
        </w:tc>
        <w:tc>
          <w:tcPr>
            <w:tcW w:type="dxa" w:w="6626"/>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상세 내용 및 추정치</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도메인 특화 AI 모델</w:t>
            </w:r>
          </w:p>
        </w:tc>
        <w:tc>
          <w:tcPr>
            <w:tcW w:type="dxa" w:w="6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축적된 KC 데이터와 Case 카드를 기반으로 파인튜닝하여, 범용 LLM 대비 보험 도메인에서 압도적인 진단 정확도를 확보한다.</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AI 오케스트레이션</w:t>
            </w:r>
          </w:p>
        </w:tc>
        <w:tc>
          <w:tcPr>
            <w:tcW w:type="dxa" w:w="6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MCP를 통해 First Connect와 연동하여, AI 진단 → 리드 스코어링 → 설계사 배정 → 초회 상담 가이드까지 전 과정이 AI 기반으로 운영된다.</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경쟁 우위 확보</w:t>
            </w:r>
          </w:p>
        </w:tc>
        <w:tc>
          <w:tcPr>
            <w:tcW w:type="dxa" w:w="6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온톨로지(교체 불가 자산) + 파인튜닝 모델의 결합으로, 경쟁사가 단기간에 복제할 수 없는 구조적 경쟁 우위를 확보한다.</w:t>
            </w:r>
          </w:p>
        </w:tc>
      </w:tr>
    </w:tbl>
    <w:p>
      <w:pPr>
        <w:spacing w:before="0" w:after="0"/>
      </w:pPr>
    </w:p>
    <w:p>
      <w:pPr>
        <w:pStyle w:val="Heading2"/>
        <w:spacing w:before="300" w:after="160"/>
      </w:pPr>
      <w:r>
        <w:rPr>
          <w:rFonts w:ascii="Arial" w:cs="Arial" w:eastAsia="Arial" w:hAnsi="Arial"/>
          <w:b/>
          <w:bCs/>
          <w:color w:val="1B3A5C"/>
          <w:sz w:val="26"/>
          <w:szCs w:val="26"/>
        </w:rPr>
        <w:t xml:space="preserve">4-2. 추정 일정 및 마일스톤</w:t>
      </w:r>
    </w:p>
    <w:p>
      <w:pPr>
        <w:spacing w:before="0" w:after="0"/>
      </w:pPr>
    </w:p>
    <w:p>
      <w:pPr>
        <w:spacing w:before="60" w:after="100" w:line="360"/>
      </w:pPr>
      <w:r>
        <w:rPr>
          <w:rFonts w:ascii="Arial" w:cs="Arial" w:eastAsia="Arial" w:hAnsi="Arial"/>
          <w:color w:val="1A1A1A"/>
          <w:sz w:val="21"/>
          <w:szCs w:val="21"/>
        </w:rPr>
        <w:t xml:space="preserve">아래는 각 Phase의 추정 일정과 주요 마일스톤이다. 실제 일정은 기술연구소의 개발 리소스와 초기 카드 데이터 입력 분량에 따라 조정될 수 있다.</w:t>
      </w:r>
    </w:p>
    <w:p>
      <w:pPr>
        <w:spacing w:before="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426"/>
      </w:tblGrid>
      <w:tr>
        <w:tc>
          <w:tcPr>
            <w:tcW w:type="dxa" w:w="14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단계</w:t>
            </w:r>
          </w:p>
        </w:tc>
        <w:tc>
          <w:tcPr>
            <w:tcW w:type="dxa" w:w="18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추정 기간</w:t>
            </w:r>
          </w:p>
        </w:tc>
        <w:tc>
          <w:tcPr>
            <w:tcW w:type="dxa" w:w="24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주요 마일스톤</w:t>
            </w:r>
          </w:p>
        </w:tc>
        <w:tc>
          <w:tcPr>
            <w:tcW w:type="dxa" w:w="3426"/>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상세 내용</w:t>
            </w:r>
          </w:p>
        </w:tc>
      </w:tr>
      <w:tr>
        <w:tc>
          <w:tcPr>
            <w:tcW w:type="dxa" w:w="1400"/>
            <w:tcBorders>
              <w:top w:val="single" w:color="B4C7D9" w:sz="1"/>
              <w:left w:val="single" w:color="B4C7D9" w:sz="1"/>
              <w:bottom w:val="single" w:color="B4C7D9" w:sz="1"/>
              <w:right w:val="single" w:color="B4C7D9" w:sz="1"/>
            </w:tcBorders>
            <w:shd w:fill="E3F0E8" w:val="clear"/>
            <w:tcMar>
              <w:top w:type="dxa" w:w="100"/>
              <w:left w:type="dxa" w:w="140"/>
              <w:bottom w:type="dxa" w:w="100"/>
              <w:right w:type="dxa" w:w="140"/>
            </w:tcMar>
          </w:tcPr>
          <w:p>
            <w:r>
              <w:rPr>
                <w:rFonts w:ascii="Arial" w:cs="Arial" w:eastAsia="Arial" w:hAnsi="Arial"/>
                <w:b/>
                <w:bCs/>
                <w:color w:val="1A1A1A"/>
                <w:sz w:val="19"/>
                <w:szCs w:val="19"/>
              </w:rPr>
              <w:t xml:space="preserve">Phase 1</w:t>
            </w:r>
          </w:p>
        </w:tc>
        <w:tc>
          <w:tcPr>
            <w:tcW w:type="dxa" w:w="1800"/>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약 3개월</w:t>
            </w:r>
          </w:p>
        </w:tc>
        <w:tc>
          <w:tcPr>
            <w:tcW w:type="dxa" w:w="2400"/>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spacing w:after="40"/>
            </w:pPr>
            <w:r>
              <w:rPr>
                <w:rFonts w:ascii="Arial" w:cs="Arial" w:eastAsia="Arial" w:hAnsi="Arial"/>
                <w:color w:val="1A1A1A"/>
                <w:sz w:val="19"/>
                <w:szCs w:val="19"/>
              </w:rPr>
              <w:t xml:space="preserve">M1: KC 카드 스키마 설계</w:t>
            </w:r>
          </w:p>
          <w:p>
            <w:pPr>
              <w:spacing w:after="40"/>
            </w:pPr>
            <w:r>
              <w:rPr>
                <w:rFonts w:ascii="Arial" w:cs="Arial" w:eastAsia="Arial" w:hAnsi="Arial"/>
                <w:color w:val="1A1A1A"/>
                <w:sz w:val="19"/>
                <w:szCs w:val="19"/>
              </w:rPr>
              <w:t xml:space="preserve">M2: KC Admin MVP 개발</w:t>
            </w:r>
          </w:p>
          <w:p>
            <w:pPr>
              <w:spacing w:after="0"/>
            </w:pPr>
            <w:r>
              <w:rPr>
                <w:rFonts w:ascii="Arial" w:cs="Arial" w:eastAsia="Arial" w:hAnsi="Arial"/>
                <w:color w:val="1A1A1A"/>
                <w:sz w:val="19"/>
                <w:szCs w:val="19"/>
              </w:rPr>
              <w:t xml:space="preserve">M3: 초기 데이터 입력 및 검증</w:t>
            </w:r>
          </w:p>
        </w:tc>
        <w:tc>
          <w:tcPr>
            <w:tcW w:type="dxa" w:w="3426"/>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spacing w:after="40"/>
            </w:pPr>
            <w:r>
              <w:rPr>
                <w:rFonts w:ascii="Arial" w:cs="Arial" w:eastAsia="Arial" w:hAnsi="Arial"/>
                <w:color w:val="1A1A1A"/>
                <w:sz w:val="19"/>
                <w:szCs w:val="19"/>
              </w:rPr>
              <w:t xml:space="preserve">– 6+1종 카드 스키마 확정 및 DB 설계</w:t>
            </w:r>
          </w:p>
          <w:p>
            <w:pPr>
              <w:spacing w:after="40"/>
            </w:pPr>
            <w:r>
              <w:rPr>
                <w:rFonts w:ascii="Arial" w:cs="Arial" w:eastAsia="Arial" w:hAnsi="Arial"/>
                <w:color w:val="1A1A1A"/>
                <w:sz w:val="19"/>
                <w:szCs w:val="19"/>
              </w:rPr>
              <w:t xml:space="preserve">– KC Admin 핵심 기능(CRUD, 승인 워크플로우) 개발</w:t>
            </w:r>
          </w:p>
          <w:p>
            <w:pPr>
              <w:spacing w:after="0"/>
            </w:pPr>
            <w:r>
              <w:rPr>
                <w:rFonts w:ascii="Arial" w:cs="Arial" w:eastAsia="Arial" w:hAnsi="Arial"/>
                <w:color w:val="1A1A1A"/>
                <w:sz w:val="19"/>
                <w:szCs w:val="19"/>
              </w:rPr>
              <w:t xml:space="preserve">– Definition, Risk Type, Rule 카드 초기 데이터 입력 및 검증</w:t>
            </w:r>
          </w:p>
        </w:tc>
      </w:tr>
      <w:tr>
        <w:tc>
          <w:tcPr>
            <w:tcW w:type="dxa" w:w="1400"/>
            <w:tcBorders>
              <w:top w:val="single" w:color="B4C7D9" w:sz="1"/>
              <w:left w:val="single" w:color="B4C7D9" w:sz="1"/>
              <w:bottom w:val="single" w:color="B4C7D9" w:sz="1"/>
              <w:right w:val="single" w:color="B4C7D9" w:sz="1"/>
            </w:tcBorders>
            <w:shd w:fill="E8EDF8" w:val="clear"/>
            <w:tcMar>
              <w:top w:type="dxa" w:w="100"/>
              <w:left w:type="dxa" w:w="140"/>
              <w:bottom w:type="dxa" w:w="100"/>
              <w:right w:type="dxa" w:w="140"/>
            </w:tcMar>
          </w:tcPr>
          <w:p>
            <w:r>
              <w:rPr>
                <w:rFonts w:ascii="Arial" w:cs="Arial" w:eastAsia="Arial" w:hAnsi="Arial"/>
                <w:b/>
                <w:bCs/>
                <w:color w:val="1A1A1A"/>
                <w:sz w:val="19"/>
                <w:szCs w:val="19"/>
              </w:rPr>
              <w:t xml:space="preserve">Phase 2</w:t>
            </w:r>
          </w:p>
        </w:tc>
        <w:tc>
          <w:tcPr>
            <w:tcW w:type="dxa" w:w="1800"/>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약 4~6개월</w:t>
            </w:r>
          </w:p>
        </w:tc>
        <w:tc>
          <w:tcPr>
            <w:tcW w:type="dxa" w:w="2400"/>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spacing w:after="40"/>
            </w:pPr>
            <w:r>
              <w:rPr>
                <w:rFonts w:ascii="Arial" w:cs="Arial" w:eastAsia="Arial" w:hAnsi="Arial"/>
                <w:color w:val="1A1A1A"/>
                <w:sz w:val="19"/>
                <w:szCs w:val="19"/>
              </w:rPr>
              <w:t xml:space="preserve">M4: RAG 파이프라인 구축</w:t>
            </w:r>
          </w:p>
          <w:p>
            <w:pPr>
              <w:spacing w:after="40"/>
            </w:pPr>
            <w:r>
              <w:rPr>
                <w:rFonts w:ascii="Arial" w:cs="Arial" w:eastAsia="Arial" w:hAnsi="Arial"/>
                <w:color w:val="1A1A1A"/>
                <w:sz w:val="19"/>
                <w:szCs w:val="19"/>
              </w:rPr>
              <w:t xml:space="preserve">M5: Clark AI 통합 테스트</w:t>
            </w:r>
          </w:p>
          <w:p>
            <w:pPr>
              <w:spacing w:after="0"/>
            </w:pPr>
            <w:r>
              <w:rPr>
                <w:rFonts w:ascii="Arial" w:cs="Arial" w:eastAsia="Arial" w:hAnsi="Arial"/>
                <w:color w:val="1A1A1A"/>
                <w:sz w:val="19"/>
                <w:szCs w:val="19"/>
              </w:rPr>
              <w:t xml:space="preserve">M6: Playbook 적용 및 베타 운영</w:t>
            </w:r>
          </w:p>
        </w:tc>
        <w:tc>
          <w:tcPr>
            <w:tcW w:type="dxa" w:w="3426"/>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spacing w:after="40"/>
            </w:pPr>
            <w:r>
              <w:rPr>
                <w:rFonts w:ascii="Arial" w:cs="Arial" w:eastAsia="Arial" w:hAnsi="Arial"/>
                <w:color w:val="1A1A1A"/>
                <w:sz w:val="19"/>
                <w:szCs w:val="19"/>
              </w:rPr>
              <w:t xml:space="preserve">– KC 카드 기반 RAG 파이프라인 구축 및 테스트</w:t>
            </w:r>
          </w:p>
          <w:p>
            <w:pPr>
              <w:spacing w:after="40"/>
            </w:pPr>
            <w:r>
              <w:rPr>
                <w:rFonts w:ascii="Arial" w:cs="Arial" w:eastAsia="Arial" w:hAnsi="Arial"/>
                <w:color w:val="1A1A1A"/>
                <w:sz w:val="19"/>
                <w:szCs w:val="19"/>
              </w:rPr>
              <w:t xml:space="preserve">– Clark AI에 KC 기반 진단 로직 통합 및 품질 검증</w:t>
            </w:r>
          </w:p>
          <w:p>
            <w:pPr>
              <w:spacing w:after="0"/>
            </w:pPr>
            <w:r>
              <w:rPr>
                <w:rFonts w:ascii="Arial" w:cs="Arial" w:eastAsia="Arial" w:hAnsi="Arial"/>
                <w:color w:val="1A1A1A"/>
                <w:sz w:val="19"/>
                <w:szCs w:val="19"/>
              </w:rPr>
              <w:t xml:space="preserve">– Playbook 레이어 적용, 베타 운영을 통한 진단 정확도 최적화</w:t>
            </w:r>
          </w:p>
        </w:tc>
      </w:tr>
      <w:tr>
        <w:tc>
          <w:tcPr>
            <w:tcW w:type="dxa" w:w="1400"/>
            <w:tcBorders>
              <w:top w:val="single" w:color="B4C7D9" w:sz="1"/>
              <w:left w:val="single" w:color="B4C7D9" w:sz="1"/>
              <w:bottom w:val="single" w:color="B4C7D9" w:sz="1"/>
              <w:right w:val="single" w:color="B4C7D9" w:sz="1"/>
            </w:tcBorders>
            <w:shd w:fill="F5E8E3" w:val="clear"/>
            <w:tcMar>
              <w:top w:type="dxa" w:w="100"/>
              <w:left w:type="dxa" w:w="140"/>
              <w:bottom w:type="dxa" w:w="100"/>
              <w:right w:type="dxa" w:w="140"/>
            </w:tcMar>
          </w:tcPr>
          <w:p>
            <w:r>
              <w:rPr>
                <w:rFonts w:ascii="Arial" w:cs="Arial" w:eastAsia="Arial" w:hAnsi="Arial"/>
                <w:b/>
                <w:bCs/>
                <w:color w:val="1A1A1A"/>
                <w:sz w:val="19"/>
                <w:szCs w:val="19"/>
              </w:rPr>
              <w:t xml:space="preserve">Phase 3</w:t>
            </w:r>
          </w:p>
        </w:tc>
        <w:tc>
          <w:tcPr>
            <w:tcW w:type="dxa" w:w="1800"/>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약 6~12개월</w:t>
            </w:r>
          </w:p>
        </w:tc>
        <w:tc>
          <w:tcPr>
            <w:tcW w:type="dxa" w:w="2400"/>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spacing w:after="40"/>
            </w:pPr>
            <w:r>
              <w:rPr>
                <w:rFonts w:ascii="Arial" w:cs="Arial" w:eastAsia="Arial" w:hAnsi="Arial"/>
                <w:color w:val="1A1A1A"/>
                <w:sz w:val="19"/>
                <w:szCs w:val="19"/>
              </w:rPr>
              <w:t xml:space="preserve">M7: Case 데이터 축적</w:t>
            </w:r>
          </w:p>
          <w:p>
            <w:pPr>
              <w:spacing w:after="40"/>
            </w:pPr>
            <w:r>
              <w:rPr>
                <w:rFonts w:ascii="Arial" w:cs="Arial" w:eastAsia="Arial" w:hAnsi="Arial"/>
                <w:color w:val="1A1A1A"/>
                <w:sz w:val="19"/>
                <w:szCs w:val="19"/>
              </w:rPr>
              <w:t xml:space="preserve">M8: 파인튜닝 및 MCP 연동</w:t>
            </w:r>
          </w:p>
          <w:p>
            <w:pPr>
              <w:spacing w:after="0"/>
            </w:pPr>
            <w:r>
              <w:rPr>
                <w:rFonts w:ascii="Arial" w:cs="Arial" w:eastAsia="Arial" w:hAnsi="Arial"/>
                <w:color w:val="1A1A1A"/>
                <w:sz w:val="19"/>
                <w:szCs w:val="19"/>
              </w:rPr>
              <w:t xml:space="preserve">M9: AI Sales OS 완성</w:t>
            </w:r>
          </w:p>
        </w:tc>
        <w:tc>
          <w:tcPr>
            <w:tcW w:type="dxa" w:w="3426"/>
            <w:tcBorders>
              <w:top w:val="single" w:color="B4C7D9" w:sz="1"/>
              <w:left w:val="single" w:color="B4C7D9" w:sz="1"/>
              <w:bottom w:val="single" w:color="B4C7D9" w:sz="1"/>
              <w:right w:val="single" w:color="B4C7D9" w:sz="1"/>
            </w:tcBorders>
            <w:tcMar>
              <w:top w:type="dxa" w:w="100"/>
              <w:left w:type="dxa" w:w="140"/>
              <w:bottom w:type="dxa" w:w="100"/>
              <w:right w:type="dxa" w:w="140"/>
            </w:tcMar>
          </w:tcPr>
          <w:p>
            <w:pPr>
              <w:spacing w:after="40"/>
            </w:pPr>
            <w:r>
              <w:rPr>
                <w:rFonts w:ascii="Arial" w:cs="Arial" w:eastAsia="Arial" w:hAnsi="Arial"/>
                <w:color w:val="1A1A1A"/>
                <w:sz w:val="19"/>
                <w:szCs w:val="19"/>
              </w:rPr>
              <w:t xml:space="preserve">– Case 카드 축적 및 파인튜닝용 데이터셋 구성</w:t>
            </w:r>
          </w:p>
          <w:p>
            <w:pPr>
              <w:spacing w:after="40"/>
            </w:pPr>
            <w:r>
              <w:rPr>
                <w:rFonts w:ascii="Arial" w:cs="Arial" w:eastAsia="Arial" w:hAnsi="Arial"/>
                <w:color w:val="1A1A1A"/>
                <w:sz w:val="19"/>
                <w:szCs w:val="19"/>
              </w:rPr>
              <w:t xml:space="preserve">– 보험 도메인 특화 AI 모델 파인튜닝 및 MCP 기반 First Connect 연동</w:t>
            </w:r>
          </w:p>
          <w:p>
            <w:pPr>
              <w:spacing w:after="0"/>
            </w:pPr>
            <w:r>
              <w:rPr>
                <w:rFonts w:ascii="Arial" w:cs="Arial" w:eastAsia="Arial" w:hAnsi="Arial"/>
                <w:color w:val="1A1A1A"/>
                <w:sz w:val="19"/>
                <w:szCs w:val="19"/>
              </w:rPr>
              <w:t xml:space="preserve">– AI 기반 보험 세일즈 운영 시스템(AI Sales OS) 완성</w:t>
            </w:r>
          </w:p>
        </w:tc>
      </w:tr>
    </w:tbl>
    <w:p>
      <w:pPr>
        <w:spacing w:before="0" w:after="0"/>
      </w:pPr>
    </w:p>
    <w:p>
      <w:pPr>
        <w:spacing w:before="60" w:after="100" w:line="360"/>
      </w:pPr>
      <w:r>
        <w:rPr>
          <w:rFonts w:ascii="Arial" w:cs="Arial" w:eastAsia="Arial" w:hAnsi="Arial"/>
          <w:i/>
          <w:iCs/>
          <w:color w:val="666666"/>
          <w:sz w:val="21"/>
          <w:szCs w:val="21"/>
        </w:rPr>
        <w:t xml:space="preserve">※ 위 일정은 초기 추정치이며, Phase 1 착수 후 기술연구소와 협의하여 구체화할 예정이다.</w:t>
      </w:r>
    </w:p>
    <w:p>
      <w:pPr>
        <w:spacing w:before="0" w:after="0"/>
      </w:pPr>
    </w:p>
    <w:p>
      <w:pPr>
        <w:pStyle w:val="Heading2"/>
        <w:spacing w:before="300" w:after="160"/>
      </w:pPr>
      <w:r>
        <w:rPr>
          <w:rFonts w:ascii="Arial" w:cs="Arial" w:eastAsia="Arial" w:hAnsi="Arial"/>
          <w:b/>
          <w:bCs/>
          <w:color w:val="1B3A5C"/>
          <w:sz w:val="26"/>
          <w:szCs w:val="26"/>
        </w:rPr>
        <w:t xml:space="preserve">4-3. 후속 과제</w:t>
      </w:r>
    </w:p>
    <w:p>
      <w:pPr>
        <w:spacing w:before="0" w:after="0"/>
      </w:pPr>
    </w:p>
    <w:p>
      <w:pPr>
        <w:spacing w:before="60" w:after="100" w:line="360"/>
      </w:pPr>
      <w:r>
        <w:rPr>
          <w:rFonts w:ascii="Arial" w:cs="Arial" w:eastAsia="Arial" w:hAnsi="Arial"/>
          <w:color w:val="1A1A1A"/>
          <w:sz w:val="21"/>
          <w:szCs w:val="21"/>
        </w:rPr>
        <w:t xml:space="preserve">본 기획서는 Phase 1(KC 카드 체계 설계 및 KC Admin 기능 정의)을 중심으로 다루었다. Phase 2 이후의 주요 후속 과제는 다음과 같으며, 각 과제별로 별도 기획서를 작성할 예정이다.</w:t>
      </w:r>
    </w:p>
    <w:p>
      <w:pPr>
        <w:spacing w:before="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후속 과제</w:t>
            </w:r>
          </w:p>
        </w:tc>
        <w:tc>
          <w:tcPr>
            <w:tcW w:type="dxa" w:w="6626"/>
            <w:tcBorders>
              <w:top w:val="single" w:color="B4C7D9" w:sz="1"/>
              <w:left w:val="single" w:color="B4C7D9" w:sz="1"/>
              <w:bottom w:val="single" w:color="B4C7D9" w:sz="1"/>
              <w:right w:val="single" w:color="B4C7D9"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상세 내용</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MCP 기반 First Connect 연동 설계</w:t>
            </w:r>
          </w:p>
        </w:tc>
        <w:tc>
          <w:tcPr>
            <w:tcW w:type="dxa" w:w="6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Playbook의 배정 최적화 레이어와 First Connect 간 MCP 연동 설계. First Connect 측 API 제공 가능 항목 확정이 선행되어야 한다.</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Clark AI RAG 파이프라인 상세 설계</w:t>
            </w:r>
          </w:p>
        </w:tc>
        <w:tc>
          <w:tcPr>
            <w:tcW w:type="dxa" w:w="6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KC 카드를 RAG 지식 베이스에 투입하는 구체적인 파이프라인 설계. 벡터 임베딩, 검색 전략, 카드 간 참조 링크 처리 방법 등을 포함한다.</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파인튜닝 계획 수립</w:t>
            </w:r>
          </w:p>
        </w:tc>
        <w:tc>
          <w:tcPr>
            <w:tcW w:type="dxa" w:w="6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Phase 2에서 축적된 KC 데이터와 Case 카드를 기반으로, 보험 도메인 특화 AI 모델의 파인튜닝 전략과 데이터셋 구성 계획을 수립한다.</w:t>
            </w:r>
          </w:p>
        </w:tc>
      </w:tr>
      <w:tr>
        <w:tc>
          <w:tcPr>
            <w:tcW w:type="dxa" w:w="2400"/>
            <w:tcBorders>
              <w:top w:val="single" w:color="B4C7D9" w:sz="1"/>
              <w:left w:val="single" w:color="B4C7D9" w:sz="1"/>
              <w:bottom w:val="single" w:color="B4C7D9" w:sz="1"/>
              <w:right w:val="single" w:color="B4C7D9" w:sz="1"/>
            </w:tcBorders>
            <w:shd w:fill="E8F0F8" w:val="clear"/>
            <w:tcMar>
              <w:top w:type="dxa" w:w="100"/>
              <w:left w:type="dxa" w:w="140"/>
              <w:bottom w:type="dxa" w:w="100"/>
              <w:right w:type="dxa" w:w="140"/>
            </w:tcMar>
          </w:tcPr>
          <w:p>
            <w:r>
              <w:rPr>
                <w:rFonts w:ascii="Arial" w:cs="Arial" w:eastAsia="Arial" w:hAnsi="Arial"/>
                <w:b/>
                <w:bCs/>
                <w:color w:val="1A1A1A"/>
                <w:sz w:val="19"/>
                <w:szCs w:val="19"/>
              </w:rPr>
              <w:t xml:space="preserve">KC Admin UI 상세 설계</w:t>
            </w:r>
          </w:p>
        </w:tc>
        <w:tc>
          <w:tcPr>
            <w:tcW w:type="dxa" w:w="6626"/>
            <w:tcBorders>
              <w:top w:val="single" w:color="B4C7D9" w:sz="1"/>
              <w:left w:val="single" w:color="B4C7D9" w:sz="1"/>
              <w:bottom w:val="single" w:color="B4C7D9" w:sz="1"/>
              <w:right w:val="single" w:color="B4C7D9" w:sz="1"/>
            </w:tcBorders>
            <w:tcMar>
              <w:top w:type="dxa" w:w="100"/>
              <w:left w:type="dxa" w:w="140"/>
              <w:bottom w:type="dxa" w:w="100"/>
              <w:right w:type="dxa" w:w="140"/>
            </w:tcMar>
          </w:tcPr>
          <w:p>
            <w:r>
              <w:rPr>
                <w:rFonts w:ascii="Arial" w:cs="Arial" w:eastAsia="Arial" w:hAnsi="Arial"/>
                <w:color w:val="1A1A1A"/>
                <w:sz w:val="19"/>
                <w:szCs w:val="19"/>
              </w:rPr>
              <w:t xml:space="preserve">본 기획서에서 정의한 기능을 기반으로, KC Admin의 상세 UI/UX 설계서를 별도 작성한다.</w:t>
            </w:r>
          </w:p>
        </w:tc>
      </w:tr>
    </w:tbl>
    <w:p>
      <w:pPr>
        <w:spacing w:before="0" w:after="0"/>
      </w:pPr>
    </w:p>
    <w:p>
      <w:pPr>
        <w:pStyle w:val="Heading2"/>
        <w:spacing w:before="300" w:after="160"/>
      </w:pPr>
      <w:r>
        <w:rPr>
          <w:rFonts w:ascii="Arial" w:cs="Arial" w:eastAsia="Arial" w:hAnsi="Arial"/>
          <w:b/>
          <w:bCs/>
          <w:color w:val="1B3A5C"/>
          <w:sz w:val="26"/>
          <w:szCs w:val="26"/>
        </w:rPr>
        <w:t xml:space="preserve">4-4. 마무리</w:t>
      </w:r>
    </w:p>
    <w:p>
      <w:pPr>
        <w:spacing w:before="0" w:after="0"/>
      </w:pPr>
    </w:p>
    <w:p>
      <w:pPr>
        <w:spacing w:before="60" w:after="100" w:line="360"/>
      </w:pPr>
      <w:r>
        <w:rPr>
          <w:rFonts w:ascii="Arial" w:cs="Arial" w:eastAsia="Arial" w:hAnsi="Arial"/>
          <w:color w:val="1A1A1A"/>
          <w:sz w:val="21"/>
          <w:szCs w:val="21"/>
        </w:rPr>
        <w:t xml:space="preserve">Knowledge Core는 bodoc의 사업 존속 위협에 대한 선제적 대응이자, 아이지넷의 장기적 경쟁력을 확보하기 위한 전략적 프로젝트이다.</w:t>
      </w:r>
    </w:p>
    <w:p>
      <w:pPr>
        <w:spacing w:before="60" w:after="100" w:line="360"/>
      </w:pPr>
      <w:r>
        <w:rPr>
          <w:rFonts w:ascii="Arial" w:cs="Arial" w:eastAsia="Arial" w:hAnsi="Arial"/>
          <w:color w:val="1A1A1A"/>
          <w:sz w:val="21"/>
          <w:szCs w:val="21"/>
        </w:rPr>
        <w:t xml:space="preserve">KC 카드 체계는 단순한 지식 정리가 아니라, </w:t>
      </w:r>
      <w:r>
        <w:rPr>
          <w:rFonts w:ascii="Arial" w:cs="Arial" w:eastAsia="Arial" w:hAnsi="Arial"/>
          <w:b/>
          <w:bCs/>
          <w:color w:val="1A1A1A"/>
          <w:sz w:val="21"/>
          <w:szCs w:val="21"/>
        </w:rPr>
        <w:t xml:space="preserve">경쟁사가 복제할 수 없는 보험 도메인 온톨로지</w:t>
      </w:r>
      <w:r>
        <w:rPr>
          <w:rFonts w:ascii="Arial" w:cs="Arial" w:eastAsia="Arial" w:hAnsi="Arial"/>
          <w:color w:val="1A1A1A"/>
          <w:sz w:val="21"/>
          <w:szCs w:val="21"/>
        </w:rPr>
        <w:t xml:space="preserve">이며, 이것이 LLM이 교체되더라도 유지되는 아이지넷의 핵심 플랫폼 자산이다. Phase 1의 빠른 착수와 실행을 통해, 생성형 AI 시대에 bodoc이 보험 도메인의 권위 있는 지식 소스로 자리매김할 수 있도록 해야 한다.</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아이지넷 플랫폼사업본부 |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666666"/>
        <w:sz w:val="16"/>
        <w:szCs w:val="16"/>
      </w:rPr>
      <w:t xml:space="preserve">Knowledge Core 기획서</w:t>
    </w:r>
    <w:r>
      <w:rPr>
        <w:rFonts w:ascii="Arial" w:cs="Arial" w:eastAsia="Arial" w:hAnsi="Arial"/>
        <w:color w:val="666666"/>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1080" w:hanging="360"/>
      </w:pPr>
    </w:lvl>
  </w:abstractNum>
  <w:abstractNum w:abstractNumId="8" w15:restartNumberingAfterBreak="0">
    <w:multiLevelType w:val="hybridMultilevel"/>
    <w:lvl w:ilvl="0" w15:tentative="1">
      <w:start w:val="1"/>
      <w:numFmt w:val="bullet"/>
      <w:lvlText w:val="–"/>
      <w:lvlJc w:val="left"/>
      <w:pPr>
        <w:ind w:left="1080" w:hanging="360"/>
      </w:pPr>
    </w:lvl>
  </w:abstractNum>
  <w:abstractNum w:abstractNumId="9"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B3A5C"/>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2026-03-25T01:07:37.595Z</dcterms:created>
  <dcterms:modified xsi:type="dcterms:W3CDTF">2026-03-25T01:07:37.595Z</dcterms:modified>
</cp:coreProperties>
</file>

<file path=docProps/custom.xml><?xml version="1.0" encoding="utf-8"?>
<Properties xmlns="http://schemas.openxmlformats.org/officeDocument/2006/custom-properties" xmlns:vt="http://schemas.openxmlformats.org/officeDocument/2006/docPropsVTypes"/>
</file>