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36"/>
          <w:szCs w:val="36"/>
        </w:rPr>
        <w:t xml:space="preserve">Acceptable Use Policy (AUP)</w:t>
      </w:r>
    </w:p>
    <w:p>
      <w:pPr>
        <w:spacing w:after="100"/>
      </w:pPr>
      <w:r>
        <w:rPr>
          <w:rFonts w:ascii="Arial" w:cs="Arial" w:eastAsia="Arial" w:hAnsi="Arial"/>
          <w:b/>
          <w:bCs/>
          <w:color w:val="2E75B6"/>
          <w:sz w:val="22"/>
          <w:szCs w:val="22"/>
        </w:rPr>
        <w:t xml:space="preserve">Policy POL-001</w:t>
      </w:r>
    </w:p>
    <w:p>
      <w:pPr>
        <w:spacing w:after="300"/>
      </w:pPr>
      <w:r>
        <w:rPr>
          <w:rFonts w:ascii="Arial" w:cs="Arial" w:eastAsia="Arial" w:hAnsi="Arial"/>
          <w:color w:val="666666"/>
          <w:sz w:val="18"/>
          <w:szCs w:val="18"/>
        </w:rPr>
        <w:t xml:space="preserve">PayWave Solutions Pte. Ltd.</w:t>
      </w:r>
    </w:p>
    <w:p>
      <w:pPr>
        <w:spacing w:after="120" w:before="240"/>
      </w:pPr>
      <w:r>
        <w:rPr>
          <w:rFonts w:ascii="Arial" w:cs="Arial" w:eastAsia="Arial" w:hAnsi="Arial"/>
          <w:b/>
          <w:bCs/>
          <w:color w:val="1F3864"/>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Policy ID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POL-001</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Effective Date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2026</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Review</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2027</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Executive Officer</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INTERNAL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100"/>
                <w:sz w:val="16"/>
                <w:szCs w:val="16"/>
              </w:rPr>
              <w:t xml:space="preserve">Active</w:t>
            </w:r>
          </w:p>
        </w:tc>
      </w:tr>
    </w:tbl>
    <w:p>
      <w:pPr>
        <w:spacing w:after="120" w:before="240"/>
      </w:pPr>
      <w:r>
        <w:rPr>
          <w:rFonts w:ascii="Arial" w:cs="Arial" w:eastAsia="Arial" w:hAnsi="Arial"/>
          <w:b/>
          <w:bCs/>
          <w:color w:val="1F3864"/>
          <w:sz w:val="22"/>
          <w:szCs w:val="22"/>
        </w:rPr>
        <w:t xml:space="preserve">1. Purpose</w:t>
      </w:r>
    </w:p>
    <w:p>
      <w:pPr>
        <w:spacing w:after="100"/>
      </w:pPr>
      <w:r>
        <w:rPr>
          <w:rFonts w:ascii="Arial" w:cs="Arial" w:eastAsia="Arial" w:hAnsi="Arial"/>
          <w:i w:val="false"/>
          <w:iCs w:val="false"/>
          <w:sz w:val="18"/>
          <w:szCs w:val="18"/>
        </w:rPr>
        <w:t xml:space="preserve">This policy establishes the rules and standards for the acceptable use of PayWave Solutions' information assets, technology resources, and data. It is designed to protect the confidentiality, integrity, and availability of PayWave's systems and the personal and financial data of its customers, in alignment with the Monetary Authority of Singapore (MAS) Technology Risk Management Guidelines, the Personal Data Protection Act (PDPA), and ISO 27001:2022 control A.5.10.</w:t>
      </w:r>
    </w:p>
    <w:p>
      <w:pPr>
        <w:spacing w:after="120" w:before="240"/>
      </w:pPr>
      <w:r>
        <w:rPr>
          <w:rFonts w:ascii="Arial" w:cs="Arial" w:eastAsia="Arial" w:hAnsi="Arial"/>
          <w:b/>
          <w:bCs/>
          <w:color w:val="1F3864"/>
          <w:sz w:val="22"/>
          <w:szCs w:val="22"/>
        </w:rPr>
        <w:t xml:space="preserve">2. Scope</w:t>
      </w:r>
    </w:p>
    <w:p>
      <w:pPr>
        <w:spacing w:after="100"/>
      </w:pPr>
      <w:r>
        <w:rPr>
          <w:rFonts w:ascii="Arial" w:cs="Arial" w:eastAsia="Arial" w:hAnsi="Arial"/>
          <w:i w:val="false"/>
          <w:iCs w:val="false"/>
          <w:sz w:val="18"/>
          <w:szCs w:val="18"/>
        </w:rPr>
        <w:t xml:space="preserve">This policy applies to all PayWave employees, contractors, consultants, interns, and authorised third parties (collectively, "Users") who access, use, or manage PayWave information systems, networks, applications, or data. It covers all PayWave-issued devices, all personal devices used for PayWave work (BYOD), and all software, cloud services, and physical media used in the course of PayWave business.</w:t>
      </w:r>
    </w:p>
    <w:p>
      <w:pPr>
        <w:spacing w:after="120" w:before="240"/>
      </w:pPr>
      <w:r>
        <w:rPr>
          <w:rFonts w:ascii="Arial" w:cs="Arial" w:eastAsia="Arial" w:hAnsi="Arial"/>
          <w:b/>
          <w:bCs/>
          <w:color w:val="1F3864"/>
          <w:sz w:val="22"/>
          <w:szCs w:val="2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Information Asset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Any PayWave data, software, hardware, or service that has value to the organisation, including but not limited to customer data, source code, financial records, and business communications.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User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Any individual granted access to PayWave information systems, including employees, contractors, consultants, and authorised third parties.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BYOD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Bring Your Own Device — personal devices used to access PayWave information assets, subject to enrolment in PayWave's mobile device management (MDM) solution.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Restricted Data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PayWave's most sensitive data classification, including customer personally identifiable information (PII), payment card data, authentication credentials, and source code.</w:t>
            </w:r>
          </w:p>
        </w:tc>
      </w:tr>
    </w:tbl>
    <w:p>
      <w:pPr>
        <w:spacing w:after="120" w:before="240"/>
      </w:pPr>
      <w:r>
        <w:rPr>
          <w:rFonts w:ascii="Arial" w:cs="Arial" w:eastAsia="Arial" w:hAnsi="Arial"/>
          <w:b/>
          <w:bCs/>
          <w:color w:val="1F3864"/>
          <w:sz w:val="22"/>
          <w:szCs w:val="22"/>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Users (all)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Comply with this policy; report suspected violations or security incidents; complete mandatory security awareness training annually.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Line Managers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Ensure direct reports complete training; reinforce policy expectations; report observed violations to HR and the GRC team.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IT Manager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Provision and maintain User devices in accordance with policy; enforce MDM enrolment for BYOD; investigate technical violations.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Human Resources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Communicate policy at onboarding; obtain User acknowledgement; manage disciplinary process for violations.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CISO</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Own and maintain this policy; review annually; approve exceptions; escalate material violations to executive leadership.</w:t>
            </w:r>
          </w:p>
        </w:tc>
      </w:tr>
    </w:tbl>
    <w:p>
      <w:pPr>
        <w:spacing w:after="120" w:before="240"/>
      </w:pPr>
      <w:r>
        <w:rPr>
          <w:rFonts w:ascii="Arial" w:cs="Arial" w:eastAsia="Arial" w:hAnsi="Arial"/>
          <w:b/>
          <w:bCs/>
          <w:color w:val="1F3864"/>
          <w:sz w:val="22"/>
          <w:szCs w:val="22"/>
        </w:rPr>
        <w:t xml:space="preserve">5. Policy Statements</w:t>
      </w:r>
    </w:p>
    <w:p>
      <w:pPr>
        <w:spacing w:after="100"/>
      </w:pPr>
      <w:r>
        <w:rPr>
          <w:rFonts w:ascii="Arial" w:cs="Arial" w:eastAsia="Arial" w:hAnsi="Arial"/>
          <w:i w:val="false"/>
          <w:iCs w:val="false"/>
          <w:sz w:val="18"/>
          <w:szCs w:val="18"/>
        </w:rPr>
        <w:t xml:space="preserve">The following requirements apply to all parties within scope of this policy. Compliance is mandatory unless a documented exception has been approved in accordance with Section 6.</w:t>
      </w:r>
    </w:p>
    <w:p>
      <w:pPr>
        <w:spacing w:after="80" w:before="160"/>
      </w:pPr>
      <w:r>
        <w:rPr>
          <w:rFonts w:ascii="Arial" w:cs="Arial" w:eastAsia="Arial" w:hAnsi="Arial"/>
          <w:b/>
          <w:bCs/>
          <w:color w:val="2E75B6"/>
          <w:sz w:val="18"/>
          <w:szCs w:val="18"/>
        </w:rPr>
        <w:t xml:space="preserve">5.1 Authorised Use</w:t>
      </w:r>
    </w:p>
    <w:p>
      <w:pPr>
        <w:spacing w:after="60"/>
        <w:ind w:left="360"/>
      </w:pPr>
      <w:r>
        <w:rPr>
          <w:rFonts w:ascii="Arial" w:cs="Arial" w:eastAsia="Arial" w:hAnsi="Arial"/>
          <w:b w:val="false"/>
          <w:bCs w:val="false"/>
          <w:sz w:val="18"/>
          <w:szCs w:val="18"/>
        </w:rPr>
        <w:t xml:space="preserve">5.1.1  PayWave information assets shall be used only for legitimate PayWave business purposes. Limited reasonable personal use is permitted provided it does not consume significant resources, interfere with work duties, or violate any other provision of this policy.</w:t>
      </w:r>
    </w:p>
    <w:p>
      <w:pPr>
        <w:spacing w:after="60"/>
        <w:ind w:left="360"/>
      </w:pPr>
      <w:r>
        <w:rPr>
          <w:rFonts w:ascii="Arial" w:cs="Arial" w:eastAsia="Arial" w:hAnsi="Arial"/>
          <w:b w:val="false"/>
          <w:bCs w:val="false"/>
          <w:sz w:val="18"/>
          <w:szCs w:val="18"/>
        </w:rPr>
        <w:t xml:space="preserve">5.1.2  Users shall access only those information assets to which they have been explicitly authorised. Access to systems, data, or applications outside of granted authorisation is prohibited even if technically possible.</w:t>
      </w:r>
    </w:p>
    <w:p>
      <w:pPr>
        <w:spacing w:after="60"/>
        <w:ind w:left="360"/>
      </w:pPr>
      <w:r>
        <w:rPr>
          <w:rFonts w:ascii="Arial" w:cs="Arial" w:eastAsia="Arial" w:hAnsi="Arial"/>
          <w:b w:val="false"/>
          <w:bCs w:val="false"/>
          <w:sz w:val="18"/>
          <w:szCs w:val="18"/>
        </w:rPr>
        <w:t xml:space="preserve">5.1.3  Users shall not attempt to bypass, disable, or circumvent any security control including endpoint protection, web filtering, MDM, or data loss prevention (DLP) tooling.</w:t>
      </w:r>
    </w:p>
    <w:p>
      <w:pPr>
        <w:spacing w:after="80" w:before="160"/>
      </w:pPr>
      <w:r>
        <w:rPr>
          <w:rFonts w:ascii="Arial" w:cs="Arial" w:eastAsia="Arial" w:hAnsi="Arial"/>
          <w:b/>
          <w:bCs/>
          <w:color w:val="2E75B6"/>
          <w:sz w:val="18"/>
          <w:szCs w:val="18"/>
        </w:rPr>
        <w:t xml:space="preserve">5.2 Prohibited Activities</w:t>
      </w:r>
    </w:p>
    <w:p>
      <w:pPr>
        <w:spacing w:after="60"/>
        <w:ind w:left="360"/>
      </w:pPr>
      <w:r>
        <w:rPr>
          <w:rFonts w:ascii="Arial" w:cs="Arial" w:eastAsia="Arial" w:hAnsi="Arial"/>
          <w:b w:val="false"/>
          <w:bCs w:val="false"/>
          <w:sz w:val="18"/>
          <w:szCs w:val="18"/>
        </w:rPr>
        <w:t xml:space="preserve">5.2.1  Users shall not use PayWave assets to access, store, create, or transmit content that is unlawful, defamatory, harassing, discriminatory, sexually explicit, or otherwise inappropriate for the workplace.</w:t>
      </w:r>
    </w:p>
    <w:p>
      <w:pPr>
        <w:spacing w:after="60"/>
        <w:ind w:left="360"/>
      </w:pPr>
      <w:r>
        <w:rPr>
          <w:rFonts w:ascii="Arial" w:cs="Arial" w:eastAsia="Arial" w:hAnsi="Arial"/>
          <w:b w:val="false"/>
          <w:bCs w:val="false"/>
          <w:sz w:val="18"/>
          <w:szCs w:val="18"/>
        </w:rPr>
        <w:t xml:space="preserve">5.2.2  Users shall not download, install, or execute software on PayWave-managed devices without explicit IT approval. This includes browser extensions, freeware, productivity tools, and AI assistants.</w:t>
      </w:r>
    </w:p>
    <w:p>
      <w:pPr>
        <w:spacing w:after="60"/>
        <w:ind w:left="360"/>
      </w:pPr>
      <w:r>
        <w:rPr>
          <w:rFonts w:ascii="Arial" w:cs="Arial" w:eastAsia="Arial" w:hAnsi="Arial"/>
          <w:b w:val="false"/>
          <w:bCs w:val="false"/>
          <w:sz w:val="18"/>
          <w:szCs w:val="18"/>
        </w:rPr>
        <w:t xml:space="preserve">5.2.3  Users shall not use PayWave assets for unauthorised commercial activities, including running personal businesses, cryptocurrency mining, or operating personal websites.</w:t>
      </w:r>
    </w:p>
    <w:p>
      <w:pPr>
        <w:spacing w:after="60"/>
        <w:ind w:left="360"/>
      </w:pPr>
      <w:r>
        <w:rPr>
          <w:rFonts w:ascii="Arial" w:cs="Arial" w:eastAsia="Arial" w:hAnsi="Arial"/>
          <w:b w:val="false"/>
          <w:bCs w:val="false"/>
          <w:sz w:val="18"/>
          <w:szCs w:val="18"/>
        </w:rPr>
        <w:t xml:space="preserve">5.2.4  Users shall not attempt to gain unauthorised access to PayWave or third-party systems through any means including password guessing, social engineering, exploitation of vulnerabilities, or use of hacking tools.</w:t>
      </w:r>
    </w:p>
    <w:p>
      <w:pPr>
        <w:spacing w:after="80" w:before="160"/>
      </w:pPr>
      <w:r>
        <w:rPr>
          <w:rFonts w:ascii="Arial" w:cs="Arial" w:eastAsia="Arial" w:hAnsi="Arial"/>
          <w:b/>
          <w:bCs/>
          <w:color w:val="2E75B6"/>
          <w:sz w:val="18"/>
          <w:szCs w:val="18"/>
        </w:rPr>
        <w:t xml:space="preserve">5.3 Device and Endpoint Security</w:t>
      </w:r>
    </w:p>
    <w:p>
      <w:pPr>
        <w:spacing w:after="60"/>
        <w:ind w:left="360"/>
      </w:pPr>
      <w:r>
        <w:rPr>
          <w:rFonts w:ascii="Arial" w:cs="Arial" w:eastAsia="Arial" w:hAnsi="Arial"/>
          <w:b w:val="false"/>
          <w:bCs w:val="false"/>
          <w:sz w:val="18"/>
          <w:szCs w:val="18"/>
        </w:rPr>
        <w:t xml:space="preserve">5.3.1  All PayWave-issued devices shall be encrypted at rest (BitLocker for Windows, FileVault for macOS) and managed via PayWave's mobile device management (MDM) solution.</w:t>
      </w:r>
    </w:p>
    <w:p>
      <w:pPr>
        <w:spacing w:after="60"/>
        <w:ind w:left="360"/>
      </w:pPr>
      <w:r>
        <w:rPr>
          <w:rFonts w:ascii="Arial" w:cs="Arial" w:eastAsia="Arial" w:hAnsi="Arial"/>
          <w:b w:val="false"/>
          <w:bCs w:val="false"/>
          <w:sz w:val="18"/>
          <w:szCs w:val="18"/>
        </w:rPr>
        <w:t xml:space="preserve">5.3.2  Personal devices used for PayWave work (BYOD) shall be enrolled in PayWave's MDM solution as a precondition of access to corporate email, Slack, or other corporate applications.</w:t>
      </w:r>
    </w:p>
    <w:p>
      <w:pPr>
        <w:spacing w:after="60"/>
        <w:ind w:left="360"/>
      </w:pPr>
      <w:r>
        <w:rPr>
          <w:rFonts w:ascii="Arial" w:cs="Arial" w:eastAsia="Arial" w:hAnsi="Arial"/>
          <w:b w:val="false"/>
          <w:bCs w:val="false"/>
          <w:sz w:val="18"/>
          <w:szCs w:val="18"/>
        </w:rPr>
        <w:t xml:space="preserve">5.3.3  Users shall not connect unauthorised USB storage devices to PayWave-managed endpoints. USB storage is blocked by default via group policy.</w:t>
      </w:r>
    </w:p>
    <w:p>
      <w:pPr>
        <w:spacing w:after="60"/>
        <w:ind w:left="360"/>
      </w:pPr>
      <w:r>
        <w:rPr>
          <w:rFonts w:ascii="Arial" w:cs="Arial" w:eastAsia="Arial" w:hAnsi="Arial"/>
          <w:b w:val="false"/>
          <w:bCs w:val="false"/>
          <w:sz w:val="18"/>
          <w:szCs w:val="18"/>
        </w:rPr>
        <w:t xml:space="preserve">5.3.4  Users shall lock their devices when unattended and configure automatic screen lock with a maximum 5-minute idle timeout.</w:t>
      </w:r>
    </w:p>
    <w:p>
      <w:pPr>
        <w:spacing w:after="60"/>
        <w:ind w:left="360"/>
      </w:pPr>
      <w:r>
        <w:rPr>
          <w:rFonts w:ascii="Arial" w:cs="Arial" w:eastAsia="Arial" w:hAnsi="Arial"/>
          <w:b w:val="false"/>
          <w:bCs w:val="false"/>
          <w:sz w:val="18"/>
          <w:szCs w:val="18"/>
        </w:rPr>
        <w:t xml:space="preserve">5.3.5  Users shall promptly install operating system and application updates when prompted, and shall not defer critical security updates beyond 48 hours.</w:t>
      </w:r>
    </w:p>
    <w:p>
      <w:pPr>
        <w:spacing w:after="80" w:before="160"/>
      </w:pPr>
      <w:r>
        <w:rPr>
          <w:rFonts w:ascii="Arial" w:cs="Arial" w:eastAsia="Arial" w:hAnsi="Arial"/>
          <w:b/>
          <w:bCs/>
          <w:color w:val="2E75B6"/>
          <w:sz w:val="18"/>
          <w:szCs w:val="18"/>
        </w:rPr>
        <w:t xml:space="preserve">5.4 Email, Messaging, and Communications</w:t>
      </w:r>
    </w:p>
    <w:p>
      <w:pPr>
        <w:spacing w:after="60"/>
        <w:ind w:left="360"/>
      </w:pPr>
      <w:r>
        <w:rPr>
          <w:rFonts w:ascii="Arial" w:cs="Arial" w:eastAsia="Arial" w:hAnsi="Arial"/>
          <w:b w:val="false"/>
          <w:bCs w:val="false"/>
          <w:sz w:val="18"/>
          <w:szCs w:val="18"/>
        </w:rPr>
        <w:t xml:space="preserve">5.4.1  Corporate email and messaging tools (Microsoft 365, Slack) shall be used only for business communications and limited reasonable personal use.</w:t>
      </w:r>
    </w:p>
    <w:p>
      <w:pPr>
        <w:spacing w:after="60"/>
        <w:ind w:left="360"/>
      </w:pPr>
      <w:r>
        <w:rPr>
          <w:rFonts w:ascii="Arial" w:cs="Arial" w:eastAsia="Arial" w:hAnsi="Arial"/>
          <w:b w:val="false"/>
          <w:bCs w:val="false"/>
          <w:sz w:val="18"/>
          <w:szCs w:val="18"/>
        </w:rPr>
        <w:t xml:space="preserve">5.4.2  Users shall not forward PayWave business communications to personal email accounts under any circumstances.</w:t>
      </w:r>
    </w:p>
    <w:p>
      <w:pPr>
        <w:spacing w:after="60"/>
        <w:ind w:left="360"/>
      </w:pPr>
      <w:r>
        <w:rPr>
          <w:rFonts w:ascii="Arial" w:cs="Arial" w:eastAsia="Arial" w:hAnsi="Arial"/>
          <w:b w:val="false"/>
          <w:bCs w:val="false"/>
          <w:sz w:val="18"/>
          <w:szCs w:val="18"/>
        </w:rPr>
        <w:t xml:space="preserve">5.4.3  Users shall exercise vigilance regarding phishing, suspicious attachments, and unexpected requests for credentials or fund transfers. Suspected phishing attempts shall be reported via the Phish Report button in Outlook or by emailing security@paywave.example.</w:t>
      </w:r>
    </w:p>
    <w:p>
      <w:pPr>
        <w:spacing w:after="60"/>
        <w:ind w:left="360"/>
      </w:pPr>
      <w:r>
        <w:rPr>
          <w:rFonts w:ascii="Arial" w:cs="Arial" w:eastAsia="Arial" w:hAnsi="Arial"/>
          <w:b w:val="false"/>
          <w:bCs w:val="false"/>
          <w:sz w:val="18"/>
          <w:szCs w:val="18"/>
        </w:rPr>
        <w:t xml:space="preserve">5.4.4  Users shall not use auto-forwarding rules to external email addresses without documented business need and approval from the IT Manager.</w:t>
      </w:r>
    </w:p>
    <w:p>
      <w:pPr>
        <w:spacing w:after="80" w:before="160"/>
      </w:pPr>
      <w:r>
        <w:rPr>
          <w:rFonts w:ascii="Arial" w:cs="Arial" w:eastAsia="Arial" w:hAnsi="Arial"/>
          <w:b/>
          <w:bCs/>
          <w:color w:val="2E75B6"/>
          <w:sz w:val="18"/>
          <w:szCs w:val="18"/>
        </w:rPr>
        <w:t xml:space="preserve">5.5 Internet, Cloud Services, and AI Tools</w:t>
      </w:r>
    </w:p>
    <w:p>
      <w:pPr>
        <w:spacing w:after="60"/>
        <w:ind w:left="360"/>
      </w:pPr>
      <w:r>
        <w:rPr>
          <w:rFonts w:ascii="Arial" w:cs="Arial" w:eastAsia="Arial" w:hAnsi="Arial"/>
          <w:b w:val="false"/>
          <w:bCs w:val="false"/>
          <w:sz w:val="18"/>
          <w:szCs w:val="18"/>
        </w:rPr>
        <w:t xml:space="preserve">5.5.1  Users shall use only approved cloud services and SaaS applications for PayWave work. The current approved list is maintained by IT and available on the corporate wiki.</w:t>
      </w:r>
    </w:p>
    <w:p>
      <w:pPr>
        <w:spacing w:after="60"/>
        <w:ind w:left="360"/>
      </w:pPr>
      <w:r>
        <w:rPr>
          <w:rFonts w:ascii="Arial" w:cs="Arial" w:eastAsia="Arial" w:hAnsi="Arial"/>
          <w:b w:val="false"/>
          <w:bCs w:val="false"/>
          <w:sz w:val="18"/>
          <w:szCs w:val="18"/>
        </w:rPr>
        <w:t xml:space="preserve">5.5.2  Users shall not upload Confidential or Restricted PayWave data to personal cloud storage services (Dropbox, Google Drive, iCloud, OneDrive personal) under any circumstances.</w:t>
      </w:r>
    </w:p>
    <w:p>
      <w:pPr>
        <w:spacing w:after="60"/>
        <w:ind w:left="360"/>
      </w:pPr>
      <w:r>
        <w:rPr>
          <w:rFonts w:ascii="Arial" w:cs="Arial" w:eastAsia="Arial" w:hAnsi="Arial"/>
          <w:b w:val="false"/>
          <w:bCs w:val="false"/>
          <w:sz w:val="18"/>
          <w:szCs w:val="18"/>
        </w:rPr>
        <w:t xml:space="preserve">5.5.3  Use of generative AI tools (ChatGPT, Claude, Gemini, Copilot, etc.) for PayWave work shall be limited to PayWave's approved enterprise instances. Users shall not input customer data, source code, financial data, or any Restricted data into consumer AI services.</w:t>
      </w:r>
    </w:p>
    <w:p>
      <w:pPr>
        <w:spacing w:after="60"/>
        <w:ind w:left="360"/>
      </w:pPr>
      <w:r>
        <w:rPr>
          <w:rFonts w:ascii="Arial" w:cs="Arial" w:eastAsia="Arial" w:hAnsi="Arial"/>
          <w:b w:val="false"/>
          <w:bCs w:val="false"/>
          <w:sz w:val="18"/>
          <w:szCs w:val="18"/>
        </w:rPr>
        <w:t xml:space="preserve">5.5.4  Users shall not establish unauthorised network tunnels, VPNs, or proxies that bypass PayWave's network controls.</w:t>
      </w:r>
    </w:p>
    <w:p>
      <w:pPr>
        <w:spacing w:after="80" w:before="160"/>
      </w:pPr>
      <w:r>
        <w:rPr>
          <w:rFonts w:ascii="Arial" w:cs="Arial" w:eastAsia="Arial" w:hAnsi="Arial"/>
          <w:b/>
          <w:bCs/>
          <w:color w:val="2E75B6"/>
          <w:sz w:val="18"/>
          <w:szCs w:val="18"/>
        </w:rPr>
        <w:t xml:space="preserve">5.6 Confidentiality and Data Handling</w:t>
      </w:r>
    </w:p>
    <w:p>
      <w:pPr>
        <w:spacing w:after="60"/>
        <w:ind w:left="360"/>
      </w:pPr>
      <w:r>
        <w:rPr>
          <w:rFonts w:ascii="Arial" w:cs="Arial" w:eastAsia="Arial" w:hAnsi="Arial"/>
          <w:b w:val="false"/>
          <w:bCs w:val="false"/>
          <w:sz w:val="18"/>
          <w:szCs w:val="18"/>
        </w:rPr>
        <w:t xml:space="preserve">5.6.1  Users shall handle all PayWave data in accordance with the Data Classification and Handling Policy (POL-003).</w:t>
      </w:r>
    </w:p>
    <w:p>
      <w:pPr>
        <w:spacing w:after="60"/>
        <w:ind w:left="360"/>
      </w:pPr>
      <w:r>
        <w:rPr>
          <w:rFonts w:ascii="Arial" w:cs="Arial" w:eastAsia="Arial" w:hAnsi="Arial"/>
          <w:b w:val="false"/>
          <w:bCs w:val="false"/>
          <w:sz w:val="18"/>
          <w:szCs w:val="18"/>
        </w:rPr>
        <w:t xml:space="preserve">5.6.2  Users shall not disclose Confidential or Restricted PayWave information to any external party except where authorised by the Information Owner and subject to a written non-disclosure agreement.</w:t>
      </w:r>
    </w:p>
    <w:p>
      <w:pPr>
        <w:spacing w:after="60"/>
        <w:ind w:left="360"/>
      </w:pPr>
      <w:r>
        <w:rPr>
          <w:rFonts w:ascii="Arial" w:cs="Arial" w:eastAsia="Arial" w:hAnsi="Arial"/>
          <w:b w:val="false"/>
          <w:bCs w:val="false"/>
          <w:sz w:val="18"/>
          <w:szCs w:val="18"/>
        </w:rPr>
        <w:t xml:space="preserve">5.6.3  Users shall not photograph, screen-capture, or otherwise reproduce sensitive information displayed on screen for any purpose except documented business need.</w:t>
      </w:r>
    </w:p>
    <w:p>
      <w:pPr>
        <w:spacing w:after="60"/>
        <w:ind w:left="360"/>
      </w:pPr>
      <w:r>
        <w:rPr>
          <w:rFonts w:ascii="Arial" w:cs="Arial" w:eastAsia="Arial" w:hAnsi="Arial"/>
          <w:b w:val="false"/>
          <w:bCs w:val="false"/>
          <w:sz w:val="18"/>
          <w:szCs w:val="18"/>
        </w:rPr>
        <w:t xml:space="preserve">5.6.4  Users departing PayWave shall return all assets, surrender all credentials, and confirm in writing that no PayWave information remains in their possession on personal devices or cloud accounts.</w:t>
      </w:r>
    </w:p>
    <w:p>
      <w:pPr>
        <w:spacing w:after="80" w:before="160"/>
      </w:pPr>
      <w:r>
        <w:rPr>
          <w:rFonts w:ascii="Arial" w:cs="Arial" w:eastAsia="Arial" w:hAnsi="Arial"/>
          <w:b/>
          <w:bCs/>
          <w:color w:val="2E75B6"/>
          <w:sz w:val="18"/>
          <w:szCs w:val="18"/>
        </w:rPr>
        <w:t xml:space="preserve">5.7 Monitoring and Privacy</w:t>
      </w:r>
    </w:p>
    <w:p>
      <w:pPr>
        <w:spacing w:after="60"/>
        <w:ind w:left="360"/>
      </w:pPr>
      <w:r>
        <w:rPr>
          <w:rFonts w:ascii="Arial" w:cs="Arial" w:eastAsia="Arial" w:hAnsi="Arial"/>
          <w:b w:val="false"/>
          <w:bCs w:val="false"/>
          <w:sz w:val="18"/>
          <w:szCs w:val="18"/>
        </w:rPr>
        <w:t xml:space="preserve">5.7.1  PayWave reserves the right to monitor, record, and audit all use of its information assets including network traffic, email, messaging, file access, and application usage, subject to applicable Singapore law.</w:t>
      </w:r>
    </w:p>
    <w:p>
      <w:pPr>
        <w:spacing w:after="60"/>
        <w:ind w:left="360"/>
      </w:pPr>
      <w:r>
        <w:rPr>
          <w:rFonts w:ascii="Arial" w:cs="Arial" w:eastAsia="Arial" w:hAnsi="Arial"/>
          <w:b w:val="false"/>
          <w:bCs w:val="false"/>
          <w:sz w:val="18"/>
          <w:szCs w:val="18"/>
        </w:rPr>
        <w:t xml:space="preserve">5.7.2  Users are advised that they should have no expectation of privacy regarding their use of PayWave information assets.</w:t>
      </w:r>
    </w:p>
    <w:p>
      <w:pPr>
        <w:spacing w:after="60"/>
        <w:ind w:left="360"/>
      </w:pPr>
      <w:r>
        <w:rPr>
          <w:rFonts w:ascii="Arial" w:cs="Arial" w:eastAsia="Arial" w:hAnsi="Arial"/>
          <w:b w:val="false"/>
          <w:bCs w:val="false"/>
          <w:sz w:val="18"/>
          <w:szCs w:val="18"/>
        </w:rPr>
        <w:t xml:space="preserve">5.7.3  Monitoring is conducted in accordance with the PDPA and PayWave's privacy notice to employees, and is limited to legitimate business purposes including security, fraud prevention, regulatory compliance, and policy enforcement.</w:t>
      </w:r>
    </w:p>
    <w:p>
      <w:pPr>
        <w:spacing w:after="80" w:before="160"/>
      </w:pPr>
      <w:r>
        <w:rPr>
          <w:rFonts w:ascii="Arial" w:cs="Arial" w:eastAsia="Arial" w:hAnsi="Arial"/>
          <w:b/>
          <w:bCs/>
          <w:color w:val="2E75B6"/>
          <w:sz w:val="18"/>
          <w:szCs w:val="18"/>
        </w:rPr>
        <w:t xml:space="preserve">5.8 Reporting Obligations</w:t>
      </w:r>
    </w:p>
    <w:p>
      <w:pPr>
        <w:spacing w:after="60"/>
        <w:ind w:left="360"/>
      </w:pPr>
      <w:r>
        <w:rPr>
          <w:rFonts w:ascii="Arial" w:cs="Arial" w:eastAsia="Arial" w:hAnsi="Arial"/>
          <w:b w:val="false"/>
          <w:bCs w:val="false"/>
          <w:sz w:val="18"/>
          <w:szCs w:val="18"/>
        </w:rPr>
        <w:t xml:space="preserve">5.8.1  Users shall report any suspected violation of this policy, security incident, lost or stolen device, or compromise of credentials immediately to security@paywave.example or via the Slack #security-incidents channel.</w:t>
      </w:r>
    </w:p>
    <w:p>
      <w:pPr>
        <w:spacing w:after="60"/>
        <w:ind w:left="360"/>
      </w:pPr>
      <w:r>
        <w:rPr>
          <w:rFonts w:ascii="Arial" w:cs="Arial" w:eastAsia="Arial" w:hAnsi="Arial"/>
          <w:b w:val="false"/>
          <w:bCs w:val="false"/>
          <w:sz w:val="18"/>
          <w:szCs w:val="18"/>
        </w:rPr>
        <w:t xml:space="preserve">5.8.2  Users shall not attempt to investigate or remediate suspected incidents independently. The CSIRT (Computer Security Incident Response Team) shall lead all incident response activities in accordance with the Incident Response Policy (POL-004).</w:t>
      </w:r>
    </w:p>
    <w:p>
      <w:pPr>
        <w:spacing w:after="60"/>
        <w:ind w:left="360"/>
      </w:pPr>
      <w:r>
        <w:rPr>
          <w:rFonts w:ascii="Arial" w:cs="Arial" w:eastAsia="Arial" w:hAnsi="Arial"/>
          <w:b w:val="false"/>
          <w:bCs w:val="false"/>
          <w:sz w:val="18"/>
          <w:szCs w:val="18"/>
        </w:rPr>
        <w:t xml:space="preserve">5.8.3  Reporting in good faith is protected. Users shall not face retaliation for reporting suspected violations or incidents, even where the report subsequently proves unfounded.</w:t>
      </w:r>
    </w:p>
    <w:p>
      <w:pPr>
        <w:spacing w:after="120" w:before="240"/>
      </w:pPr>
      <w:r>
        <w:rPr>
          <w:rFonts w:ascii="Arial" w:cs="Arial" w:eastAsia="Arial" w:hAnsi="Arial"/>
          <w:b/>
          <w:bCs/>
          <w:color w:val="1F3864"/>
          <w:sz w:val="22"/>
          <w:szCs w:val="22"/>
        </w:rPr>
        <w:t xml:space="preserve">6. Exceptions</w:t>
      </w:r>
    </w:p>
    <w:p>
      <w:pPr>
        <w:spacing w:after="100"/>
      </w:pPr>
      <w:r>
        <w:rPr>
          <w:rFonts w:ascii="Arial" w:cs="Arial" w:eastAsia="Arial" w:hAnsi="Arial"/>
          <w:i w:val="false"/>
          <w:iCs w:val="false"/>
          <w:sz w:val="18"/>
          <w:szCs w:val="18"/>
        </w:rPr>
        <w:t xml:space="preserve">Exceptions to this policy may be granted only in writing by the Policy Owner with formal approval from the CISO. All exceptions must be:</w:t>
      </w:r>
    </w:p>
    <w:p>
      <w:pPr>
        <w:spacing w:after="60"/>
        <w:ind w:left="360"/>
      </w:pPr>
      <w:r>
        <w:rPr>
          <w:rFonts w:ascii="Arial" w:cs="Arial" w:eastAsia="Arial" w:hAnsi="Arial"/>
          <w:b w:val="false"/>
          <w:bCs w:val="false"/>
          <w:sz w:val="18"/>
          <w:szCs w:val="18"/>
        </w:rPr>
        <w:t xml:space="preserve">a. Justified by documented business need or technical constraint;</w:t>
      </w:r>
    </w:p>
    <w:p>
      <w:pPr>
        <w:spacing w:after="60"/>
        <w:ind w:left="360"/>
      </w:pPr>
      <w:r>
        <w:rPr>
          <w:rFonts w:ascii="Arial" w:cs="Arial" w:eastAsia="Arial" w:hAnsi="Arial"/>
          <w:b w:val="false"/>
          <w:bCs w:val="false"/>
          <w:sz w:val="18"/>
          <w:szCs w:val="18"/>
        </w:rPr>
        <w:t xml:space="preserve">b. Accompanied by compensating controls that achieve an equivalent risk reduction;</w:t>
      </w:r>
    </w:p>
    <w:p>
      <w:pPr>
        <w:spacing w:after="60"/>
        <w:ind w:left="360"/>
      </w:pPr>
      <w:r>
        <w:rPr>
          <w:rFonts w:ascii="Arial" w:cs="Arial" w:eastAsia="Arial" w:hAnsi="Arial"/>
          <w:b w:val="false"/>
          <w:bCs w:val="false"/>
          <w:sz w:val="18"/>
          <w:szCs w:val="18"/>
        </w:rPr>
        <w:t xml:space="preserve">c. Time-bound with a defined expiry date not exceeding 12 months;</w:t>
      </w:r>
    </w:p>
    <w:p>
      <w:pPr>
        <w:spacing w:after="60"/>
        <w:ind w:left="360"/>
      </w:pPr>
      <w:r>
        <w:rPr>
          <w:rFonts w:ascii="Arial" w:cs="Arial" w:eastAsia="Arial" w:hAnsi="Arial"/>
          <w:b w:val="false"/>
          <w:bCs w:val="false"/>
          <w:sz w:val="18"/>
          <w:szCs w:val="18"/>
        </w:rPr>
        <w:t xml:space="preserve">d. Recorded in the Policy Exceptions Tracker (maintained by the GRC team);</w:t>
      </w:r>
    </w:p>
    <w:p>
      <w:pPr>
        <w:spacing w:after="60"/>
        <w:ind w:left="360"/>
      </w:pPr>
      <w:r>
        <w:rPr>
          <w:rFonts w:ascii="Arial" w:cs="Arial" w:eastAsia="Arial" w:hAnsi="Arial"/>
          <w:b w:val="false"/>
          <w:bCs w:val="false"/>
          <w:sz w:val="18"/>
          <w:szCs w:val="18"/>
        </w:rPr>
        <w:t xml:space="preserve">e. Reviewed quarterly until closed.</w:t>
      </w:r>
    </w:p>
    <w:p>
      <w:pPr>
        <w:spacing w:after="100"/>
      </w:pPr>
      <w:r>
        <w:rPr>
          <w:rFonts w:ascii="Arial" w:cs="Arial" w:eastAsia="Arial" w:hAnsi="Arial"/>
          <w:i w:val="false"/>
          <w:iCs w:val="false"/>
          <w:sz w:val="18"/>
          <w:szCs w:val="18"/>
        </w:rPr>
        <w:t xml:space="preserve">Critical risks (residual score 20–25) shall not be subject to exceptions under any circumstances.</w:t>
      </w:r>
    </w:p>
    <w:p>
      <w:pPr>
        <w:spacing w:after="120" w:before="240"/>
      </w:pPr>
      <w:r>
        <w:rPr>
          <w:rFonts w:ascii="Arial" w:cs="Arial" w:eastAsia="Arial" w:hAnsi="Arial"/>
          <w:b/>
          <w:bCs/>
          <w:color w:val="1F3864"/>
          <w:sz w:val="22"/>
          <w:szCs w:val="22"/>
        </w:rPr>
        <w:t xml:space="preserve">7. Compliance and Enforcement</w:t>
      </w:r>
    </w:p>
    <w:p>
      <w:pPr>
        <w:spacing w:after="100"/>
      </w:pPr>
      <w:r>
        <w:rPr>
          <w:rFonts w:ascii="Arial" w:cs="Arial" w:eastAsia="Arial" w:hAnsi="Arial"/>
          <w:i w:val="false"/>
          <w:iCs w:val="false"/>
          <w:sz w:val="18"/>
          <w:szCs w:val="18"/>
        </w:rPr>
        <w:t xml:space="preserve">Compliance with this policy is mandatory. Violations may result in disciplinary action up to and including termination of employment or contract. Where violations involve unlawful conduct, PayWave may refer the matter to the relevant authorities including the Singapore Police Force, the Monetary Authority of Singapore (MAS), or the Personal Data Protection Commission (PDPC). Compliance is monitored through regular audits, system logging, periodic access reviews, and security awareness assessments.</w:t>
      </w:r>
    </w:p>
    <w:p>
      <w:pPr>
        <w:spacing w:after="120" w:before="240"/>
      </w:pPr>
      <w:r>
        <w:rPr>
          <w:rFonts w:ascii="Arial" w:cs="Arial" w:eastAsia="Arial" w:hAnsi="Arial"/>
          <w:b/>
          <w:bCs/>
          <w:color w:val="1F3864"/>
          <w:sz w:val="22"/>
          <w:szCs w:val="22"/>
        </w:rPr>
        <w:t xml:space="preserve">8. Related Documents and Regulatory References</w:t>
      </w:r>
    </w:p>
    <w:p>
      <w:pPr>
        <w:spacing w:after="100"/>
      </w:pPr>
      <w:r>
        <w:rPr>
          <w:rFonts w:ascii="Arial" w:cs="Arial" w:eastAsia="Arial" w:hAnsi="Arial"/>
          <w:i w:val="false"/>
          <w:iCs w:val="false"/>
          <w:sz w:val="18"/>
          <w:szCs w:val="18"/>
        </w:rPr>
        <w:t xml:space="preserve">This policy operates in conjunction with the following:</w:t>
      </w:r>
    </w:p>
    <w:p>
      <w:pPr>
        <w:spacing w:after="60"/>
        <w:ind w:left="360"/>
      </w:pPr>
      <w:r>
        <w:rPr>
          <w:rFonts w:ascii="Arial" w:cs="Arial" w:eastAsia="Arial" w:hAnsi="Arial"/>
          <w:b w:val="false"/>
          <w:bCs w:val="false"/>
          <w:sz w:val="18"/>
          <w:szCs w:val="18"/>
        </w:rPr>
        <w:t xml:space="preserve">•  POL-002 — Access Control Policy</w:t>
      </w:r>
    </w:p>
    <w:p>
      <w:pPr>
        <w:spacing w:after="60"/>
        <w:ind w:left="360"/>
      </w:pPr>
      <w:r>
        <w:rPr>
          <w:rFonts w:ascii="Arial" w:cs="Arial" w:eastAsia="Arial" w:hAnsi="Arial"/>
          <w:b w:val="false"/>
          <w:bCs w:val="false"/>
          <w:sz w:val="18"/>
          <w:szCs w:val="18"/>
        </w:rPr>
        <w:t xml:space="preserve">•  POL-003 — Data Classification and Handling Policy</w:t>
      </w:r>
    </w:p>
    <w:p>
      <w:pPr>
        <w:spacing w:after="60"/>
        <w:ind w:left="360"/>
      </w:pPr>
      <w:r>
        <w:rPr>
          <w:rFonts w:ascii="Arial" w:cs="Arial" w:eastAsia="Arial" w:hAnsi="Arial"/>
          <w:b w:val="false"/>
          <w:bCs w:val="false"/>
          <w:sz w:val="18"/>
          <w:szCs w:val="18"/>
        </w:rPr>
        <w:t xml:space="preserve">•  POL-004 — Incident Response Policy</w:t>
      </w:r>
    </w:p>
    <w:p>
      <w:pPr>
        <w:spacing w:after="60"/>
        <w:ind w:left="360"/>
      </w:pPr>
      <w:r>
        <w:rPr>
          <w:rFonts w:ascii="Arial" w:cs="Arial" w:eastAsia="Arial" w:hAnsi="Arial"/>
          <w:b w:val="false"/>
          <w:bCs w:val="false"/>
          <w:sz w:val="18"/>
          <w:szCs w:val="18"/>
        </w:rPr>
        <w:t xml:space="preserve">•  POL-005 — Remote Working Policy</w:t>
      </w:r>
    </w:p>
    <w:p>
      <w:pPr>
        <w:spacing w:after="60"/>
        <w:ind w:left="360"/>
      </w:pPr>
      <w:r>
        <w:rPr>
          <w:rFonts w:ascii="Arial" w:cs="Arial" w:eastAsia="Arial" w:hAnsi="Arial"/>
          <w:b w:val="false"/>
          <w:bCs w:val="false"/>
          <w:sz w:val="18"/>
          <w:szCs w:val="18"/>
        </w:rPr>
        <w:t xml:space="preserve">•  PayWave Employee Handbook (Section 4: Information Technology)</w:t>
      </w:r>
    </w:p>
    <w:p>
      <w:pPr>
        <w:spacing w:after="100"/>
      </w:pPr>
      <w:r>
        <w:rPr>
          <w:rFonts w:ascii="Arial" w:cs="Arial" w:eastAsia="Arial" w:hAnsi="Arial"/>
          <w:i w:val="false"/>
          <w:iCs w:val="false"/>
          <w:sz w:val="18"/>
          <w:szCs w:val="18"/>
        </w:rPr>
        <w:t xml:space="preserve"> </w:t>
      </w:r>
    </w:p>
    <w:p>
      <w:pPr>
        <w:spacing w:after="100"/>
      </w:pPr>
      <w:r>
        <w:rPr>
          <w:rFonts w:ascii="Arial" w:cs="Arial" w:eastAsia="Arial" w:hAnsi="Arial"/>
          <w:i w:val="false"/>
          <w:iCs w:val="false"/>
          <w:sz w:val="18"/>
          <w:szCs w:val="18"/>
        </w:rPr>
        <w:t xml:space="preserve">Regulatory and standards alignment:</w:t>
      </w:r>
    </w:p>
    <w:p>
      <w:pPr>
        <w:spacing w:after="60"/>
        <w:ind w:left="360"/>
      </w:pPr>
      <w:r>
        <w:rPr>
          <w:rFonts w:ascii="Arial" w:cs="Arial" w:eastAsia="Arial" w:hAnsi="Arial"/>
          <w:b w:val="false"/>
          <w:bCs w:val="false"/>
          <w:sz w:val="18"/>
          <w:szCs w:val="18"/>
        </w:rPr>
        <w:t xml:space="preserve">•  ISO/IEC 27001:2022 Annex A controls A.5.10 (Acceptable use), A.5.11 (Return of assets), A.6.1–6.7 (HR security)</w:t>
      </w:r>
    </w:p>
    <w:p>
      <w:pPr>
        <w:spacing w:after="60"/>
        <w:ind w:left="360"/>
      </w:pPr>
      <w:r>
        <w:rPr>
          <w:rFonts w:ascii="Arial" w:cs="Arial" w:eastAsia="Arial" w:hAnsi="Arial"/>
          <w:b w:val="false"/>
          <w:bCs w:val="false"/>
          <w:sz w:val="18"/>
          <w:szCs w:val="18"/>
        </w:rPr>
        <w:t xml:space="preserve">•  MAS Technology Risk Management Guidelines Sections 3.2 (Risk culture) and 3.5 (Security awareness)</w:t>
      </w:r>
    </w:p>
    <w:p>
      <w:pPr>
        <w:spacing w:after="60"/>
        <w:ind w:left="360"/>
      </w:pPr>
      <w:r>
        <w:rPr>
          <w:rFonts w:ascii="Arial" w:cs="Arial" w:eastAsia="Arial" w:hAnsi="Arial"/>
          <w:b w:val="false"/>
          <w:bCs w:val="false"/>
          <w:sz w:val="18"/>
          <w:szCs w:val="18"/>
        </w:rPr>
        <w:t xml:space="preserve">•  Personal Data Protection Act (PDPA) — Protection Obligation (Section 24)</w:t>
      </w:r>
    </w:p>
    <w:p>
      <w:pPr>
        <w:spacing w:after="60"/>
        <w:ind w:left="360"/>
      </w:pPr>
      <w:r>
        <w:rPr>
          <w:rFonts w:ascii="Arial" w:cs="Arial" w:eastAsia="Arial" w:hAnsi="Arial"/>
          <w:b w:val="false"/>
          <w:bCs w:val="false"/>
          <w:sz w:val="18"/>
          <w:szCs w:val="18"/>
        </w:rPr>
        <w:t xml:space="preserve">•  PCI DSS v4.0 Requirement 12.3 (Usage policies for critical technologies)</w:t>
      </w:r>
    </w:p>
    <w:p>
      <w:pPr>
        <w:spacing w:after="120" w:before="240"/>
      </w:pPr>
      <w:r>
        <w:rPr>
          <w:rFonts w:ascii="Arial" w:cs="Arial" w:eastAsia="Arial" w:hAnsi="Arial"/>
          <w:b/>
          <w:bCs/>
          <w:color w:val="1F3864"/>
          <w:sz w:val="22"/>
          <w:szCs w:val="22"/>
        </w:rPr>
        <w:t xml:space="preserve">9. Review and Maintenance</w:t>
      </w:r>
    </w:p>
    <w:p>
      <w:pPr>
        <w:spacing w:after="100"/>
      </w:pPr>
      <w:r>
        <w:rPr>
          <w:rFonts w:ascii="Arial" w:cs="Arial" w:eastAsia="Arial" w:hAnsi="Arial"/>
          <w:i w:val="false"/>
          <w:iCs w:val="false"/>
          <w:sz w:val="18"/>
          <w:szCs w:val="18"/>
        </w:rPr>
        <w:t xml:space="preserve">This policy shall be reviewed at least annually by the Policy Owner, or sooner upon any of the following triggers:</w:t>
      </w:r>
    </w:p>
    <w:p>
      <w:pPr>
        <w:spacing w:after="60"/>
        <w:ind w:left="360"/>
      </w:pPr>
      <w:r>
        <w:rPr>
          <w:rFonts w:ascii="Arial" w:cs="Arial" w:eastAsia="Arial" w:hAnsi="Arial"/>
          <w:b w:val="false"/>
          <w:bCs w:val="false"/>
          <w:sz w:val="18"/>
          <w:szCs w:val="18"/>
        </w:rPr>
        <w:t xml:space="preserve">a. Material change in PayWave's business operations, technology environment, or regulatory obligations;</w:t>
      </w:r>
    </w:p>
    <w:p>
      <w:pPr>
        <w:spacing w:after="60"/>
        <w:ind w:left="360"/>
      </w:pPr>
      <w:r>
        <w:rPr>
          <w:rFonts w:ascii="Arial" w:cs="Arial" w:eastAsia="Arial" w:hAnsi="Arial"/>
          <w:b w:val="false"/>
          <w:bCs w:val="false"/>
          <w:sz w:val="18"/>
          <w:szCs w:val="18"/>
        </w:rPr>
        <w:t xml:space="preserve">b. Significant security incident or near-miss involving the policy domain;</w:t>
      </w:r>
    </w:p>
    <w:p>
      <w:pPr>
        <w:spacing w:after="60"/>
        <w:ind w:left="360"/>
      </w:pPr>
      <w:r>
        <w:rPr>
          <w:rFonts w:ascii="Arial" w:cs="Arial" w:eastAsia="Arial" w:hAnsi="Arial"/>
          <w:b w:val="false"/>
          <w:bCs w:val="false"/>
          <w:sz w:val="18"/>
          <w:szCs w:val="18"/>
        </w:rPr>
        <w:t xml:space="preserve">c. Findings from internal or external audit;</w:t>
      </w:r>
    </w:p>
    <w:p>
      <w:pPr>
        <w:spacing w:after="60"/>
        <w:ind w:left="360"/>
      </w:pPr>
      <w:r>
        <w:rPr>
          <w:rFonts w:ascii="Arial" w:cs="Arial" w:eastAsia="Arial" w:hAnsi="Arial"/>
          <w:b w:val="false"/>
          <w:bCs w:val="false"/>
          <w:sz w:val="18"/>
          <w:szCs w:val="18"/>
        </w:rPr>
        <w:t xml:space="preserve">d. Annual ISMS management review (per ISO 27001 Clause 9.3);</w:t>
      </w:r>
    </w:p>
    <w:p>
      <w:pPr>
        <w:spacing w:after="60"/>
        <w:ind w:left="360"/>
      </w:pPr>
      <w:r>
        <w:rPr>
          <w:rFonts w:ascii="Arial" w:cs="Arial" w:eastAsia="Arial" w:hAnsi="Arial"/>
          <w:b w:val="false"/>
          <w:bCs w:val="false"/>
          <w:sz w:val="18"/>
          <w:szCs w:val="18"/>
        </w:rPr>
        <w:t xml:space="preserve">e. Regulatory update from MAS, PDPC, or relevant standards body.</w:t>
      </w:r>
    </w:p>
    <w:p>
      <w:pPr>
        <w:spacing w:after="100"/>
      </w:pPr>
      <w:r>
        <w:rPr>
          <w:rFonts w:ascii="Arial" w:cs="Arial" w:eastAsia="Arial" w:hAnsi="Arial"/>
          <w:i w:val="false"/>
          <w:iCs w:val="false"/>
          <w:sz w:val="18"/>
          <w:szCs w:val="18"/>
        </w:rPr>
        <w:t xml:space="preserve">All revisions must be approved by the Approver named in the Document Control section before publication.</w:t>
      </w:r>
    </w:p>
    <w:p>
      <w:pPr>
        <w:spacing w:after="120" w:before="240"/>
      </w:pPr>
      <w:r>
        <w:rPr>
          <w:rFonts w:ascii="Arial" w:cs="Arial" w:eastAsia="Arial" w:hAnsi="Arial"/>
          <w:b/>
          <w:bCs/>
          <w:color w:val="1F3864"/>
          <w:sz w:val="22"/>
          <w:szCs w:val="22"/>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900"/>
        <w:gridCol w:w="20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[Your Name], GRC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Executive Officer</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Initial issue</w:t>
            </w:r>
          </w:p>
        </w:tc>
      </w:tr>
    </w:tbl>
    <w:p>
      <w:pPr>
        <w:pBdr>
          <w:top w:val="single" w:color="CCCCCC" w:sz="4" w:space="1"/>
        </w:pBdr>
        <w:spacing w:before="400"/>
      </w:pPr>
      <w:r>
        <w:rPr>
          <w:rFonts w:ascii="Arial" w:cs="Arial" w:eastAsia="Arial" w:hAnsi="Arial"/>
          <w:i/>
          <w:iCs/>
          <w:color w:val="999999"/>
          <w:sz w:val="14"/>
          <w:szCs w:val="14"/>
        </w:rPr>
        <w:t xml:space="preserve">DISCLAIMER: This policy was created for portfolio demonstration purposes. PayWave Solutions Pte. Ltd. is a fictional entity. The policy structure, content, and regulatory references reflect industry best practices and are suitable as a reference template.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4"/>
        <w:szCs w:val="14"/>
      </w:rPr>
      <w:t xml:space="preserve">INTERNAL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6"/>
        <w:szCs w:val="16"/>
      </w:rPr>
      <w:t xml:space="preserve">POL-001 — Acceptable Use Policy (AUP)</w:t>
    </w:r>
    <w:r>
      <w:t xml:space="preserve">	</w:t>
    </w:r>
    <w:r>
      <w:rPr>
        <w:rFonts w:ascii="Arial" w:cs="Arial" w:eastAsia="Arial" w:hAnsi="Arial"/>
        <w:color w:val="999999"/>
        <w:sz w:val="16"/>
        <w:szCs w:val="16"/>
      </w:rPr>
      <w:t xml:space="preserve">PayWave Solutions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2026-05-25T05:08:08.607Z</dcterms:created>
  <dcterms:modified xsi:type="dcterms:W3CDTF">2026-05-25T05:08:08.621Z</dcterms:modified>
</cp:coreProperties>
</file>

<file path=docProps/custom.xml><?xml version="1.0" encoding="utf-8"?>
<Properties xmlns="http://schemas.openxmlformats.org/officeDocument/2006/custom-properties" xmlns:vt="http://schemas.openxmlformats.org/officeDocument/2006/docPropsVTypes"/>
</file>