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3864"/>
          <w:sz w:val="36"/>
          <w:szCs w:val="36"/>
        </w:rPr>
        <w:t xml:space="preserve">Access Control Policy</w:t>
      </w:r>
    </w:p>
    <w:p>
      <w:pPr>
        <w:spacing w:after="100"/>
      </w:pPr>
      <w:r>
        <w:rPr>
          <w:rFonts w:ascii="Arial" w:cs="Arial" w:eastAsia="Arial" w:hAnsi="Arial"/>
          <w:b/>
          <w:bCs/>
          <w:color w:val="2E75B6"/>
          <w:sz w:val="22"/>
          <w:szCs w:val="22"/>
        </w:rPr>
        <w:t xml:space="preserve">Policy POL-002</w:t>
      </w:r>
    </w:p>
    <w:p>
      <w:pPr>
        <w:spacing w:after="300"/>
      </w:pPr>
      <w:r>
        <w:rPr>
          <w:rFonts w:ascii="Arial" w:cs="Arial" w:eastAsia="Arial" w:hAnsi="Arial"/>
          <w:color w:val="666666"/>
          <w:sz w:val="18"/>
          <w:szCs w:val="18"/>
        </w:rPr>
        <w:t xml:space="preserve">PayWave Solutions Pte. Ltd.</w:t>
      </w:r>
    </w:p>
    <w:p>
      <w:pPr>
        <w:spacing w:after="120" w:before="240"/>
      </w:pPr>
      <w:r>
        <w:rPr>
          <w:rFonts w:ascii="Arial" w:cs="Arial" w:eastAsia="Arial" w:hAnsi="Arial"/>
          <w:b/>
          <w:bCs/>
          <w:color w:val="1F3864"/>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Policy ID</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POL-002</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Effective Date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2026</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Next Review</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2027</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Information Security Officer</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Executive Officer</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Classification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INTERNAL</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100"/>
                <w:sz w:val="16"/>
                <w:szCs w:val="16"/>
              </w:rPr>
              <w:t xml:space="preserve">Active</w:t>
            </w:r>
          </w:p>
        </w:tc>
      </w:tr>
    </w:tbl>
    <w:p>
      <w:pPr>
        <w:spacing w:after="120" w:before="240"/>
      </w:pPr>
      <w:r>
        <w:rPr>
          <w:rFonts w:ascii="Arial" w:cs="Arial" w:eastAsia="Arial" w:hAnsi="Arial"/>
          <w:b/>
          <w:bCs/>
          <w:color w:val="1F3864"/>
          <w:sz w:val="22"/>
          <w:szCs w:val="22"/>
        </w:rPr>
        <w:t xml:space="preserve">1. Purpose</w:t>
      </w:r>
    </w:p>
    <w:p>
      <w:pPr>
        <w:spacing w:after="100"/>
      </w:pPr>
      <w:r>
        <w:rPr>
          <w:rFonts w:ascii="Arial" w:cs="Arial" w:eastAsia="Arial" w:hAnsi="Arial"/>
          <w:i w:val="false"/>
          <w:iCs w:val="false"/>
          <w:sz w:val="18"/>
          <w:szCs w:val="18"/>
        </w:rPr>
        <w:t xml:space="preserve">This policy defines the principles, requirements, and accountabilities for granting, maintaining, reviewing, and revoking access to PayWave Solutions' information systems and data. The policy is established in accordance with the Monetary Authority of Singapore (MAS) Technology Risk Management Guidelines Section 9, ISO 27001:2022 controls A.5.15 to A.5.18 and A.8.2 to A.8.5, and Payment Card Industry Data Security Standard (PCI DSS) v4.0 Requirements 7 and 8.</w:t>
      </w:r>
    </w:p>
    <w:p>
      <w:pPr>
        <w:spacing w:after="120" w:before="240"/>
      </w:pPr>
      <w:r>
        <w:rPr>
          <w:rFonts w:ascii="Arial" w:cs="Arial" w:eastAsia="Arial" w:hAnsi="Arial"/>
          <w:b/>
          <w:bCs/>
          <w:color w:val="1F3864"/>
          <w:sz w:val="22"/>
          <w:szCs w:val="22"/>
        </w:rPr>
        <w:t xml:space="preserve">2. Scope</w:t>
      </w:r>
    </w:p>
    <w:p>
      <w:pPr>
        <w:spacing w:after="100"/>
      </w:pPr>
      <w:r>
        <w:rPr>
          <w:rFonts w:ascii="Arial" w:cs="Arial" w:eastAsia="Arial" w:hAnsi="Arial"/>
          <w:i w:val="false"/>
          <w:iCs w:val="false"/>
          <w:sz w:val="18"/>
          <w:szCs w:val="18"/>
        </w:rPr>
        <w:t xml:space="preserve">This policy applies to all access — whether by employees, contractors, consultants, third-party vendors, or automated processes — to PayWave information systems containing Internal, Confidential, or Restricted data. It covers logical access (applications, databases, cloud services, source code repositories) and remote access (VPN, SSH, RDP).</w:t>
      </w:r>
    </w:p>
    <w:p>
      <w:pPr>
        <w:spacing w:after="120" w:before="240"/>
      </w:pPr>
      <w:r>
        <w:rPr>
          <w:rFonts w:ascii="Arial" w:cs="Arial" w:eastAsia="Arial" w:hAnsi="Arial"/>
          <w:b/>
          <w:bCs/>
          <w:color w:val="1F3864"/>
          <w:sz w:val="22"/>
          <w:szCs w:val="2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Term</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RBAC</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Role-Based Access Control — an access model in which permissions are assigned to roles, and users obtain permissions by being assigned to roles.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Least Privilege</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The principle that users and processes shall be granted only the minimum access required to perform their authorised functions.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Privileged Access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Access that allows administrative or elevated permissions, including system administration, database administration, security administration, and the ability to modify access controls.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Service Account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A non-human account used by applications, services, or scripts to access systems or data programmatically.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PAM</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Privileged Access Management — a system and process for controlling, monitoring, and auditing privileged access.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JML</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Joiner, Mover, Leaver — the lifecycle process for managing user access from onboarding through role changes to offboarding.</w:t>
            </w:r>
          </w:p>
        </w:tc>
      </w:tr>
    </w:tbl>
    <w:p>
      <w:pPr>
        <w:spacing w:after="120" w:before="240"/>
      </w:pPr>
      <w:r>
        <w:rPr>
          <w:rFonts w:ascii="Arial" w:cs="Arial" w:eastAsia="Arial" w:hAnsi="Arial"/>
          <w:b/>
          <w:bCs/>
          <w:color w:val="1F3864"/>
          <w:sz w:val="22"/>
          <w:szCs w:val="22"/>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Information Owner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Define access requirements for systems they own; approve access requests; participate in quarterly access reviews.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Line Manager</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Request access for direct reports based on job role; review and certify access during quarterly reviews; notify IT promptly of role changes or terminations.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IT Manager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Provision and de-provision access in accordance with approved requests; maintain access control systems (Okta, AWS IAM); ensure timely offboarding.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CISO</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Own and maintain this policy; oversee access governance; approve all privileged access; chair the quarterly access review committee.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Users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Use access only for authorised purposes; safeguard credentials; report suspected unauthorised access; complete role changes through the formal request process.</w:t>
            </w:r>
          </w:p>
        </w:tc>
      </w:tr>
    </w:tbl>
    <w:p>
      <w:pPr>
        <w:spacing w:after="120" w:before="240"/>
      </w:pPr>
      <w:r>
        <w:rPr>
          <w:rFonts w:ascii="Arial" w:cs="Arial" w:eastAsia="Arial" w:hAnsi="Arial"/>
          <w:b/>
          <w:bCs/>
          <w:color w:val="1F3864"/>
          <w:sz w:val="22"/>
          <w:szCs w:val="22"/>
        </w:rPr>
        <w:t xml:space="preserve">5. Policy Statements</w:t>
      </w:r>
    </w:p>
    <w:p>
      <w:pPr>
        <w:spacing w:after="100"/>
      </w:pPr>
      <w:r>
        <w:rPr>
          <w:rFonts w:ascii="Arial" w:cs="Arial" w:eastAsia="Arial" w:hAnsi="Arial"/>
          <w:i w:val="false"/>
          <w:iCs w:val="false"/>
          <w:sz w:val="18"/>
          <w:szCs w:val="18"/>
        </w:rPr>
        <w:t xml:space="preserve">The following requirements apply to all parties within scope of this policy. Compliance is mandatory unless a documented exception has been approved in accordance with Section 6.</w:t>
      </w:r>
    </w:p>
    <w:p>
      <w:pPr>
        <w:spacing w:after="80" w:before="160"/>
      </w:pPr>
      <w:r>
        <w:rPr>
          <w:rFonts w:ascii="Arial" w:cs="Arial" w:eastAsia="Arial" w:hAnsi="Arial"/>
          <w:b/>
          <w:bCs/>
          <w:color w:val="2E75B6"/>
          <w:sz w:val="18"/>
          <w:szCs w:val="18"/>
        </w:rPr>
        <w:t xml:space="preserve">5.1 Principle of Least Privilege</w:t>
      </w:r>
    </w:p>
    <w:p>
      <w:pPr>
        <w:spacing w:after="60"/>
        <w:ind w:left="360"/>
      </w:pPr>
      <w:r>
        <w:rPr>
          <w:rFonts w:ascii="Arial" w:cs="Arial" w:eastAsia="Arial" w:hAnsi="Arial"/>
          <w:b w:val="false"/>
          <w:bCs w:val="false"/>
          <w:sz w:val="18"/>
          <w:szCs w:val="18"/>
        </w:rPr>
        <w:t xml:space="preserve">5.1.1  All access shall be granted on the principle of least privilege. Users shall receive only the minimum access required to perform their assigned duties.</w:t>
      </w:r>
    </w:p>
    <w:p>
      <w:pPr>
        <w:spacing w:after="60"/>
        <w:ind w:left="360"/>
      </w:pPr>
      <w:r>
        <w:rPr>
          <w:rFonts w:ascii="Arial" w:cs="Arial" w:eastAsia="Arial" w:hAnsi="Arial"/>
          <w:b w:val="false"/>
          <w:bCs w:val="false"/>
          <w:sz w:val="18"/>
          <w:szCs w:val="18"/>
        </w:rPr>
        <w:t xml:space="preserve">5.1.2  Default deny shall apply. New users shall have no access until explicitly granted through approved requests. Access shall not be inherited by default.</w:t>
      </w:r>
    </w:p>
    <w:p>
      <w:pPr>
        <w:spacing w:after="60"/>
        <w:ind w:left="360"/>
      </w:pPr>
      <w:r>
        <w:rPr>
          <w:rFonts w:ascii="Arial" w:cs="Arial" w:eastAsia="Arial" w:hAnsi="Arial"/>
          <w:b w:val="false"/>
          <w:bCs w:val="false"/>
          <w:sz w:val="18"/>
          <w:szCs w:val="18"/>
        </w:rPr>
        <w:t xml:space="preserve">5.1.3  Access shall be reviewed and adjusted promptly upon any change in role, responsibilities, or employment status.</w:t>
      </w:r>
    </w:p>
    <w:p>
      <w:pPr>
        <w:spacing w:after="80" w:before="160"/>
      </w:pPr>
      <w:r>
        <w:rPr>
          <w:rFonts w:ascii="Arial" w:cs="Arial" w:eastAsia="Arial" w:hAnsi="Arial"/>
          <w:b/>
          <w:bCs/>
          <w:color w:val="2E75B6"/>
          <w:sz w:val="18"/>
          <w:szCs w:val="18"/>
        </w:rPr>
        <w:t xml:space="preserve">5.2 Role-Based Access Control</w:t>
      </w:r>
    </w:p>
    <w:p>
      <w:pPr>
        <w:spacing w:after="60"/>
        <w:ind w:left="360"/>
      </w:pPr>
      <w:r>
        <w:rPr>
          <w:rFonts w:ascii="Arial" w:cs="Arial" w:eastAsia="Arial" w:hAnsi="Arial"/>
          <w:b w:val="false"/>
          <w:bCs w:val="false"/>
          <w:sz w:val="18"/>
          <w:szCs w:val="18"/>
        </w:rPr>
        <w:t xml:space="preserve">5.2.1  Access to PayWave systems shall be granted via Role-Based Access Control (RBAC). Roles shall be defined based on job function, not individual identity.</w:t>
      </w:r>
    </w:p>
    <w:p>
      <w:pPr>
        <w:spacing w:after="60"/>
        <w:ind w:left="360"/>
      </w:pPr>
      <w:r>
        <w:rPr>
          <w:rFonts w:ascii="Arial" w:cs="Arial" w:eastAsia="Arial" w:hAnsi="Arial"/>
          <w:b w:val="false"/>
          <w:bCs w:val="false"/>
          <w:sz w:val="18"/>
          <w:szCs w:val="18"/>
        </w:rPr>
        <w:t xml:space="preserve">5.2.2  Role definitions shall be reviewed annually by the CISO and Information Owners to ensure they reflect current business needs and the principle of least privilege.</w:t>
      </w:r>
    </w:p>
    <w:p>
      <w:pPr>
        <w:spacing w:after="60"/>
        <w:ind w:left="360"/>
      </w:pPr>
      <w:r>
        <w:rPr>
          <w:rFonts w:ascii="Arial" w:cs="Arial" w:eastAsia="Arial" w:hAnsi="Arial"/>
          <w:b w:val="false"/>
          <w:bCs w:val="false"/>
          <w:sz w:val="18"/>
          <w:szCs w:val="18"/>
        </w:rPr>
        <w:t xml:space="preserve">5.2.3  Custom permissions outside of defined roles require explicit written justification, approval by the Information Owner, and documentation in the access management system.</w:t>
      </w:r>
    </w:p>
    <w:p>
      <w:pPr>
        <w:spacing w:after="80" w:before="160"/>
      </w:pPr>
      <w:r>
        <w:rPr>
          <w:rFonts w:ascii="Arial" w:cs="Arial" w:eastAsia="Arial" w:hAnsi="Arial"/>
          <w:b/>
          <w:bCs/>
          <w:color w:val="2E75B6"/>
          <w:sz w:val="18"/>
          <w:szCs w:val="18"/>
        </w:rPr>
        <w:t xml:space="preserve">5.3 Segregation of Duties</w:t>
      </w:r>
    </w:p>
    <w:p>
      <w:pPr>
        <w:spacing w:after="60"/>
        <w:ind w:left="360"/>
      </w:pPr>
      <w:r>
        <w:rPr>
          <w:rFonts w:ascii="Arial" w:cs="Arial" w:eastAsia="Arial" w:hAnsi="Arial"/>
          <w:b w:val="false"/>
          <w:bCs w:val="false"/>
          <w:sz w:val="18"/>
          <w:szCs w:val="18"/>
        </w:rPr>
        <w:t xml:space="preserve">5.3.1  Conflicting duties shall be segregated to reduce opportunities for unauthorised or unintentional modification or misuse of PayWave information assets.</w:t>
      </w:r>
    </w:p>
    <w:p>
      <w:pPr>
        <w:spacing w:after="60"/>
        <w:ind w:left="360"/>
      </w:pPr>
      <w:r>
        <w:rPr>
          <w:rFonts w:ascii="Arial" w:cs="Arial" w:eastAsia="Arial" w:hAnsi="Arial"/>
          <w:b w:val="false"/>
          <w:bCs w:val="false"/>
          <w:sz w:val="18"/>
          <w:szCs w:val="18"/>
        </w:rPr>
        <w:t xml:space="preserve">5.3.2  No single individual shall have access to perform a complete sensitive transaction without independent oversight. Examples include: code commit and production deployment; payment authorisation and execution; user provisioning and access review.</w:t>
      </w:r>
    </w:p>
    <w:p>
      <w:pPr>
        <w:spacing w:after="60"/>
        <w:ind w:left="360"/>
      </w:pPr>
      <w:r>
        <w:rPr>
          <w:rFonts w:ascii="Arial" w:cs="Arial" w:eastAsia="Arial" w:hAnsi="Arial"/>
          <w:b w:val="false"/>
          <w:bCs w:val="false"/>
          <w:sz w:val="18"/>
          <w:szCs w:val="18"/>
        </w:rPr>
        <w:t xml:space="preserve">5.3.3  Where segregation is not technically feasible due to organisational size, compensating controls (independent review, logging, alerting) shall be implemented and documented.</w:t>
      </w:r>
    </w:p>
    <w:p>
      <w:pPr>
        <w:spacing w:after="80" w:before="160"/>
      </w:pPr>
      <w:r>
        <w:rPr>
          <w:rFonts w:ascii="Arial" w:cs="Arial" w:eastAsia="Arial" w:hAnsi="Arial"/>
          <w:b/>
          <w:bCs/>
          <w:color w:val="2E75B6"/>
          <w:sz w:val="18"/>
          <w:szCs w:val="18"/>
        </w:rPr>
        <w:t xml:space="preserve">5.4 Authentication</w:t>
      </w:r>
    </w:p>
    <w:p>
      <w:pPr>
        <w:spacing w:after="60"/>
        <w:ind w:left="360"/>
      </w:pPr>
      <w:r>
        <w:rPr>
          <w:rFonts w:ascii="Arial" w:cs="Arial" w:eastAsia="Arial" w:hAnsi="Arial"/>
          <w:b w:val="false"/>
          <w:bCs w:val="false"/>
          <w:sz w:val="18"/>
          <w:szCs w:val="18"/>
        </w:rPr>
        <w:t xml:space="preserve">5.4.1  All access to PayWave information systems shall require unique user identification. Shared, generic, or anonymous accounts are prohibited.</w:t>
      </w:r>
    </w:p>
    <w:p>
      <w:pPr>
        <w:spacing w:after="60"/>
        <w:ind w:left="360"/>
      </w:pPr>
      <w:r>
        <w:rPr>
          <w:rFonts w:ascii="Arial" w:cs="Arial" w:eastAsia="Arial" w:hAnsi="Arial"/>
          <w:b w:val="false"/>
          <w:bCs w:val="false"/>
          <w:sz w:val="18"/>
          <w:szCs w:val="18"/>
        </w:rPr>
        <w:t xml:space="preserve">5.4.2  Multi-Factor Authentication (MFA) is mandatory for all users accessing PayWave information systems. Acceptable second factors include FIDO2 security keys (preferred for privileged users), authenticator apps (Microsoft Authenticator, Okta Verify), and time-based one-time passwords (TOTP). SMS-based authentication shall not be used as a second factor for privileged or remote access.</w:t>
      </w:r>
    </w:p>
    <w:p>
      <w:pPr>
        <w:spacing w:after="60"/>
        <w:ind w:left="360"/>
      </w:pPr>
      <w:r>
        <w:rPr>
          <w:rFonts w:ascii="Arial" w:cs="Arial" w:eastAsia="Arial" w:hAnsi="Arial"/>
          <w:b w:val="false"/>
          <w:bCs w:val="false"/>
          <w:sz w:val="18"/>
          <w:szCs w:val="18"/>
        </w:rPr>
        <w:t xml:space="preserve">5.4.3  Passwords shall meet the following minimum requirements: 14 characters in length, mix of character types, not previously used, and not present in known breach databases. Passwords shall be rotated every 365 days or immediately upon suspected compromise.</w:t>
      </w:r>
    </w:p>
    <w:p>
      <w:pPr>
        <w:spacing w:after="60"/>
        <w:ind w:left="360"/>
      </w:pPr>
      <w:r>
        <w:rPr>
          <w:rFonts w:ascii="Arial" w:cs="Arial" w:eastAsia="Arial" w:hAnsi="Arial"/>
          <w:b w:val="false"/>
          <w:bCs w:val="false"/>
          <w:sz w:val="18"/>
          <w:szCs w:val="18"/>
        </w:rPr>
        <w:t xml:space="preserve">5.4.4  All authentication events (successful and failed) shall be logged, retained for 12 months minimum, and forwarded to the Security Information and Event Management (SIEM) system.</w:t>
      </w:r>
    </w:p>
    <w:p>
      <w:pPr>
        <w:spacing w:after="80" w:before="160"/>
      </w:pPr>
      <w:r>
        <w:rPr>
          <w:rFonts w:ascii="Arial" w:cs="Arial" w:eastAsia="Arial" w:hAnsi="Arial"/>
          <w:b/>
          <w:bCs/>
          <w:color w:val="2E75B6"/>
          <w:sz w:val="18"/>
          <w:szCs w:val="18"/>
        </w:rPr>
        <w:t xml:space="preserve">5.5 Privileged Access Management</w:t>
      </w:r>
    </w:p>
    <w:p>
      <w:pPr>
        <w:spacing w:after="60"/>
        <w:ind w:left="360"/>
      </w:pPr>
      <w:r>
        <w:rPr>
          <w:rFonts w:ascii="Arial" w:cs="Arial" w:eastAsia="Arial" w:hAnsi="Arial"/>
          <w:b w:val="false"/>
          <w:bCs w:val="false"/>
          <w:sz w:val="18"/>
          <w:szCs w:val="18"/>
        </w:rPr>
        <w:t xml:space="preserve">5.5.1  All privileged access shall be granted via the PayWave Privileged Access Management (PAM) solution. Standing privileged access is prohibited.</w:t>
      </w:r>
    </w:p>
    <w:p>
      <w:pPr>
        <w:spacing w:after="60"/>
        <w:ind w:left="360"/>
      </w:pPr>
      <w:r>
        <w:rPr>
          <w:rFonts w:ascii="Arial" w:cs="Arial" w:eastAsia="Arial" w:hAnsi="Arial"/>
          <w:b w:val="false"/>
          <w:bCs w:val="false"/>
          <w:sz w:val="18"/>
          <w:szCs w:val="18"/>
        </w:rPr>
        <w:t xml:space="preserve">5.5.2  Privileged access shall be granted on a just-in-time (JIT) basis with a maximum session duration of 4 hours, after which re-authentication is required.</w:t>
      </w:r>
    </w:p>
    <w:p>
      <w:pPr>
        <w:spacing w:after="60"/>
        <w:ind w:left="360"/>
      </w:pPr>
      <w:r>
        <w:rPr>
          <w:rFonts w:ascii="Arial" w:cs="Arial" w:eastAsia="Arial" w:hAnsi="Arial"/>
          <w:b w:val="false"/>
          <w:bCs w:val="false"/>
          <w:sz w:val="18"/>
          <w:szCs w:val="18"/>
        </w:rPr>
        <w:t xml:space="preserve">5.5.3  All privileged sessions shall be recorded (video and keystroke logging where technically feasible) and retained for 12 months for audit purposes.</w:t>
      </w:r>
    </w:p>
    <w:p>
      <w:pPr>
        <w:spacing w:after="60"/>
        <w:ind w:left="360"/>
      </w:pPr>
      <w:r>
        <w:rPr>
          <w:rFonts w:ascii="Arial" w:cs="Arial" w:eastAsia="Arial" w:hAnsi="Arial"/>
          <w:b w:val="false"/>
          <w:bCs w:val="false"/>
          <w:sz w:val="18"/>
          <w:szCs w:val="18"/>
        </w:rPr>
        <w:t xml:space="preserve">5.5.4  Break-glass emergency access shall be permitted only when normal access procedures cannot be followed. Each use of break-glass access shall trigger an automatic alert to the CISO and shall be reviewed within 24 hours.</w:t>
      </w:r>
    </w:p>
    <w:p>
      <w:pPr>
        <w:spacing w:after="60"/>
        <w:ind w:left="360"/>
      </w:pPr>
      <w:r>
        <w:rPr>
          <w:rFonts w:ascii="Arial" w:cs="Arial" w:eastAsia="Arial" w:hAnsi="Arial"/>
          <w:b w:val="false"/>
          <w:bCs w:val="false"/>
          <w:sz w:val="18"/>
          <w:szCs w:val="18"/>
        </w:rPr>
        <w:t xml:space="preserve">5.5.5  Privileged user accounts shall be separate from standard user accounts. The same physical user shall maintain distinct identities for routine and privileged activities.</w:t>
      </w:r>
    </w:p>
    <w:p>
      <w:pPr>
        <w:spacing w:after="80" w:before="160"/>
      </w:pPr>
      <w:r>
        <w:rPr>
          <w:rFonts w:ascii="Arial" w:cs="Arial" w:eastAsia="Arial" w:hAnsi="Arial"/>
          <w:b/>
          <w:bCs/>
          <w:color w:val="2E75B6"/>
          <w:sz w:val="18"/>
          <w:szCs w:val="18"/>
        </w:rPr>
        <w:t xml:space="preserve">5.6 Joiner, Mover, Leaver (JML) Process</w:t>
      </w:r>
    </w:p>
    <w:p>
      <w:pPr>
        <w:spacing w:after="60"/>
        <w:ind w:left="360"/>
      </w:pPr>
      <w:r>
        <w:rPr>
          <w:rFonts w:ascii="Arial" w:cs="Arial" w:eastAsia="Arial" w:hAnsi="Arial"/>
          <w:b w:val="false"/>
          <w:bCs w:val="false"/>
          <w:sz w:val="18"/>
          <w:szCs w:val="18"/>
        </w:rPr>
        <w:t xml:space="preserve">5.6.1  Joiner: Access for new users shall be requested by their Line Manager via the IT Service Management (ITSM) system at least 5 business days before the user's start date. Access shall be provisioned only after manager approval.</w:t>
      </w:r>
    </w:p>
    <w:p>
      <w:pPr>
        <w:spacing w:after="60"/>
        <w:ind w:left="360"/>
      </w:pPr>
      <w:r>
        <w:rPr>
          <w:rFonts w:ascii="Arial" w:cs="Arial" w:eastAsia="Arial" w:hAnsi="Arial"/>
          <w:b w:val="false"/>
          <w:bCs w:val="false"/>
          <w:sz w:val="18"/>
          <w:szCs w:val="18"/>
        </w:rPr>
        <w:t xml:space="preserve">5.6.2  Mover: When a user changes roles within PayWave, their Line Manager shall submit an access change request within 5 business days. Previous role permissions shall be removed promptly. Access reviews shall not assume legacy permissions remain appropriate.</w:t>
      </w:r>
    </w:p>
    <w:p>
      <w:pPr>
        <w:spacing w:after="60"/>
        <w:ind w:left="360"/>
      </w:pPr>
      <w:r>
        <w:rPr>
          <w:rFonts w:ascii="Arial" w:cs="Arial" w:eastAsia="Arial" w:hAnsi="Arial"/>
          <w:b w:val="false"/>
          <w:bCs w:val="false"/>
          <w:sz w:val="18"/>
          <w:szCs w:val="18"/>
        </w:rPr>
        <w:t xml:space="preserve">5.6.3  Leaver: All access shall be revoked within 4 hours of the effective termination time. For involuntary terminations, access shall be revoked simultaneously with the termination communication.</w:t>
      </w:r>
    </w:p>
    <w:p>
      <w:pPr>
        <w:spacing w:after="60"/>
        <w:ind w:left="360"/>
      </w:pPr>
      <w:r>
        <w:rPr>
          <w:rFonts w:ascii="Arial" w:cs="Arial" w:eastAsia="Arial" w:hAnsi="Arial"/>
          <w:b w:val="false"/>
          <w:bCs w:val="false"/>
          <w:sz w:val="18"/>
          <w:szCs w:val="18"/>
        </w:rPr>
        <w:t xml:space="preserve">5.6.4  The Joiner, Mover, Leaver process shall be audited monthly to ensure timely execution. Any access not revoked within target SLAs shall be flagged for immediate remediation.</w:t>
      </w:r>
    </w:p>
    <w:p>
      <w:pPr>
        <w:spacing w:after="80" w:before="160"/>
      </w:pPr>
      <w:r>
        <w:rPr>
          <w:rFonts w:ascii="Arial" w:cs="Arial" w:eastAsia="Arial" w:hAnsi="Arial"/>
          <w:b/>
          <w:bCs/>
          <w:color w:val="2E75B6"/>
          <w:sz w:val="18"/>
          <w:szCs w:val="18"/>
        </w:rPr>
        <w:t xml:space="preserve">5.7 Access Reviews</w:t>
      </w:r>
    </w:p>
    <w:p>
      <w:pPr>
        <w:spacing w:after="60"/>
        <w:ind w:left="360"/>
      </w:pPr>
      <w:r>
        <w:rPr>
          <w:rFonts w:ascii="Arial" w:cs="Arial" w:eastAsia="Arial" w:hAnsi="Arial"/>
          <w:b w:val="false"/>
          <w:bCs w:val="false"/>
          <w:sz w:val="18"/>
          <w:szCs w:val="18"/>
        </w:rPr>
        <w:t xml:space="preserve">5.7.1  All user access to systems containing Confidential or Restricted data shall be reviewed quarterly by the Information Owner. The review shall confirm continued business need for each user's access.</w:t>
      </w:r>
    </w:p>
    <w:p>
      <w:pPr>
        <w:spacing w:after="60"/>
        <w:ind w:left="360"/>
      </w:pPr>
      <w:r>
        <w:rPr>
          <w:rFonts w:ascii="Arial" w:cs="Arial" w:eastAsia="Arial" w:hAnsi="Arial"/>
          <w:b w:val="false"/>
          <w:bCs w:val="false"/>
          <w:sz w:val="18"/>
          <w:szCs w:val="18"/>
        </w:rPr>
        <w:t xml:space="preserve">5.7.2  Privileged access shall be reviewed monthly by the CISO.</w:t>
      </w:r>
    </w:p>
    <w:p>
      <w:pPr>
        <w:spacing w:after="60"/>
        <w:ind w:left="360"/>
      </w:pPr>
      <w:r>
        <w:rPr>
          <w:rFonts w:ascii="Arial" w:cs="Arial" w:eastAsia="Arial" w:hAnsi="Arial"/>
          <w:b w:val="false"/>
          <w:bCs w:val="false"/>
          <w:sz w:val="18"/>
          <w:szCs w:val="18"/>
        </w:rPr>
        <w:t xml:space="preserve">5.7.3  Vendor and third-party access shall be reviewed quarterly with explicit confirmation that the access remains required.</w:t>
      </w:r>
    </w:p>
    <w:p>
      <w:pPr>
        <w:spacing w:after="60"/>
        <w:ind w:left="360"/>
      </w:pPr>
      <w:r>
        <w:rPr>
          <w:rFonts w:ascii="Arial" w:cs="Arial" w:eastAsia="Arial" w:hAnsi="Arial"/>
          <w:b w:val="false"/>
          <w:bCs w:val="false"/>
          <w:sz w:val="18"/>
          <w:szCs w:val="18"/>
        </w:rPr>
        <w:t xml:space="preserve">5.7.4  Access reviews shall be documented with the reviewer name, review date, and decisions made (retained, modified, removed). Findings shall be tracked to closure within 30 days.</w:t>
      </w:r>
    </w:p>
    <w:p>
      <w:pPr>
        <w:spacing w:after="80" w:before="160"/>
      </w:pPr>
      <w:r>
        <w:rPr>
          <w:rFonts w:ascii="Arial" w:cs="Arial" w:eastAsia="Arial" w:hAnsi="Arial"/>
          <w:b/>
          <w:bCs/>
          <w:color w:val="2E75B6"/>
          <w:sz w:val="18"/>
          <w:szCs w:val="18"/>
        </w:rPr>
        <w:t xml:space="preserve">5.8 Service Accounts and Automated Access</w:t>
      </w:r>
    </w:p>
    <w:p>
      <w:pPr>
        <w:spacing w:after="60"/>
        <w:ind w:left="360"/>
      </w:pPr>
      <w:r>
        <w:rPr>
          <w:rFonts w:ascii="Arial" w:cs="Arial" w:eastAsia="Arial" w:hAnsi="Arial"/>
          <w:b w:val="false"/>
          <w:bCs w:val="false"/>
          <w:sz w:val="18"/>
          <w:szCs w:val="18"/>
        </w:rPr>
        <w:t xml:space="preserve">5.8.1  Service accounts shall be uniquely identified, attributed to a named human owner, and used only for documented automated processes.</w:t>
      </w:r>
    </w:p>
    <w:p>
      <w:pPr>
        <w:spacing w:after="60"/>
        <w:ind w:left="360"/>
      </w:pPr>
      <w:r>
        <w:rPr>
          <w:rFonts w:ascii="Arial" w:cs="Arial" w:eastAsia="Arial" w:hAnsi="Arial"/>
          <w:b w:val="false"/>
          <w:bCs w:val="false"/>
          <w:sz w:val="18"/>
          <w:szCs w:val="18"/>
        </w:rPr>
        <w:t xml:space="preserve">5.8.2  Service account credentials shall be rotated at least every 90 days, or immediately upon suspected compromise or change of owner.</w:t>
      </w:r>
    </w:p>
    <w:p>
      <w:pPr>
        <w:spacing w:after="60"/>
        <w:ind w:left="360"/>
      </w:pPr>
      <w:r>
        <w:rPr>
          <w:rFonts w:ascii="Arial" w:cs="Arial" w:eastAsia="Arial" w:hAnsi="Arial"/>
          <w:b w:val="false"/>
          <w:bCs w:val="false"/>
          <w:sz w:val="18"/>
          <w:szCs w:val="18"/>
        </w:rPr>
        <w:t xml:space="preserve">5.8.3  Service accounts shall be granted the minimum permissions required for their automated function and shall not be used for interactive login.</w:t>
      </w:r>
    </w:p>
    <w:p>
      <w:pPr>
        <w:spacing w:after="60"/>
        <w:ind w:left="360"/>
      </w:pPr>
      <w:r>
        <w:rPr>
          <w:rFonts w:ascii="Arial" w:cs="Arial" w:eastAsia="Arial" w:hAnsi="Arial"/>
          <w:b w:val="false"/>
          <w:bCs w:val="false"/>
          <w:sz w:val="18"/>
          <w:szCs w:val="18"/>
        </w:rPr>
        <w:t xml:space="preserve">5.8.4  An inventory of all service accounts shall be maintained by the IT Manager and reviewed quarterly.</w:t>
      </w:r>
    </w:p>
    <w:p>
      <w:pPr>
        <w:spacing w:after="80" w:before="160"/>
      </w:pPr>
      <w:r>
        <w:rPr>
          <w:rFonts w:ascii="Arial" w:cs="Arial" w:eastAsia="Arial" w:hAnsi="Arial"/>
          <w:b/>
          <w:bCs/>
          <w:color w:val="2E75B6"/>
          <w:sz w:val="18"/>
          <w:szCs w:val="18"/>
        </w:rPr>
        <w:t xml:space="preserve">5.9 Vendor and Third-Party Access</w:t>
      </w:r>
    </w:p>
    <w:p>
      <w:pPr>
        <w:spacing w:after="60"/>
        <w:ind w:left="360"/>
      </w:pPr>
      <w:r>
        <w:rPr>
          <w:rFonts w:ascii="Arial" w:cs="Arial" w:eastAsia="Arial" w:hAnsi="Arial"/>
          <w:b w:val="false"/>
          <w:bCs w:val="false"/>
          <w:sz w:val="18"/>
          <w:szCs w:val="18"/>
        </w:rPr>
        <w:t xml:space="preserve">5.9.1  All vendor and third-party access shall be subject to the Third-Party Risk Management Policy (POL-TPRM-001) and require written contractual terms covering security obligations.</w:t>
      </w:r>
    </w:p>
    <w:p>
      <w:pPr>
        <w:spacing w:after="60"/>
        <w:ind w:left="360"/>
      </w:pPr>
      <w:r>
        <w:rPr>
          <w:rFonts w:ascii="Arial" w:cs="Arial" w:eastAsia="Arial" w:hAnsi="Arial"/>
          <w:b w:val="false"/>
          <w:bCs w:val="false"/>
          <w:sz w:val="18"/>
          <w:szCs w:val="18"/>
        </w:rPr>
        <w:t xml:space="preserve">5.9.2  Vendor access shall be time-limited and approved by the CISO. Persistent vendor access is prohibited; access shall expire automatically and require renewal.</w:t>
      </w:r>
    </w:p>
    <w:p>
      <w:pPr>
        <w:spacing w:after="60"/>
        <w:ind w:left="360"/>
      </w:pPr>
      <w:r>
        <w:rPr>
          <w:rFonts w:ascii="Arial" w:cs="Arial" w:eastAsia="Arial" w:hAnsi="Arial"/>
          <w:b w:val="false"/>
          <w:bCs w:val="false"/>
          <w:sz w:val="18"/>
          <w:szCs w:val="18"/>
        </w:rPr>
        <w:t xml:space="preserve">5.9.3  Vendor activity shall be logged and monitored. Any anomalous activity shall trigger immediate investigation.</w:t>
      </w:r>
    </w:p>
    <w:p>
      <w:pPr>
        <w:spacing w:after="120" w:before="240"/>
      </w:pPr>
      <w:r>
        <w:rPr>
          <w:rFonts w:ascii="Arial" w:cs="Arial" w:eastAsia="Arial" w:hAnsi="Arial"/>
          <w:b/>
          <w:bCs/>
          <w:color w:val="1F3864"/>
          <w:sz w:val="22"/>
          <w:szCs w:val="22"/>
        </w:rPr>
        <w:t xml:space="preserve">6. Exceptions</w:t>
      </w:r>
    </w:p>
    <w:p>
      <w:pPr>
        <w:spacing w:after="100"/>
      </w:pPr>
      <w:r>
        <w:rPr>
          <w:rFonts w:ascii="Arial" w:cs="Arial" w:eastAsia="Arial" w:hAnsi="Arial"/>
          <w:i w:val="false"/>
          <w:iCs w:val="false"/>
          <w:sz w:val="18"/>
          <w:szCs w:val="18"/>
        </w:rPr>
        <w:t xml:space="preserve">Exceptions to this policy may be granted only in writing by the Policy Owner with formal approval from the CISO. All exceptions must be:</w:t>
      </w:r>
    </w:p>
    <w:p>
      <w:pPr>
        <w:spacing w:after="60"/>
        <w:ind w:left="360"/>
      </w:pPr>
      <w:r>
        <w:rPr>
          <w:rFonts w:ascii="Arial" w:cs="Arial" w:eastAsia="Arial" w:hAnsi="Arial"/>
          <w:b w:val="false"/>
          <w:bCs w:val="false"/>
          <w:sz w:val="18"/>
          <w:szCs w:val="18"/>
        </w:rPr>
        <w:t xml:space="preserve">a. Justified by documented business need or technical constraint;</w:t>
      </w:r>
    </w:p>
    <w:p>
      <w:pPr>
        <w:spacing w:after="60"/>
        <w:ind w:left="360"/>
      </w:pPr>
      <w:r>
        <w:rPr>
          <w:rFonts w:ascii="Arial" w:cs="Arial" w:eastAsia="Arial" w:hAnsi="Arial"/>
          <w:b w:val="false"/>
          <w:bCs w:val="false"/>
          <w:sz w:val="18"/>
          <w:szCs w:val="18"/>
        </w:rPr>
        <w:t xml:space="preserve">b. Accompanied by compensating controls that achieve an equivalent risk reduction;</w:t>
      </w:r>
    </w:p>
    <w:p>
      <w:pPr>
        <w:spacing w:after="60"/>
        <w:ind w:left="360"/>
      </w:pPr>
      <w:r>
        <w:rPr>
          <w:rFonts w:ascii="Arial" w:cs="Arial" w:eastAsia="Arial" w:hAnsi="Arial"/>
          <w:b w:val="false"/>
          <w:bCs w:val="false"/>
          <w:sz w:val="18"/>
          <w:szCs w:val="18"/>
        </w:rPr>
        <w:t xml:space="preserve">c. Time-bound with a defined expiry date not exceeding 12 months;</w:t>
      </w:r>
    </w:p>
    <w:p>
      <w:pPr>
        <w:spacing w:after="60"/>
        <w:ind w:left="360"/>
      </w:pPr>
      <w:r>
        <w:rPr>
          <w:rFonts w:ascii="Arial" w:cs="Arial" w:eastAsia="Arial" w:hAnsi="Arial"/>
          <w:b w:val="false"/>
          <w:bCs w:val="false"/>
          <w:sz w:val="18"/>
          <w:szCs w:val="18"/>
        </w:rPr>
        <w:t xml:space="preserve">d. Recorded in the Policy Exceptions Tracker (maintained by the GRC team);</w:t>
      </w:r>
    </w:p>
    <w:p>
      <w:pPr>
        <w:spacing w:after="60"/>
        <w:ind w:left="360"/>
      </w:pPr>
      <w:r>
        <w:rPr>
          <w:rFonts w:ascii="Arial" w:cs="Arial" w:eastAsia="Arial" w:hAnsi="Arial"/>
          <w:b w:val="false"/>
          <w:bCs w:val="false"/>
          <w:sz w:val="18"/>
          <w:szCs w:val="18"/>
        </w:rPr>
        <w:t xml:space="preserve">e. Reviewed quarterly until closed.</w:t>
      </w:r>
    </w:p>
    <w:p>
      <w:pPr>
        <w:spacing w:after="100"/>
      </w:pPr>
      <w:r>
        <w:rPr>
          <w:rFonts w:ascii="Arial" w:cs="Arial" w:eastAsia="Arial" w:hAnsi="Arial"/>
          <w:i w:val="false"/>
          <w:iCs w:val="false"/>
          <w:sz w:val="18"/>
          <w:szCs w:val="18"/>
        </w:rPr>
        <w:t xml:space="preserve">Critical risks (residual score 20–25) shall not be subject to exceptions under any circumstances.</w:t>
      </w:r>
    </w:p>
    <w:p>
      <w:pPr>
        <w:spacing w:after="120" w:before="240"/>
      </w:pPr>
      <w:r>
        <w:rPr>
          <w:rFonts w:ascii="Arial" w:cs="Arial" w:eastAsia="Arial" w:hAnsi="Arial"/>
          <w:b/>
          <w:bCs/>
          <w:color w:val="1F3864"/>
          <w:sz w:val="22"/>
          <w:szCs w:val="22"/>
        </w:rPr>
        <w:t xml:space="preserve">7. Compliance and Enforcement</w:t>
      </w:r>
    </w:p>
    <w:p>
      <w:pPr>
        <w:spacing w:after="100"/>
      </w:pPr>
      <w:r>
        <w:rPr>
          <w:rFonts w:ascii="Arial" w:cs="Arial" w:eastAsia="Arial" w:hAnsi="Arial"/>
          <w:i w:val="false"/>
          <w:iCs w:val="false"/>
          <w:sz w:val="18"/>
          <w:szCs w:val="18"/>
        </w:rPr>
        <w:t xml:space="preserve">Compliance with this policy is mandatory. Violations may result in disciplinary action up to and including termination of employment or contract. Where violations involve unlawful conduct, PayWave may refer the matter to the relevant authorities including the Singapore Police Force, the Monetary Authority of Singapore (MAS), or the Personal Data Protection Commission (PDPC). Compliance is monitored through regular audits, system logging, periodic access reviews, and security awareness assessments.</w:t>
      </w:r>
    </w:p>
    <w:p>
      <w:pPr>
        <w:spacing w:after="120" w:before="240"/>
      </w:pPr>
      <w:r>
        <w:rPr>
          <w:rFonts w:ascii="Arial" w:cs="Arial" w:eastAsia="Arial" w:hAnsi="Arial"/>
          <w:b/>
          <w:bCs/>
          <w:color w:val="1F3864"/>
          <w:sz w:val="22"/>
          <w:szCs w:val="22"/>
        </w:rPr>
        <w:t xml:space="preserve">8. Related Documents and Regulatory References</w:t>
      </w:r>
    </w:p>
    <w:p>
      <w:pPr>
        <w:spacing w:after="100"/>
      </w:pPr>
      <w:r>
        <w:rPr>
          <w:rFonts w:ascii="Arial" w:cs="Arial" w:eastAsia="Arial" w:hAnsi="Arial"/>
          <w:i w:val="false"/>
          <w:iCs w:val="false"/>
          <w:sz w:val="18"/>
          <w:szCs w:val="18"/>
        </w:rPr>
        <w:t xml:space="preserve">This policy operates in conjunction with the following:</w:t>
      </w:r>
    </w:p>
    <w:p>
      <w:pPr>
        <w:spacing w:after="60"/>
        <w:ind w:left="360"/>
      </w:pPr>
      <w:r>
        <w:rPr>
          <w:rFonts w:ascii="Arial" w:cs="Arial" w:eastAsia="Arial" w:hAnsi="Arial"/>
          <w:b w:val="false"/>
          <w:bCs w:val="false"/>
          <w:sz w:val="18"/>
          <w:szCs w:val="18"/>
        </w:rPr>
        <w:t xml:space="preserve">•  POL-001 — Acceptable Use Policy</w:t>
      </w:r>
    </w:p>
    <w:p>
      <w:pPr>
        <w:spacing w:after="60"/>
        <w:ind w:left="360"/>
      </w:pPr>
      <w:r>
        <w:rPr>
          <w:rFonts w:ascii="Arial" w:cs="Arial" w:eastAsia="Arial" w:hAnsi="Arial"/>
          <w:b w:val="false"/>
          <w:bCs w:val="false"/>
          <w:sz w:val="18"/>
          <w:szCs w:val="18"/>
        </w:rPr>
        <w:t xml:space="preserve">•  POL-003 — Data Classification and Handling Policy</w:t>
      </w:r>
    </w:p>
    <w:p>
      <w:pPr>
        <w:spacing w:after="60"/>
        <w:ind w:left="360"/>
      </w:pPr>
      <w:r>
        <w:rPr>
          <w:rFonts w:ascii="Arial" w:cs="Arial" w:eastAsia="Arial" w:hAnsi="Arial"/>
          <w:b w:val="false"/>
          <w:bCs w:val="false"/>
          <w:sz w:val="18"/>
          <w:szCs w:val="18"/>
        </w:rPr>
        <w:t xml:space="preserve">•  POL-005 — Remote Working Policy</w:t>
      </w:r>
    </w:p>
    <w:p>
      <w:pPr>
        <w:spacing w:after="60"/>
        <w:ind w:left="360"/>
      </w:pPr>
      <w:r>
        <w:rPr>
          <w:rFonts w:ascii="Arial" w:cs="Arial" w:eastAsia="Arial" w:hAnsi="Arial"/>
          <w:b w:val="false"/>
          <w:bCs w:val="false"/>
          <w:sz w:val="18"/>
          <w:szCs w:val="18"/>
        </w:rPr>
        <w:t xml:space="preserve">•  POL-TPRM-001 — Third-Party Risk Management Policy</w:t>
      </w:r>
    </w:p>
    <w:p>
      <w:pPr>
        <w:spacing w:after="60"/>
        <w:ind w:left="360"/>
      </w:pPr>
      <w:r>
        <w:rPr>
          <w:rFonts w:ascii="Arial" w:cs="Arial" w:eastAsia="Arial" w:hAnsi="Arial"/>
          <w:b w:val="false"/>
          <w:bCs w:val="false"/>
          <w:sz w:val="18"/>
          <w:szCs w:val="18"/>
        </w:rPr>
        <w:t xml:space="preserve">•  PayWave Identity and Access Management Standard (technical implementation)</w:t>
      </w:r>
    </w:p>
    <w:p>
      <w:pPr>
        <w:spacing w:after="100"/>
      </w:pPr>
      <w:r>
        <w:rPr>
          <w:rFonts w:ascii="Arial" w:cs="Arial" w:eastAsia="Arial" w:hAnsi="Arial"/>
          <w:i w:val="false"/>
          <w:iCs w:val="false"/>
          <w:sz w:val="18"/>
          <w:szCs w:val="18"/>
        </w:rPr>
        <w:t xml:space="preserve"> </w:t>
      </w:r>
    </w:p>
    <w:p>
      <w:pPr>
        <w:spacing w:after="100"/>
      </w:pPr>
      <w:r>
        <w:rPr>
          <w:rFonts w:ascii="Arial" w:cs="Arial" w:eastAsia="Arial" w:hAnsi="Arial"/>
          <w:i w:val="false"/>
          <w:iCs w:val="false"/>
          <w:sz w:val="18"/>
          <w:szCs w:val="18"/>
        </w:rPr>
        <w:t xml:space="preserve">Regulatory and standards alignment:</w:t>
      </w:r>
    </w:p>
    <w:p>
      <w:pPr>
        <w:spacing w:after="60"/>
        <w:ind w:left="360"/>
      </w:pPr>
      <w:r>
        <w:rPr>
          <w:rFonts w:ascii="Arial" w:cs="Arial" w:eastAsia="Arial" w:hAnsi="Arial"/>
          <w:b w:val="false"/>
          <w:bCs w:val="false"/>
          <w:sz w:val="18"/>
          <w:szCs w:val="18"/>
        </w:rPr>
        <w:t xml:space="preserve">•  ISO/IEC 27001:2022 Annex A controls A.5.15–A.5.18 (Access control), A.8.2 (Privileged access), A.8.3 (Information access restriction), A.8.5 (Secure authentication)</w:t>
      </w:r>
    </w:p>
    <w:p>
      <w:pPr>
        <w:spacing w:after="60"/>
        <w:ind w:left="360"/>
      </w:pPr>
      <w:r>
        <w:rPr>
          <w:rFonts w:ascii="Arial" w:cs="Arial" w:eastAsia="Arial" w:hAnsi="Arial"/>
          <w:b w:val="false"/>
          <w:bCs w:val="false"/>
          <w:sz w:val="18"/>
          <w:szCs w:val="18"/>
        </w:rPr>
        <w:t xml:space="preserve">•  MAS Technology Risk Management Guidelines Sections 9.1 (Access control) and 9.2 (Privileged access management)</w:t>
      </w:r>
    </w:p>
    <w:p>
      <w:pPr>
        <w:spacing w:after="60"/>
        <w:ind w:left="360"/>
      </w:pPr>
      <w:r>
        <w:rPr>
          <w:rFonts w:ascii="Arial" w:cs="Arial" w:eastAsia="Arial" w:hAnsi="Arial"/>
          <w:b w:val="false"/>
          <w:bCs w:val="false"/>
          <w:sz w:val="18"/>
          <w:szCs w:val="18"/>
        </w:rPr>
        <w:t xml:space="preserve">•  PCI DSS v4.0 Requirements 7 (Restrict access by need-to-know) and 8 (Identify and authenticate access)</w:t>
      </w:r>
    </w:p>
    <w:p>
      <w:pPr>
        <w:spacing w:after="60"/>
        <w:ind w:left="360"/>
      </w:pPr>
      <w:r>
        <w:rPr>
          <w:rFonts w:ascii="Arial" w:cs="Arial" w:eastAsia="Arial" w:hAnsi="Arial"/>
          <w:b w:val="false"/>
          <w:bCs w:val="false"/>
          <w:sz w:val="18"/>
          <w:szCs w:val="18"/>
        </w:rPr>
        <w:t xml:space="preserve">•  Personal Data Protection Act (PDPA) — Protection Obligation (Section 24)</w:t>
      </w:r>
    </w:p>
    <w:p>
      <w:pPr>
        <w:spacing w:after="120" w:before="240"/>
      </w:pPr>
      <w:r>
        <w:rPr>
          <w:rFonts w:ascii="Arial" w:cs="Arial" w:eastAsia="Arial" w:hAnsi="Arial"/>
          <w:b/>
          <w:bCs/>
          <w:color w:val="1F3864"/>
          <w:sz w:val="22"/>
          <w:szCs w:val="22"/>
        </w:rPr>
        <w:t xml:space="preserve">9. Review and Maintenance</w:t>
      </w:r>
    </w:p>
    <w:p>
      <w:pPr>
        <w:spacing w:after="100"/>
      </w:pPr>
      <w:r>
        <w:rPr>
          <w:rFonts w:ascii="Arial" w:cs="Arial" w:eastAsia="Arial" w:hAnsi="Arial"/>
          <w:i w:val="false"/>
          <w:iCs w:val="false"/>
          <w:sz w:val="18"/>
          <w:szCs w:val="18"/>
        </w:rPr>
        <w:t xml:space="preserve">This policy shall be reviewed at least annually by the Policy Owner, or sooner upon any of the following triggers:</w:t>
      </w:r>
    </w:p>
    <w:p>
      <w:pPr>
        <w:spacing w:after="60"/>
        <w:ind w:left="360"/>
      </w:pPr>
      <w:r>
        <w:rPr>
          <w:rFonts w:ascii="Arial" w:cs="Arial" w:eastAsia="Arial" w:hAnsi="Arial"/>
          <w:b w:val="false"/>
          <w:bCs w:val="false"/>
          <w:sz w:val="18"/>
          <w:szCs w:val="18"/>
        </w:rPr>
        <w:t xml:space="preserve">a. Material change in PayWave's business operations, technology environment, or regulatory obligations;</w:t>
      </w:r>
    </w:p>
    <w:p>
      <w:pPr>
        <w:spacing w:after="60"/>
        <w:ind w:left="360"/>
      </w:pPr>
      <w:r>
        <w:rPr>
          <w:rFonts w:ascii="Arial" w:cs="Arial" w:eastAsia="Arial" w:hAnsi="Arial"/>
          <w:b w:val="false"/>
          <w:bCs w:val="false"/>
          <w:sz w:val="18"/>
          <w:szCs w:val="18"/>
        </w:rPr>
        <w:t xml:space="preserve">b. Significant security incident or near-miss involving the policy domain;</w:t>
      </w:r>
    </w:p>
    <w:p>
      <w:pPr>
        <w:spacing w:after="60"/>
        <w:ind w:left="360"/>
      </w:pPr>
      <w:r>
        <w:rPr>
          <w:rFonts w:ascii="Arial" w:cs="Arial" w:eastAsia="Arial" w:hAnsi="Arial"/>
          <w:b w:val="false"/>
          <w:bCs w:val="false"/>
          <w:sz w:val="18"/>
          <w:szCs w:val="18"/>
        </w:rPr>
        <w:t xml:space="preserve">c. Findings from internal or external audit;</w:t>
      </w:r>
    </w:p>
    <w:p>
      <w:pPr>
        <w:spacing w:after="60"/>
        <w:ind w:left="360"/>
      </w:pPr>
      <w:r>
        <w:rPr>
          <w:rFonts w:ascii="Arial" w:cs="Arial" w:eastAsia="Arial" w:hAnsi="Arial"/>
          <w:b w:val="false"/>
          <w:bCs w:val="false"/>
          <w:sz w:val="18"/>
          <w:szCs w:val="18"/>
        </w:rPr>
        <w:t xml:space="preserve">d. Annual ISMS management review (per ISO 27001 Clause 9.3);</w:t>
      </w:r>
    </w:p>
    <w:p>
      <w:pPr>
        <w:spacing w:after="60"/>
        <w:ind w:left="360"/>
      </w:pPr>
      <w:r>
        <w:rPr>
          <w:rFonts w:ascii="Arial" w:cs="Arial" w:eastAsia="Arial" w:hAnsi="Arial"/>
          <w:b w:val="false"/>
          <w:bCs w:val="false"/>
          <w:sz w:val="18"/>
          <w:szCs w:val="18"/>
        </w:rPr>
        <w:t xml:space="preserve">e. Regulatory update from MAS, PDPC, or relevant standards body.</w:t>
      </w:r>
    </w:p>
    <w:p>
      <w:pPr>
        <w:spacing w:after="100"/>
      </w:pPr>
      <w:r>
        <w:rPr>
          <w:rFonts w:ascii="Arial" w:cs="Arial" w:eastAsia="Arial" w:hAnsi="Arial"/>
          <w:i w:val="false"/>
          <w:iCs w:val="false"/>
          <w:sz w:val="18"/>
          <w:szCs w:val="18"/>
        </w:rPr>
        <w:t xml:space="preserve">All revisions must be approved by the Approver named in the Document Control section before publication.</w:t>
      </w:r>
    </w:p>
    <w:p>
      <w:pPr>
        <w:spacing w:after="120" w:before="240"/>
      </w:pPr>
      <w:r>
        <w:rPr>
          <w:rFonts w:ascii="Arial" w:cs="Arial" w:eastAsia="Arial" w:hAnsi="Arial"/>
          <w:b/>
          <w:bCs/>
          <w:color w:val="1F3864"/>
          <w:sz w:val="22"/>
          <w:szCs w:val="22"/>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900"/>
        <w:gridCol w:w="20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 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[Your Name], GRC</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Executive Officer</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Initial issue</w:t>
            </w:r>
          </w:p>
        </w:tc>
      </w:tr>
    </w:tbl>
    <w:p>
      <w:pPr>
        <w:pBdr>
          <w:top w:val="single" w:color="CCCCCC" w:sz="4" w:space="1"/>
        </w:pBdr>
        <w:spacing w:before="400"/>
      </w:pPr>
      <w:r>
        <w:rPr>
          <w:rFonts w:ascii="Arial" w:cs="Arial" w:eastAsia="Arial" w:hAnsi="Arial"/>
          <w:i/>
          <w:iCs/>
          <w:color w:val="999999"/>
          <w:sz w:val="14"/>
          <w:szCs w:val="14"/>
        </w:rPr>
        <w:t xml:space="preserve">DISCLAIMER: This policy was created for portfolio demonstration purposes. PayWave Solutions Pte. Ltd. is a fictional entity. The policy structure, content, and regulatory references reflect industry best practices and are suitable as a reference template.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4"/>
        <w:szCs w:val="14"/>
      </w:rPr>
      <w:t xml:space="preserve">INTERNAL</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6"/>
        <w:szCs w:val="16"/>
      </w:rPr>
      <w:t xml:space="preserve">POL-002 — Access Control Policy</w:t>
    </w:r>
    <w:r>
      <w:t xml:space="preserve">	</w:t>
    </w:r>
    <w:r>
      <w:rPr>
        <w:rFonts w:ascii="Arial" w:cs="Arial" w:eastAsia="Arial" w:hAnsi="Arial"/>
        <w:color w:val="999999"/>
        <w:sz w:val="16"/>
        <w:szCs w:val="16"/>
      </w:rPr>
      <w:t xml:space="preserve">PayWave Solutions Pte.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2026-05-25T05:08:08.944Z</dcterms:created>
  <dcterms:modified xsi:type="dcterms:W3CDTF">2026-05-25T05:08:08.944Z</dcterms:modified>
</cp:coreProperties>
</file>

<file path=docProps/custom.xml><?xml version="1.0" encoding="utf-8"?>
<Properties xmlns="http://schemas.openxmlformats.org/officeDocument/2006/custom-properties" xmlns:vt="http://schemas.openxmlformats.org/officeDocument/2006/docPropsVTypes"/>
</file>