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Data Classification and Handling Policy</w:t>
      </w:r>
    </w:p>
    <w:p>
      <w:pPr>
        <w:spacing w:after="100"/>
      </w:pPr>
      <w:r>
        <w:rPr>
          <w:rFonts w:ascii="Arial" w:cs="Arial" w:eastAsia="Arial" w:hAnsi="Arial"/>
          <w:b/>
          <w:bCs/>
          <w:color w:val="2E75B6"/>
          <w:sz w:val="22"/>
          <w:szCs w:val="22"/>
        </w:rPr>
        <w:t xml:space="preserve">Policy POL-003</w:t>
      </w:r>
    </w:p>
    <w:p>
      <w:pPr>
        <w:spacing w:after="300"/>
      </w:pPr>
      <w:r>
        <w:rPr>
          <w:rFonts w:ascii="Arial" w:cs="Arial" w:eastAsia="Arial" w:hAnsi="Arial"/>
          <w:color w:val="666666"/>
          <w:sz w:val="18"/>
          <w:szCs w:val="18"/>
        </w:rPr>
        <w:t xml:space="preserve">PayWave Solutions Pte. Ltd.</w:t>
      </w:r>
    </w:p>
    <w:p>
      <w:pPr>
        <w:spacing w:after="120" w:before="240"/>
      </w:pPr>
      <w:r>
        <w:rPr>
          <w:rFonts w:ascii="Arial" w:cs="Arial" w:eastAsia="Arial" w:hAnsi="Arial"/>
          <w:b/>
          <w:bCs/>
          <w:color w:val="1F3864"/>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80"/>
        <w:gridCol w:w="2400"/>
        <w:gridCol w:w="228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Policy ID</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POL-003</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Effective Date</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2026</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Next Review</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March 2027</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Owner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Data Protection Officer</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r>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Classification</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INTERNAL</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22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6100"/>
                <w:sz w:val="16"/>
                <w:szCs w:val="16"/>
              </w:rPr>
              <w:t xml:space="preserve">Active</w:t>
            </w:r>
          </w:p>
        </w:tc>
      </w:tr>
    </w:tbl>
    <w:p>
      <w:pPr>
        <w:spacing w:after="120" w:before="240"/>
      </w:pPr>
      <w:r>
        <w:rPr>
          <w:rFonts w:ascii="Arial" w:cs="Arial" w:eastAsia="Arial" w:hAnsi="Arial"/>
          <w:b/>
          <w:bCs/>
          <w:color w:val="1F3864"/>
          <w:sz w:val="22"/>
          <w:szCs w:val="22"/>
        </w:rPr>
        <w:t xml:space="preserve">1. Purpose</w:t>
      </w:r>
    </w:p>
    <w:p>
      <w:pPr>
        <w:spacing w:after="100"/>
      </w:pPr>
      <w:r>
        <w:rPr>
          <w:rFonts w:ascii="Arial" w:cs="Arial" w:eastAsia="Arial" w:hAnsi="Arial"/>
          <w:i w:val="false"/>
          <w:iCs w:val="false"/>
          <w:sz w:val="18"/>
          <w:szCs w:val="18"/>
        </w:rPr>
        <w:t xml:space="preserve">This policy defines PayWave Solutions' framework for classifying information based on sensitivity and the corresponding handling requirements for storage, transmission, access, retention, and destruction. The policy ensures that data is protected commensurate with its value and the harm that would result from unauthorised disclosure, modification, or loss, in alignment with the Personal Data Protection Act (PDPA), PCI DSS v4.0, MAS TRM Section 11, and ISO 27001:2022 controls A.5.12 through A.5.14.</w:t>
      </w:r>
    </w:p>
    <w:p>
      <w:pPr>
        <w:spacing w:after="120" w:before="240"/>
      </w:pPr>
      <w:r>
        <w:rPr>
          <w:rFonts w:ascii="Arial" w:cs="Arial" w:eastAsia="Arial" w:hAnsi="Arial"/>
          <w:b/>
          <w:bCs/>
          <w:color w:val="1F3864"/>
          <w:sz w:val="22"/>
          <w:szCs w:val="22"/>
        </w:rPr>
        <w:t xml:space="preserve">2. Scope</w:t>
      </w:r>
    </w:p>
    <w:p>
      <w:pPr>
        <w:spacing w:after="100"/>
      </w:pPr>
      <w:r>
        <w:rPr>
          <w:rFonts w:ascii="Arial" w:cs="Arial" w:eastAsia="Arial" w:hAnsi="Arial"/>
          <w:i w:val="false"/>
          <w:iCs w:val="false"/>
          <w:sz w:val="18"/>
          <w:szCs w:val="18"/>
        </w:rPr>
        <w:t xml:space="preserve">This policy applies to all PayWave information in any form — structured data in databases, unstructured documents, communications, source code, configurations, backups, and printed materials — at all stages of its lifecycle: creation, processing, storage, transmission, archival, and destruction.</w:t>
      </w:r>
    </w:p>
    <w:p>
      <w:pPr>
        <w:spacing w:after="120" w:before="240"/>
      </w:pPr>
      <w:r>
        <w:rPr>
          <w:rFonts w:ascii="Arial" w:cs="Arial" w:eastAsia="Arial" w:hAnsi="Arial"/>
          <w:b/>
          <w:bCs/>
          <w:color w:val="1F3864"/>
          <w:sz w:val="22"/>
          <w:szCs w:val="22"/>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Term</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Personal Data (PII)</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Data about an identifiable individual as defined under the Singapore Personal Data Protection Act 2012.</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Sensitive Personal Data</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Personal data of a particularly sensitive nature including financial, health, biometric, and authentication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Cardholder Data</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Primary Account Number (PAN), cardholder name, expiration date, and service code as defined by PCI DSS.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Data Owner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The PayWave executive accountable for a category of data, responsible for its classification and handling requirements.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Data Custodian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The role responsible for the day-to-day operational handling of data on behalf of the Data Owner.</w:t>
            </w:r>
          </w:p>
        </w:tc>
      </w:tr>
    </w:tbl>
    <w:p>
      <w:pPr>
        <w:spacing w:after="120" w:before="240"/>
      </w:pPr>
      <w:r>
        <w:rPr>
          <w:rFonts w:ascii="Arial" w:cs="Arial" w:eastAsia="Arial" w:hAnsi="Arial"/>
          <w:b/>
          <w:bCs/>
          <w:color w:val="1F3864"/>
          <w:sz w:val="22"/>
          <w:szCs w:val="22"/>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6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Responsibility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Data Protection Officer (DPO)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Own and maintain this policy; act as the regulatory point of contact under PDPA; oversee data classification across the organisation.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Data Owners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Determine the classification of data within their domain; approve access; ensure handling requirements are met.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Data Custodians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Implement technical controls for assigned data; execute backup, retention, and destruction procedures.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000000"/>
                <w:sz w:val="16"/>
                <w:szCs w:val="16"/>
              </w:rPr>
              <w:t xml:space="preserve">All Users</w:t>
            </w:r>
          </w:p>
        </w:tc>
        <w:tc>
          <w:tcPr>
            <w:tcW w:type="dxa" w:w="6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color w:val="000000"/>
                <w:sz w:val="16"/>
                <w:szCs w:val="16"/>
              </w:rPr>
              <w:t xml:space="preserve">Identify classification of data they handle; apply appropriate labels; follow handling requirements; report misclassifications.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CISO</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Approve this policy; oversee security controls supporting classification; chair quarterly data governance forum.</w:t>
            </w:r>
          </w:p>
        </w:tc>
      </w:tr>
    </w:tbl>
    <w:p>
      <w:pPr>
        <w:spacing w:after="120" w:before="240"/>
      </w:pPr>
      <w:r>
        <w:rPr>
          <w:rFonts w:ascii="Arial" w:cs="Arial" w:eastAsia="Arial" w:hAnsi="Arial"/>
          <w:b/>
          <w:bCs/>
          <w:color w:val="1F3864"/>
          <w:sz w:val="22"/>
          <w:szCs w:val="22"/>
        </w:rPr>
        <w:t xml:space="preserve">5. Policy Statements</w:t>
      </w:r>
    </w:p>
    <w:p>
      <w:pPr>
        <w:spacing w:after="100"/>
      </w:pPr>
      <w:r>
        <w:rPr>
          <w:rFonts w:ascii="Arial" w:cs="Arial" w:eastAsia="Arial" w:hAnsi="Arial"/>
          <w:i w:val="false"/>
          <w:iCs w:val="false"/>
          <w:sz w:val="18"/>
          <w:szCs w:val="18"/>
        </w:rPr>
        <w:t xml:space="preserve">The following requirements apply to all parties within scope of this policy. Compliance is mandatory unless a documented exception has been approved in accordance with Section 6.</w:t>
      </w:r>
    </w:p>
    <w:p>
      <w:pPr>
        <w:spacing w:after="80" w:before="160"/>
      </w:pPr>
      <w:r>
        <w:rPr>
          <w:rFonts w:ascii="Arial" w:cs="Arial" w:eastAsia="Arial" w:hAnsi="Arial"/>
          <w:b/>
          <w:bCs/>
          <w:color w:val="2E75B6"/>
          <w:sz w:val="18"/>
          <w:szCs w:val="18"/>
        </w:rPr>
        <w:t xml:space="preserve">5.1 Classification Scheme</w:t>
      </w:r>
    </w:p>
    <w:p>
      <w:pPr>
        <w:spacing w:after="60"/>
        <w:ind w:left="360"/>
      </w:pPr>
      <w:r>
        <w:rPr>
          <w:rFonts w:ascii="Arial" w:cs="Arial" w:eastAsia="Arial" w:hAnsi="Arial"/>
          <w:b w:val="false"/>
          <w:bCs w:val="false"/>
          <w:sz w:val="18"/>
          <w:szCs w:val="18"/>
        </w:rPr>
        <w:t xml:space="preserve">5.1.1  PayWave shall classify all information into one of four tiers based on the sensitivity of the data and the harm that would result from unauthorised disclosure.</w:t>
      </w:r>
    </w:p>
    <w:p>
      <w:pPr>
        <w:spacing w:after="60"/>
        <w:ind w:left="360"/>
      </w:pPr>
      <w:r>
        <w:rPr>
          <w:rFonts w:ascii="Arial" w:cs="Arial" w:eastAsia="Arial" w:hAnsi="Arial"/>
          <w:b w:val="false"/>
          <w:bCs w:val="false"/>
          <w:sz w:val="18"/>
          <w:szCs w:val="18"/>
        </w:rPr>
        <w:t xml:space="preserve">5.1.2  PUBLIC: Information explicitly approved for public disclosure. Examples include marketing materials, published press releases, the public website. No special handling required; minimal harm if disclosed.</w:t>
      </w:r>
    </w:p>
    <w:p>
      <w:pPr>
        <w:spacing w:after="60"/>
        <w:ind w:left="360"/>
      </w:pPr>
      <w:r>
        <w:rPr>
          <w:rFonts w:ascii="Arial" w:cs="Arial" w:eastAsia="Arial" w:hAnsi="Arial"/>
          <w:b w:val="false"/>
          <w:bCs w:val="false"/>
          <w:sz w:val="18"/>
          <w:szCs w:val="18"/>
        </w:rPr>
        <w:t xml:space="preserve">5.1.3  INTERNAL: Information for use within PayWave but not approved for public disclosure. Examples include the employee handbook, org charts, meeting notes, internal wikis. Limited harm if disclosed.</w:t>
      </w:r>
    </w:p>
    <w:p>
      <w:pPr>
        <w:spacing w:after="60"/>
        <w:ind w:left="360"/>
      </w:pPr>
      <w:r>
        <w:rPr>
          <w:rFonts w:ascii="Arial" w:cs="Arial" w:eastAsia="Arial" w:hAnsi="Arial"/>
          <w:b w:val="false"/>
          <w:bCs w:val="false"/>
          <w:sz w:val="18"/>
          <w:szCs w:val="18"/>
        </w:rPr>
        <w:t xml:space="preserve">5.1.4  CONFIDENTIAL: Information whose unauthorised disclosure would cause significant harm to PayWave's business, reputation, or competitive position. Examples include financial reports, business strategy, source code, internal communications, vendor contracts, security configurations.</w:t>
      </w:r>
    </w:p>
    <w:p>
      <w:pPr>
        <w:spacing w:after="60"/>
        <w:ind w:left="360"/>
      </w:pPr>
      <w:r>
        <w:rPr>
          <w:rFonts w:ascii="Arial" w:cs="Arial" w:eastAsia="Arial" w:hAnsi="Arial"/>
          <w:b w:val="false"/>
          <w:bCs w:val="false"/>
          <w:sz w:val="18"/>
          <w:szCs w:val="18"/>
        </w:rPr>
        <w:t xml:space="preserve">5.1.5  RESTRICTED: Information whose unauthorised disclosure would cause severe harm including regulatory penalties, customer harm, or material business impact. Examples include customer Personal Data, payment cardholder data, authentication credentials, encryption keys, and security incident details.</w:t>
      </w:r>
    </w:p>
    <w:p>
      <w:pPr>
        <w:spacing w:after="80" w:before="160"/>
      </w:pPr>
      <w:r>
        <w:rPr>
          <w:rFonts w:ascii="Arial" w:cs="Arial" w:eastAsia="Arial" w:hAnsi="Arial"/>
          <w:b/>
          <w:bCs/>
          <w:color w:val="2E75B6"/>
          <w:sz w:val="18"/>
          <w:szCs w:val="18"/>
        </w:rPr>
        <w:t xml:space="preserve">5.2 Classification Responsibilities</w:t>
      </w:r>
    </w:p>
    <w:p>
      <w:pPr>
        <w:spacing w:after="60"/>
        <w:ind w:left="360"/>
      </w:pPr>
      <w:r>
        <w:rPr>
          <w:rFonts w:ascii="Arial" w:cs="Arial" w:eastAsia="Arial" w:hAnsi="Arial"/>
          <w:b w:val="false"/>
          <w:bCs w:val="false"/>
          <w:sz w:val="18"/>
          <w:szCs w:val="18"/>
        </w:rPr>
        <w:t xml:space="preserve">5.2.1  All information shall be classified at the point of creation or receipt by the Data Owner or originating User.</w:t>
      </w:r>
    </w:p>
    <w:p>
      <w:pPr>
        <w:spacing w:after="60"/>
        <w:ind w:left="360"/>
      </w:pPr>
      <w:r>
        <w:rPr>
          <w:rFonts w:ascii="Arial" w:cs="Arial" w:eastAsia="Arial" w:hAnsi="Arial"/>
          <w:b w:val="false"/>
          <w:bCs w:val="false"/>
          <w:sz w:val="18"/>
          <w:szCs w:val="18"/>
        </w:rPr>
        <w:t xml:space="preserve">5.2.2  When in doubt, data shall be classified at the higher of two candidate levels.</w:t>
      </w:r>
    </w:p>
    <w:p>
      <w:pPr>
        <w:spacing w:after="60"/>
        <w:ind w:left="360"/>
      </w:pPr>
      <w:r>
        <w:rPr>
          <w:rFonts w:ascii="Arial" w:cs="Arial" w:eastAsia="Arial" w:hAnsi="Arial"/>
          <w:b w:val="false"/>
          <w:bCs w:val="false"/>
          <w:sz w:val="18"/>
          <w:szCs w:val="18"/>
        </w:rPr>
        <w:t xml:space="preserve">5.2.3  Aggregations of lower-classified data may warrant a higher classification (e.g. an Internal contact list combined with internal salary data may aggregate to Confidential).</w:t>
      </w:r>
    </w:p>
    <w:p>
      <w:pPr>
        <w:spacing w:after="60"/>
        <w:ind w:left="360"/>
      </w:pPr>
      <w:r>
        <w:rPr>
          <w:rFonts w:ascii="Arial" w:cs="Arial" w:eastAsia="Arial" w:hAnsi="Arial"/>
          <w:b w:val="false"/>
          <w:bCs w:val="false"/>
          <w:sz w:val="18"/>
          <w:szCs w:val="18"/>
        </w:rPr>
        <w:t xml:space="preserve">5.2.4  Reclassification (upward or downward) requires Data Owner approval and shall be reflected in labels and access controls.</w:t>
      </w:r>
    </w:p>
    <w:p>
      <w:pPr>
        <w:spacing w:after="80" w:before="160"/>
      </w:pPr>
      <w:r>
        <w:rPr>
          <w:rFonts w:ascii="Arial" w:cs="Arial" w:eastAsia="Arial" w:hAnsi="Arial"/>
          <w:b/>
          <w:bCs/>
          <w:color w:val="2E75B6"/>
          <w:sz w:val="18"/>
          <w:szCs w:val="18"/>
        </w:rPr>
        <w:t xml:space="preserve">5.3 Labelling Requirements</w:t>
      </w:r>
    </w:p>
    <w:p>
      <w:pPr>
        <w:spacing w:after="60"/>
        <w:ind w:left="360"/>
      </w:pPr>
      <w:r>
        <w:rPr>
          <w:rFonts w:ascii="Arial" w:cs="Arial" w:eastAsia="Arial" w:hAnsi="Arial"/>
          <w:b w:val="false"/>
          <w:bCs w:val="false"/>
          <w:sz w:val="18"/>
          <w:szCs w:val="18"/>
        </w:rPr>
        <w:t xml:space="preserve">5.3.1  All documents containing Confidential or Restricted information shall be labelled in the document header or footer with the classification level.</w:t>
      </w:r>
    </w:p>
    <w:p>
      <w:pPr>
        <w:spacing w:after="60"/>
        <w:ind w:left="360"/>
      </w:pPr>
      <w:r>
        <w:rPr>
          <w:rFonts w:ascii="Arial" w:cs="Arial" w:eastAsia="Arial" w:hAnsi="Arial"/>
          <w:b w:val="false"/>
          <w:bCs w:val="false"/>
          <w:sz w:val="18"/>
          <w:szCs w:val="18"/>
        </w:rPr>
        <w:t xml:space="preserve">5.3.2  Email containing Confidential or Restricted information shall be labelled in the subject line prefix (e.g. [CONFIDENTIAL]) or via the Microsoft Information Protection sensitivity label.</w:t>
      </w:r>
    </w:p>
    <w:p>
      <w:pPr>
        <w:spacing w:after="60"/>
        <w:ind w:left="360"/>
      </w:pPr>
      <w:r>
        <w:rPr>
          <w:rFonts w:ascii="Arial" w:cs="Arial" w:eastAsia="Arial" w:hAnsi="Arial"/>
          <w:b w:val="false"/>
          <w:bCs w:val="false"/>
          <w:sz w:val="18"/>
          <w:szCs w:val="18"/>
        </w:rPr>
        <w:t xml:space="preserve">5.3.3  Physical media (USB drives, printed documents) containing Confidential or Restricted information shall be physically labelled with the classification level.</w:t>
      </w:r>
    </w:p>
    <w:p>
      <w:pPr>
        <w:spacing w:after="60"/>
        <w:ind w:left="360"/>
      </w:pPr>
      <w:r>
        <w:rPr>
          <w:rFonts w:ascii="Arial" w:cs="Arial" w:eastAsia="Arial" w:hAnsi="Arial"/>
          <w:b w:val="false"/>
          <w:bCs w:val="false"/>
          <w:sz w:val="18"/>
          <w:szCs w:val="18"/>
        </w:rPr>
        <w:t xml:space="preserve">5.3.4  Public and Internal data does not require labelling but may be labelled for clarity.</w:t>
      </w:r>
    </w:p>
    <w:p>
      <w:pPr>
        <w:spacing w:after="80" w:before="160"/>
      </w:pPr>
      <w:r>
        <w:rPr>
          <w:rFonts w:ascii="Arial" w:cs="Arial" w:eastAsia="Arial" w:hAnsi="Arial"/>
          <w:b/>
          <w:bCs/>
          <w:color w:val="2E75B6"/>
          <w:sz w:val="18"/>
          <w:szCs w:val="18"/>
        </w:rPr>
        <w:t xml:space="preserve">5.4 Storage Requirements by Classification</w:t>
      </w:r>
    </w:p>
    <w:p>
      <w:pPr>
        <w:spacing w:after="60"/>
        <w:ind w:left="360"/>
      </w:pPr>
      <w:r>
        <w:rPr>
          <w:rFonts w:ascii="Arial" w:cs="Arial" w:eastAsia="Arial" w:hAnsi="Arial"/>
          <w:b w:val="false"/>
          <w:bCs w:val="false"/>
          <w:sz w:val="18"/>
          <w:szCs w:val="18"/>
        </w:rPr>
        <w:t xml:space="preserve">5.4.1  PUBLIC: May be stored anywhere including public-facing systems.</w:t>
      </w:r>
    </w:p>
    <w:p>
      <w:pPr>
        <w:spacing w:after="60"/>
        <w:ind w:left="360"/>
      </w:pPr>
      <w:r>
        <w:rPr>
          <w:rFonts w:ascii="Arial" w:cs="Arial" w:eastAsia="Arial" w:hAnsi="Arial"/>
          <w:b w:val="false"/>
          <w:bCs w:val="false"/>
          <w:sz w:val="18"/>
          <w:szCs w:val="18"/>
        </w:rPr>
        <w:t xml:space="preserve">5.4.2  INTERNAL: Shall be stored on PayWave-managed systems (AWS, Microsoft 365, SharePoint, approved SaaS). Personal cloud storage is prohibited.</w:t>
      </w:r>
    </w:p>
    <w:p>
      <w:pPr>
        <w:spacing w:after="60"/>
        <w:ind w:left="360"/>
      </w:pPr>
      <w:r>
        <w:rPr>
          <w:rFonts w:ascii="Arial" w:cs="Arial" w:eastAsia="Arial" w:hAnsi="Arial"/>
          <w:b w:val="false"/>
          <w:bCs w:val="false"/>
          <w:sz w:val="18"/>
          <w:szCs w:val="18"/>
        </w:rPr>
        <w:t xml:space="preserve">5.4.3  CONFIDENTIAL: Shall be stored on PayWave-managed systems with access restricted to authorised users via RBAC. Encryption at rest is required.</w:t>
      </w:r>
    </w:p>
    <w:p>
      <w:pPr>
        <w:spacing w:after="60"/>
        <w:ind w:left="360"/>
      </w:pPr>
      <w:r>
        <w:rPr>
          <w:rFonts w:ascii="Arial" w:cs="Arial" w:eastAsia="Arial" w:hAnsi="Arial"/>
          <w:b w:val="false"/>
          <w:bCs w:val="false"/>
          <w:sz w:val="18"/>
          <w:szCs w:val="18"/>
        </w:rPr>
        <w:t xml:space="preserve">5.4.4  RESTRICTED: Shall be stored only on PayWave-managed systems explicitly approved for Restricted data. Encryption at rest using AES-256 is mandatory. Storage on endpoint devices is prohibited except for transient processing.</w:t>
      </w:r>
    </w:p>
    <w:p>
      <w:pPr>
        <w:spacing w:after="60"/>
        <w:ind w:left="360"/>
      </w:pPr>
      <w:r>
        <w:rPr>
          <w:rFonts w:ascii="Arial" w:cs="Arial" w:eastAsia="Arial" w:hAnsi="Arial"/>
          <w:b w:val="false"/>
          <w:bCs w:val="false"/>
          <w:sz w:val="18"/>
          <w:szCs w:val="18"/>
        </w:rPr>
        <w:t xml:space="preserve">5.4.5  Cardholder data shall additionally comply with PCI DSS v4.0 Requirement 3 (protection of stored cardholder data). The Primary Account Number (PAN) shall be rendered unreadable wherever it is stored.</w:t>
      </w:r>
    </w:p>
    <w:p>
      <w:pPr>
        <w:spacing w:after="80" w:before="160"/>
      </w:pPr>
      <w:r>
        <w:rPr>
          <w:rFonts w:ascii="Arial" w:cs="Arial" w:eastAsia="Arial" w:hAnsi="Arial"/>
          <w:b/>
          <w:bCs/>
          <w:color w:val="2E75B6"/>
          <w:sz w:val="18"/>
          <w:szCs w:val="18"/>
        </w:rPr>
        <w:t xml:space="preserve">5.5 Transmission Requirements by Classification</w:t>
      </w:r>
    </w:p>
    <w:p>
      <w:pPr>
        <w:spacing w:after="60"/>
        <w:ind w:left="360"/>
      </w:pPr>
      <w:r>
        <w:rPr>
          <w:rFonts w:ascii="Arial" w:cs="Arial" w:eastAsia="Arial" w:hAnsi="Arial"/>
          <w:b w:val="false"/>
          <w:bCs w:val="false"/>
          <w:sz w:val="18"/>
          <w:szCs w:val="18"/>
        </w:rPr>
        <w:t xml:space="preserve">5.5.1  INTERNAL data may be transmitted over PayWave-controlled networks without encryption requirements, but external transmission must use TLS 1.2 minimum.</w:t>
      </w:r>
    </w:p>
    <w:p>
      <w:pPr>
        <w:spacing w:after="60"/>
        <w:ind w:left="360"/>
      </w:pPr>
      <w:r>
        <w:rPr>
          <w:rFonts w:ascii="Arial" w:cs="Arial" w:eastAsia="Arial" w:hAnsi="Arial"/>
          <w:b w:val="false"/>
          <w:bCs w:val="false"/>
          <w:sz w:val="18"/>
          <w:szCs w:val="18"/>
        </w:rPr>
        <w:t xml:space="preserve">5.5.2  CONFIDENTIAL data shall be transmitted only over encrypted channels (TLS 1.2 minimum). External transmission via email requires sensitivity label and recipient verification.</w:t>
      </w:r>
    </w:p>
    <w:p>
      <w:pPr>
        <w:spacing w:after="60"/>
        <w:ind w:left="360"/>
      </w:pPr>
      <w:r>
        <w:rPr>
          <w:rFonts w:ascii="Arial" w:cs="Arial" w:eastAsia="Arial" w:hAnsi="Arial"/>
          <w:b w:val="false"/>
          <w:bCs w:val="false"/>
          <w:sz w:val="18"/>
          <w:szCs w:val="18"/>
        </w:rPr>
        <w:t xml:space="preserve">5.5.3  RESTRICTED data shall be transmitted only over TLS 1.2+ encrypted channels with additional payload-level encryption where transmitted to external parties.</w:t>
      </w:r>
    </w:p>
    <w:p>
      <w:pPr>
        <w:spacing w:after="60"/>
        <w:ind w:left="360"/>
      </w:pPr>
      <w:r>
        <w:rPr>
          <w:rFonts w:ascii="Arial" w:cs="Arial" w:eastAsia="Arial" w:hAnsi="Arial"/>
          <w:b w:val="false"/>
          <w:bCs w:val="false"/>
          <w:sz w:val="18"/>
          <w:szCs w:val="18"/>
        </w:rPr>
        <w:t xml:space="preserve">5.5.4  Personal Data transferred outside Singapore shall comply with PDPA Section 26 (transfer limitation) including a comparable level of protection in the recipient jurisdiction.</w:t>
      </w:r>
    </w:p>
    <w:p>
      <w:pPr>
        <w:spacing w:after="80" w:before="160"/>
      </w:pPr>
      <w:r>
        <w:rPr>
          <w:rFonts w:ascii="Arial" w:cs="Arial" w:eastAsia="Arial" w:hAnsi="Arial"/>
          <w:b/>
          <w:bCs/>
          <w:color w:val="2E75B6"/>
          <w:sz w:val="18"/>
          <w:szCs w:val="18"/>
        </w:rPr>
        <w:t xml:space="preserve">5.6 Access Restrictions by Classification</w:t>
      </w:r>
    </w:p>
    <w:p>
      <w:pPr>
        <w:spacing w:after="60"/>
        <w:ind w:left="360"/>
      </w:pPr>
      <w:r>
        <w:rPr>
          <w:rFonts w:ascii="Arial" w:cs="Arial" w:eastAsia="Arial" w:hAnsi="Arial"/>
          <w:b w:val="false"/>
          <w:bCs w:val="false"/>
          <w:sz w:val="18"/>
          <w:szCs w:val="18"/>
        </w:rPr>
        <w:t xml:space="preserve">5.6.1  Access to Confidential and Restricted data shall be granted only on a need-to-know basis through formal access requests per the Access Control Policy (POL-002).</w:t>
      </w:r>
    </w:p>
    <w:p>
      <w:pPr>
        <w:spacing w:after="60"/>
        <w:ind w:left="360"/>
      </w:pPr>
      <w:r>
        <w:rPr>
          <w:rFonts w:ascii="Arial" w:cs="Arial" w:eastAsia="Arial" w:hAnsi="Arial"/>
          <w:b w:val="false"/>
          <w:bCs w:val="false"/>
          <w:sz w:val="18"/>
          <w:szCs w:val="18"/>
        </w:rPr>
        <w:t xml:space="preserve">5.6.2  Access to Restricted data containing Personal Data shall additionally require completion of PDPA awareness training.</w:t>
      </w:r>
    </w:p>
    <w:p>
      <w:pPr>
        <w:spacing w:after="60"/>
        <w:ind w:left="360"/>
      </w:pPr>
      <w:r>
        <w:rPr>
          <w:rFonts w:ascii="Arial" w:cs="Arial" w:eastAsia="Arial" w:hAnsi="Arial"/>
          <w:b w:val="false"/>
          <w:bCs w:val="false"/>
          <w:sz w:val="18"/>
          <w:szCs w:val="18"/>
        </w:rPr>
        <w:t xml:space="preserve">5.6.3  Access to cardholder data shall be additionally controlled per PCI DSS Requirements 7 and 8.</w:t>
      </w:r>
    </w:p>
    <w:p>
      <w:pPr>
        <w:spacing w:after="60"/>
        <w:ind w:left="360"/>
      </w:pPr>
      <w:r>
        <w:rPr>
          <w:rFonts w:ascii="Arial" w:cs="Arial" w:eastAsia="Arial" w:hAnsi="Arial"/>
          <w:b w:val="false"/>
          <w:bCs w:val="false"/>
          <w:sz w:val="18"/>
          <w:szCs w:val="18"/>
        </w:rPr>
        <w:t xml:space="preserve">5.6.4  Cross-functional access (e.g. engineering staff accessing customer data for support) shall be granted via time-limited access with explicit justification and DPO notification.</w:t>
      </w:r>
    </w:p>
    <w:p>
      <w:pPr>
        <w:spacing w:after="80" w:before="160"/>
      </w:pPr>
      <w:r>
        <w:rPr>
          <w:rFonts w:ascii="Arial" w:cs="Arial" w:eastAsia="Arial" w:hAnsi="Arial"/>
          <w:b/>
          <w:bCs/>
          <w:color w:val="2E75B6"/>
          <w:sz w:val="18"/>
          <w:szCs w:val="18"/>
        </w:rPr>
        <w:t xml:space="preserve">5.7 Retention and Destruction</w:t>
      </w:r>
    </w:p>
    <w:p>
      <w:pPr>
        <w:spacing w:after="60"/>
        <w:ind w:left="360"/>
      </w:pPr>
      <w:r>
        <w:rPr>
          <w:rFonts w:ascii="Arial" w:cs="Arial" w:eastAsia="Arial" w:hAnsi="Arial"/>
          <w:b w:val="false"/>
          <w:bCs w:val="false"/>
          <w:sz w:val="18"/>
          <w:szCs w:val="18"/>
        </w:rPr>
        <w:t xml:space="preserve">5.7.1  Data retention periods shall be defined per the PayWave Data Retention Schedule (maintained by the DPO). Default retention shall not exceed business need.</w:t>
      </w:r>
    </w:p>
    <w:p>
      <w:pPr>
        <w:spacing w:after="60"/>
        <w:ind w:left="360"/>
      </w:pPr>
      <w:r>
        <w:rPr>
          <w:rFonts w:ascii="Arial" w:cs="Arial" w:eastAsia="Arial" w:hAnsi="Arial"/>
          <w:b w:val="false"/>
          <w:bCs w:val="false"/>
          <w:sz w:val="18"/>
          <w:szCs w:val="18"/>
        </w:rPr>
        <w:t xml:space="preserve">5.7.2  Personal Data shall be retained only for as long as required by the purpose for which it was collected, in accordance with PDPA Section 25 (Retention Limitation Obligation).</w:t>
      </w:r>
    </w:p>
    <w:p>
      <w:pPr>
        <w:spacing w:after="60"/>
        <w:ind w:left="360"/>
      </w:pPr>
      <w:r>
        <w:rPr>
          <w:rFonts w:ascii="Arial" w:cs="Arial" w:eastAsia="Arial" w:hAnsi="Arial"/>
          <w:b w:val="false"/>
          <w:bCs w:val="false"/>
          <w:sz w:val="18"/>
          <w:szCs w:val="18"/>
        </w:rPr>
        <w:t xml:space="preserve">5.7.3  Confidential and Restricted data shall be destroyed in a manner that prevents recovery: cryptographic erasure for cloud data, multi-pass overwrite for disk media, cross-cut shredding for paper.</w:t>
      </w:r>
    </w:p>
    <w:p>
      <w:pPr>
        <w:spacing w:after="60"/>
        <w:ind w:left="360"/>
      </w:pPr>
      <w:r>
        <w:rPr>
          <w:rFonts w:ascii="Arial" w:cs="Arial" w:eastAsia="Arial" w:hAnsi="Arial"/>
          <w:b w:val="false"/>
          <w:bCs w:val="false"/>
          <w:sz w:val="18"/>
          <w:szCs w:val="18"/>
        </w:rPr>
        <w:t xml:space="preserve">5.7.4  Destruction of Restricted data shall be documented with a Certificate of Destruction including date, method, custodian, and witness.</w:t>
      </w:r>
    </w:p>
    <w:p>
      <w:pPr>
        <w:spacing w:after="80" w:before="160"/>
      </w:pPr>
      <w:r>
        <w:rPr>
          <w:rFonts w:ascii="Arial" w:cs="Arial" w:eastAsia="Arial" w:hAnsi="Arial"/>
          <w:b/>
          <w:bCs/>
          <w:color w:val="2E75B6"/>
          <w:sz w:val="18"/>
          <w:szCs w:val="18"/>
        </w:rPr>
        <w:t xml:space="preserve">5.8 Personal Data Specific Requirements</w:t>
      </w:r>
    </w:p>
    <w:p>
      <w:pPr>
        <w:spacing w:after="60"/>
        <w:ind w:left="360"/>
      </w:pPr>
      <w:r>
        <w:rPr>
          <w:rFonts w:ascii="Arial" w:cs="Arial" w:eastAsia="Arial" w:hAnsi="Arial"/>
          <w:b w:val="false"/>
          <w:bCs w:val="false"/>
          <w:sz w:val="18"/>
          <w:szCs w:val="18"/>
        </w:rPr>
        <w:t xml:space="preserve">5.8.1  Collection, use, and disclosure of Personal Data shall be limited to purposes for which the individual has consented or which are otherwise permitted under the PDPA.</w:t>
      </w:r>
    </w:p>
    <w:p>
      <w:pPr>
        <w:spacing w:after="60"/>
        <w:ind w:left="360"/>
      </w:pPr>
      <w:r>
        <w:rPr>
          <w:rFonts w:ascii="Arial" w:cs="Arial" w:eastAsia="Arial" w:hAnsi="Arial"/>
          <w:b w:val="false"/>
          <w:bCs w:val="false"/>
          <w:sz w:val="18"/>
          <w:szCs w:val="18"/>
        </w:rPr>
        <w:t xml:space="preserve">5.8.2  Personal Data subject access requests shall be acknowledged within 7 calendar days and fulfilled within 30 calendar days per PDPA.</w:t>
      </w:r>
    </w:p>
    <w:p>
      <w:pPr>
        <w:spacing w:after="60"/>
        <w:ind w:left="360"/>
      </w:pPr>
      <w:r>
        <w:rPr>
          <w:rFonts w:ascii="Arial" w:cs="Arial" w:eastAsia="Arial" w:hAnsi="Arial"/>
          <w:b w:val="false"/>
          <w:bCs w:val="false"/>
          <w:sz w:val="18"/>
          <w:szCs w:val="18"/>
        </w:rPr>
        <w:t xml:space="preserve">5.8.3  Personal Data breaches affecting 500 or more individuals or causing significant harm shall be notified to the PDPC within 72 hours of confirmation, per PDPA Section 26B.</w:t>
      </w:r>
    </w:p>
    <w:p>
      <w:pPr>
        <w:spacing w:after="60"/>
        <w:ind w:left="360"/>
      </w:pPr>
      <w:r>
        <w:rPr>
          <w:rFonts w:ascii="Arial" w:cs="Arial" w:eastAsia="Arial" w:hAnsi="Arial"/>
          <w:b w:val="false"/>
          <w:bCs w:val="false"/>
          <w:sz w:val="18"/>
          <w:szCs w:val="18"/>
        </w:rPr>
        <w:t xml:space="preserve">5.8.4  Affected individuals shall be notified of breaches likely to cause significant harm, per PDPA Section 26D.</w:t>
      </w:r>
    </w:p>
    <w:p>
      <w:pPr>
        <w:spacing w:after="120" w:before="240"/>
      </w:pPr>
      <w:r>
        <w:rPr>
          <w:rFonts w:ascii="Arial" w:cs="Arial" w:eastAsia="Arial" w:hAnsi="Arial"/>
          <w:b/>
          <w:bCs/>
          <w:color w:val="1F3864"/>
          <w:sz w:val="22"/>
          <w:szCs w:val="22"/>
        </w:rPr>
        <w:t xml:space="preserve">6. Exceptions</w:t>
      </w:r>
    </w:p>
    <w:p>
      <w:pPr>
        <w:spacing w:after="100"/>
      </w:pPr>
      <w:r>
        <w:rPr>
          <w:rFonts w:ascii="Arial" w:cs="Arial" w:eastAsia="Arial" w:hAnsi="Arial"/>
          <w:i w:val="false"/>
          <w:iCs w:val="false"/>
          <w:sz w:val="18"/>
          <w:szCs w:val="18"/>
        </w:rPr>
        <w:t xml:space="preserve">Exceptions to this policy may be granted only in writing by the Policy Owner with formal approval from the CISO. All exceptions must be:</w:t>
      </w:r>
    </w:p>
    <w:p>
      <w:pPr>
        <w:spacing w:after="60"/>
        <w:ind w:left="360"/>
      </w:pPr>
      <w:r>
        <w:rPr>
          <w:rFonts w:ascii="Arial" w:cs="Arial" w:eastAsia="Arial" w:hAnsi="Arial"/>
          <w:b w:val="false"/>
          <w:bCs w:val="false"/>
          <w:sz w:val="18"/>
          <w:szCs w:val="18"/>
        </w:rPr>
        <w:t xml:space="preserve">a. Justified by documented business need or technical constraint;</w:t>
      </w:r>
    </w:p>
    <w:p>
      <w:pPr>
        <w:spacing w:after="60"/>
        <w:ind w:left="360"/>
      </w:pPr>
      <w:r>
        <w:rPr>
          <w:rFonts w:ascii="Arial" w:cs="Arial" w:eastAsia="Arial" w:hAnsi="Arial"/>
          <w:b w:val="false"/>
          <w:bCs w:val="false"/>
          <w:sz w:val="18"/>
          <w:szCs w:val="18"/>
        </w:rPr>
        <w:t xml:space="preserve">b. Accompanied by compensating controls that achieve an equivalent risk reduction;</w:t>
      </w:r>
    </w:p>
    <w:p>
      <w:pPr>
        <w:spacing w:after="60"/>
        <w:ind w:left="360"/>
      </w:pPr>
      <w:r>
        <w:rPr>
          <w:rFonts w:ascii="Arial" w:cs="Arial" w:eastAsia="Arial" w:hAnsi="Arial"/>
          <w:b w:val="false"/>
          <w:bCs w:val="false"/>
          <w:sz w:val="18"/>
          <w:szCs w:val="18"/>
        </w:rPr>
        <w:t xml:space="preserve">c. Time-bound with a defined expiry date not exceeding 12 months;</w:t>
      </w:r>
    </w:p>
    <w:p>
      <w:pPr>
        <w:spacing w:after="60"/>
        <w:ind w:left="360"/>
      </w:pPr>
      <w:r>
        <w:rPr>
          <w:rFonts w:ascii="Arial" w:cs="Arial" w:eastAsia="Arial" w:hAnsi="Arial"/>
          <w:b w:val="false"/>
          <w:bCs w:val="false"/>
          <w:sz w:val="18"/>
          <w:szCs w:val="18"/>
        </w:rPr>
        <w:t xml:space="preserve">d. Recorded in the Policy Exceptions Tracker (maintained by the GRC team);</w:t>
      </w:r>
    </w:p>
    <w:p>
      <w:pPr>
        <w:spacing w:after="60"/>
        <w:ind w:left="360"/>
      </w:pPr>
      <w:r>
        <w:rPr>
          <w:rFonts w:ascii="Arial" w:cs="Arial" w:eastAsia="Arial" w:hAnsi="Arial"/>
          <w:b w:val="false"/>
          <w:bCs w:val="false"/>
          <w:sz w:val="18"/>
          <w:szCs w:val="18"/>
        </w:rPr>
        <w:t xml:space="preserve">e. Reviewed quarterly until closed.</w:t>
      </w:r>
    </w:p>
    <w:p>
      <w:pPr>
        <w:spacing w:after="100"/>
      </w:pPr>
      <w:r>
        <w:rPr>
          <w:rFonts w:ascii="Arial" w:cs="Arial" w:eastAsia="Arial" w:hAnsi="Arial"/>
          <w:i w:val="false"/>
          <w:iCs w:val="false"/>
          <w:sz w:val="18"/>
          <w:szCs w:val="18"/>
        </w:rPr>
        <w:t xml:space="preserve">Critical risks (residual score 20–25) shall not be subject to exceptions under any circumstances.</w:t>
      </w:r>
    </w:p>
    <w:p>
      <w:pPr>
        <w:spacing w:after="120" w:before="240"/>
      </w:pPr>
      <w:r>
        <w:rPr>
          <w:rFonts w:ascii="Arial" w:cs="Arial" w:eastAsia="Arial" w:hAnsi="Arial"/>
          <w:b/>
          <w:bCs/>
          <w:color w:val="1F3864"/>
          <w:sz w:val="22"/>
          <w:szCs w:val="22"/>
        </w:rPr>
        <w:t xml:space="preserve">7. Compliance and Enforcement</w:t>
      </w:r>
    </w:p>
    <w:p>
      <w:pPr>
        <w:spacing w:after="100"/>
      </w:pPr>
      <w:r>
        <w:rPr>
          <w:rFonts w:ascii="Arial" w:cs="Arial" w:eastAsia="Arial" w:hAnsi="Arial"/>
          <w:i w:val="false"/>
          <w:iCs w:val="false"/>
          <w:sz w:val="18"/>
          <w:szCs w:val="18"/>
        </w:rPr>
        <w:t xml:space="preserve">Compliance with this policy is mandatory. Violations may result in disciplinary action up to and including termination of employment or contract. Where violations involve unlawful conduct, PayWave may refer the matter to the relevant authorities including the Singapore Police Force, the Monetary Authority of Singapore (MAS), or the Personal Data Protection Commission (PDPC). Compliance is monitored through regular audits, system logging, periodic access reviews, and security awareness assessments.</w:t>
      </w:r>
    </w:p>
    <w:p>
      <w:pPr>
        <w:spacing w:after="120" w:before="240"/>
      </w:pPr>
      <w:r>
        <w:rPr>
          <w:rFonts w:ascii="Arial" w:cs="Arial" w:eastAsia="Arial" w:hAnsi="Arial"/>
          <w:b/>
          <w:bCs/>
          <w:color w:val="1F3864"/>
          <w:sz w:val="22"/>
          <w:szCs w:val="22"/>
        </w:rPr>
        <w:t xml:space="preserve">8. Related Documents and Regulatory References</w:t>
      </w:r>
    </w:p>
    <w:p>
      <w:pPr>
        <w:spacing w:after="100"/>
      </w:pPr>
      <w:r>
        <w:rPr>
          <w:rFonts w:ascii="Arial" w:cs="Arial" w:eastAsia="Arial" w:hAnsi="Arial"/>
          <w:i w:val="false"/>
          <w:iCs w:val="false"/>
          <w:sz w:val="18"/>
          <w:szCs w:val="18"/>
        </w:rPr>
        <w:t xml:space="preserve">This policy operates in conjunction with the following:</w:t>
      </w:r>
    </w:p>
    <w:p>
      <w:pPr>
        <w:spacing w:after="60"/>
        <w:ind w:left="360"/>
      </w:pPr>
      <w:r>
        <w:rPr>
          <w:rFonts w:ascii="Arial" w:cs="Arial" w:eastAsia="Arial" w:hAnsi="Arial"/>
          <w:b w:val="false"/>
          <w:bCs w:val="false"/>
          <w:sz w:val="18"/>
          <w:szCs w:val="18"/>
        </w:rPr>
        <w:t xml:space="preserve">•  POL-001 — Acceptable Use Policy</w:t>
      </w:r>
    </w:p>
    <w:p>
      <w:pPr>
        <w:spacing w:after="60"/>
        <w:ind w:left="360"/>
      </w:pPr>
      <w:r>
        <w:rPr>
          <w:rFonts w:ascii="Arial" w:cs="Arial" w:eastAsia="Arial" w:hAnsi="Arial"/>
          <w:b w:val="false"/>
          <w:bCs w:val="false"/>
          <w:sz w:val="18"/>
          <w:szCs w:val="18"/>
        </w:rPr>
        <w:t xml:space="preserve">•  POL-002 — Access Control Policy</w:t>
      </w:r>
    </w:p>
    <w:p>
      <w:pPr>
        <w:spacing w:after="60"/>
        <w:ind w:left="360"/>
      </w:pPr>
      <w:r>
        <w:rPr>
          <w:rFonts w:ascii="Arial" w:cs="Arial" w:eastAsia="Arial" w:hAnsi="Arial"/>
          <w:b w:val="false"/>
          <w:bCs w:val="false"/>
          <w:sz w:val="18"/>
          <w:szCs w:val="18"/>
        </w:rPr>
        <w:t xml:space="preserve">•  POL-004 — Incident Response Policy</w:t>
      </w:r>
    </w:p>
    <w:p>
      <w:pPr>
        <w:spacing w:after="60"/>
        <w:ind w:left="360"/>
      </w:pPr>
      <w:r>
        <w:rPr>
          <w:rFonts w:ascii="Arial" w:cs="Arial" w:eastAsia="Arial" w:hAnsi="Arial"/>
          <w:b w:val="false"/>
          <w:bCs w:val="false"/>
          <w:sz w:val="18"/>
          <w:szCs w:val="18"/>
        </w:rPr>
        <w:t xml:space="preserve">•  POL-006 — Cryptography Policy</w:t>
      </w:r>
    </w:p>
    <w:p>
      <w:pPr>
        <w:spacing w:after="60"/>
        <w:ind w:left="360"/>
      </w:pPr>
      <w:r>
        <w:rPr>
          <w:rFonts w:ascii="Arial" w:cs="Arial" w:eastAsia="Arial" w:hAnsi="Arial"/>
          <w:b w:val="false"/>
          <w:bCs w:val="false"/>
          <w:sz w:val="18"/>
          <w:szCs w:val="18"/>
        </w:rPr>
        <w:t xml:space="preserve">•  PayWave Data Retention Schedule</w:t>
      </w:r>
    </w:p>
    <w:p>
      <w:pPr>
        <w:spacing w:after="60"/>
        <w:ind w:left="360"/>
      </w:pPr>
      <w:r>
        <w:rPr>
          <w:rFonts w:ascii="Arial" w:cs="Arial" w:eastAsia="Arial" w:hAnsi="Arial"/>
          <w:b w:val="false"/>
          <w:bCs w:val="false"/>
          <w:sz w:val="18"/>
          <w:szCs w:val="18"/>
        </w:rPr>
        <w:t xml:space="preserve">•  PayWave Privacy Notice (Customer-Facing)</w:t>
      </w:r>
    </w:p>
    <w:p>
      <w:pPr>
        <w:spacing w:after="100"/>
      </w:pPr>
      <w:r>
        <w:rPr>
          <w:rFonts w:ascii="Arial" w:cs="Arial" w:eastAsia="Arial" w:hAnsi="Arial"/>
          <w:i w:val="false"/>
          <w:iCs w:val="false"/>
          <w:sz w:val="18"/>
          <w:szCs w:val="18"/>
        </w:rPr>
        <w:t xml:space="preserve"> </w:t>
      </w:r>
    </w:p>
    <w:p>
      <w:pPr>
        <w:spacing w:after="100"/>
      </w:pPr>
      <w:r>
        <w:rPr>
          <w:rFonts w:ascii="Arial" w:cs="Arial" w:eastAsia="Arial" w:hAnsi="Arial"/>
          <w:i w:val="false"/>
          <w:iCs w:val="false"/>
          <w:sz w:val="18"/>
          <w:szCs w:val="18"/>
        </w:rPr>
        <w:t xml:space="preserve">Regulatory and standards alignment:</w:t>
      </w:r>
    </w:p>
    <w:p>
      <w:pPr>
        <w:spacing w:after="60"/>
        <w:ind w:left="360"/>
      </w:pPr>
      <w:r>
        <w:rPr>
          <w:rFonts w:ascii="Arial" w:cs="Arial" w:eastAsia="Arial" w:hAnsi="Arial"/>
          <w:b w:val="false"/>
          <w:bCs w:val="false"/>
          <w:sz w:val="18"/>
          <w:szCs w:val="18"/>
        </w:rPr>
        <w:t xml:space="preserve">•  ISO/IEC 27001:2022 Annex A controls A.5.12 (Classification), A.5.13 (Labelling), A.5.14 (Information transfer), A.8.10 (Information deletion), A.8.11 (Data masking), A.8.12 (Data leakage prevention)</w:t>
      </w:r>
    </w:p>
    <w:p>
      <w:pPr>
        <w:spacing w:after="60"/>
        <w:ind w:left="360"/>
      </w:pPr>
      <w:r>
        <w:rPr>
          <w:rFonts w:ascii="Arial" w:cs="Arial" w:eastAsia="Arial" w:hAnsi="Arial"/>
          <w:b w:val="false"/>
          <w:bCs w:val="false"/>
          <w:sz w:val="18"/>
          <w:szCs w:val="18"/>
        </w:rPr>
        <w:t xml:space="preserve">•  MAS Technology Risk Management Guidelines Section 11 (Data protection) and Section 3.3 (Information asset management)</w:t>
      </w:r>
    </w:p>
    <w:p>
      <w:pPr>
        <w:spacing w:after="60"/>
        <w:ind w:left="360"/>
      </w:pPr>
      <w:r>
        <w:rPr>
          <w:rFonts w:ascii="Arial" w:cs="Arial" w:eastAsia="Arial" w:hAnsi="Arial"/>
          <w:b w:val="false"/>
          <w:bCs w:val="false"/>
          <w:sz w:val="18"/>
          <w:szCs w:val="18"/>
        </w:rPr>
        <w:t xml:space="preserve">•  Personal Data Protection Act (PDPA) Sections 11–26 (all 10 obligations)</w:t>
      </w:r>
    </w:p>
    <w:p>
      <w:pPr>
        <w:spacing w:after="60"/>
        <w:ind w:left="360"/>
      </w:pPr>
      <w:r>
        <w:rPr>
          <w:rFonts w:ascii="Arial" w:cs="Arial" w:eastAsia="Arial" w:hAnsi="Arial"/>
          <w:b w:val="false"/>
          <w:bCs w:val="false"/>
          <w:sz w:val="18"/>
          <w:szCs w:val="18"/>
        </w:rPr>
        <w:t xml:space="preserve">•  PCI DSS v4.0 Requirement 3 (Protect stored cardholder data)</w:t>
      </w:r>
    </w:p>
    <w:p>
      <w:pPr>
        <w:spacing w:after="120" w:before="240"/>
      </w:pPr>
      <w:r>
        <w:rPr>
          <w:rFonts w:ascii="Arial" w:cs="Arial" w:eastAsia="Arial" w:hAnsi="Arial"/>
          <w:b/>
          <w:bCs/>
          <w:color w:val="1F3864"/>
          <w:sz w:val="22"/>
          <w:szCs w:val="22"/>
        </w:rPr>
        <w:t xml:space="preserve">9. Review and Maintenance</w:t>
      </w:r>
    </w:p>
    <w:p>
      <w:pPr>
        <w:spacing w:after="100"/>
      </w:pPr>
      <w:r>
        <w:rPr>
          <w:rFonts w:ascii="Arial" w:cs="Arial" w:eastAsia="Arial" w:hAnsi="Arial"/>
          <w:i w:val="false"/>
          <w:iCs w:val="false"/>
          <w:sz w:val="18"/>
          <w:szCs w:val="18"/>
        </w:rPr>
        <w:t xml:space="preserve">This policy shall be reviewed at least annually by the Policy Owner, or sooner upon any of the following triggers:</w:t>
      </w:r>
    </w:p>
    <w:p>
      <w:pPr>
        <w:spacing w:after="60"/>
        <w:ind w:left="360"/>
      </w:pPr>
      <w:r>
        <w:rPr>
          <w:rFonts w:ascii="Arial" w:cs="Arial" w:eastAsia="Arial" w:hAnsi="Arial"/>
          <w:b w:val="false"/>
          <w:bCs w:val="false"/>
          <w:sz w:val="18"/>
          <w:szCs w:val="18"/>
        </w:rPr>
        <w:t xml:space="preserve">a. Material change in PayWave's business operations, technology environment, or regulatory obligations;</w:t>
      </w:r>
    </w:p>
    <w:p>
      <w:pPr>
        <w:spacing w:after="60"/>
        <w:ind w:left="360"/>
      </w:pPr>
      <w:r>
        <w:rPr>
          <w:rFonts w:ascii="Arial" w:cs="Arial" w:eastAsia="Arial" w:hAnsi="Arial"/>
          <w:b w:val="false"/>
          <w:bCs w:val="false"/>
          <w:sz w:val="18"/>
          <w:szCs w:val="18"/>
        </w:rPr>
        <w:t xml:space="preserve">b. Significant security incident or near-miss involving the policy domain;</w:t>
      </w:r>
    </w:p>
    <w:p>
      <w:pPr>
        <w:spacing w:after="60"/>
        <w:ind w:left="360"/>
      </w:pPr>
      <w:r>
        <w:rPr>
          <w:rFonts w:ascii="Arial" w:cs="Arial" w:eastAsia="Arial" w:hAnsi="Arial"/>
          <w:b w:val="false"/>
          <w:bCs w:val="false"/>
          <w:sz w:val="18"/>
          <w:szCs w:val="18"/>
        </w:rPr>
        <w:t xml:space="preserve">c. Findings from internal or external audit;</w:t>
      </w:r>
    </w:p>
    <w:p>
      <w:pPr>
        <w:spacing w:after="60"/>
        <w:ind w:left="360"/>
      </w:pPr>
      <w:r>
        <w:rPr>
          <w:rFonts w:ascii="Arial" w:cs="Arial" w:eastAsia="Arial" w:hAnsi="Arial"/>
          <w:b w:val="false"/>
          <w:bCs w:val="false"/>
          <w:sz w:val="18"/>
          <w:szCs w:val="18"/>
        </w:rPr>
        <w:t xml:space="preserve">d. Annual ISMS management review (per ISO 27001 Clause 9.3);</w:t>
      </w:r>
    </w:p>
    <w:p>
      <w:pPr>
        <w:spacing w:after="60"/>
        <w:ind w:left="360"/>
      </w:pPr>
      <w:r>
        <w:rPr>
          <w:rFonts w:ascii="Arial" w:cs="Arial" w:eastAsia="Arial" w:hAnsi="Arial"/>
          <w:b w:val="false"/>
          <w:bCs w:val="false"/>
          <w:sz w:val="18"/>
          <w:szCs w:val="18"/>
        </w:rPr>
        <w:t xml:space="preserve">e. Regulatory update from MAS, PDPC, or relevant standards body.</w:t>
      </w:r>
    </w:p>
    <w:p>
      <w:pPr>
        <w:spacing w:after="100"/>
      </w:pPr>
      <w:r>
        <w:rPr>
          <w:rFonts w:ascii="Arial" w:cs="Arial" w:eastAsia="Arial" w:hAnsi="Arial"/>
          <w:i w:val="false"/>
          <w:iCs w:val="false"/>
          <w:sz w:val="18"/>
          <w:szCs w:val="18"/>
        </w:rPr>
        <w:t xml:space="preserve">All revisions must be approved by the Approver named in the Document Control section before publication.</w:t>
      </w:r>
    </w:p>
    <w:p>
      <w:pPr>
        <w:spacing w:after="120" w:before="240"/>
      </w:pPr>
      <w:r>
        <w:rPr>
          <w:rFonts w:ascii="Arial" w:cs="Arial" w:eastAsia="Arial" w:hAnsi="Arial"/>
          <w:b/>
          <w:bCs/>
          <w:color w:val="1F3864"/>
          <w:sz w:val="22"/>
          <w:szCs w:val="22"/>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200"/>
        <w:gridCol w:w="1900"/>
        <w:gridCol w:w="2060"/>
      </w:tblGrid>
      <w:tr>
        <w:tc>
          <w:tcPr>
            <w:tcW w:type="dxa" w:w="1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Version</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Author</w:t>
            </w:r>
          </w:p>
        </w:tc>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Approver</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 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0000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15 Mar 2026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[Your Name], GRC</w:t>
            </w:r>
          </w:p>
        </w:tc>
        <w:tc>
          <w:tcPr>
            <w:tcW w:type="dxa" w:w="1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Chief Information Security Officer</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000000"/>
                <w:sz w:val="16"/>
                <w:szCs w:val="16"/>
              </w:rPr>
              <w:t xml:space="preserve">Initial issue</w:t>
            </w:r>
          </w:p>
        </w:tc>
      </w:tr>
    </w:tbl>
    <w:p>
      <w:pPr>
        <w:pBdr>
          <w:top w:val="single" w:color="CCCCCC" w:sz="4" w:space="1"/>
        </w:pBdr>
        <w:spacing w:before="400"/>
      </w:pPr>
      <w:r>
        <w:rPr>
          <w:rFonts w:ascii="Arial" w:cs="Arial" w:eastAsia="Arial" w:hAnsi="Arial"/>
          <w:i/>
          <w:iCs/>
          <w:color w:val="999999"/>
          <w:sz w:val="14"/>
          <w:szCs w:val="14"/>
        </w:rPr>
        <w:t xml:space="preserve">DISCLAIMER: This policy was created for portfolio demonstration purposes. PayWave Solutions Pte. Ltd. is a fictional entity. The policy structure, content, and regulatory references reflect industry best practices and are suitable as a reference template.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4"/>
        <w:szCs w:val="14"/>
      </w:rPr>
      <w:t xml:space="preserve">INTERNAL</w:t>
    </w:r>
    <w:r>
      <w:t xml:space="preserve">	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6"/>
        <w:szCs w:val="16"/>
      </w:rPr>
      <w:t xml:space="preserve">POL-003 — Data Classification and Handling Policy</w:t>
    </w:r>
    <w:r>
      <w:t xml:space="preserve">	</w:t>
    </w:r>
    <w:r>
      <w:rPr>
        <w:rFonts w:ascii="Arial" w:cs="Arial" w:eastAsia="Arial" w:hAnsi="Arial"/>
        <w:color w:val="999999"/>
        <w:sz w:val="16"/>
        <w:szCs w:val="16"/>
      </w:rPr>
      <w:t xml:space="preserve">PayWave Solutions Pte.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2026-05-25T05:08:09.094Z</dcterms:created>
  <dcterms:modified xsi:type="dcterms:W3CDTF">2026-05-25T05:08:09.094Z</dcterms:modified>
</cp:coreProperties>
</file>

<file path=docProps/custom.xml><?xml version="1.0" encoding="utf-8"?>
<Properties xmlns="http://schemas.openxmlformats.org/officeDocument/2006/custom-properties" xmlns:vt="http://schemas.openxmlformats.org/officeDocument/2006/docPropsVTypes"/>
</file>