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3864"/>
          <w:sz w:val="36"/>
          <w:szCs w:val="36"/>
        </w:rPr>
        <w:t xml:space="preserve">Incident Response Policy</w:t>
      </w:r>
    </w:p>
    <w:p>
      <w:pPr>
        <w:spacing w:after="100"/>
      </w:pPr>
      <w:r>
        <w:rPr>
          <w:rFonts w:ascii="Arial" w:cs="Arial" w:eastAsia="Arial" w:hAnsi="Arial"/>
          <w:b/>
          <w:bCs/>
          <w:color w:val="2E75B6"/>
          <w:sz w:val="22"/>
          <w:szCs w:val="22"/>
        </w:rPr>
        <w:t xml:space="preserve">Policy POL-004</w:t>
      </w:r>
    </w:p>
    <w:p>
      <w:pPr>
        <w:spacing w:after="300"/>
      </w:pPr>
      <w:r>
        <w:rPr>
          <w:rFonts w:ascii="Arial" w:cs="Arial" w:eastAsia="Arial" w:hAnsi="Arial"/>
          <w:color w:val="666666"/>
          <w:sz w:val="18"/>
          <w:szCs w:val="18"/>
        </w:rPr>
        <w:t xml:space="preserve">PayWave Solutions Pte. Ltd.</w:t>
      </w:r>
    </w:p>
    <w:p>
      <w:pPr>
        <w:spacing w:after="120" w:before="240"/>
      </w:pPr>
      <w:r>
        <w:rPr>
          <w:rFonts w:ascii="Arial" w:cs="Arial" w:eastAsia="Arial" w:hAnsi="Arial"/>
          <w:b/>
          <w:bCs/>
          <w:color w:val="1F3864"/>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Policy ID</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POL-004</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Effective Date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2026</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Review</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2027</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Executive Officer</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Classification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CONFIDENTIAL</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100"/>
                <w:sz w:val="16"/>
                <w:szCs w:val="16"/>
              </w:rPr>
              <w:t xml:space="preserve">Active</w:t>
            </w:r>
          </w:p>
        </w:tc>
      </w:tr>
    </w:tbl>
    <w:p>
      <w:pPr>
        <w:spacing w:after="120" w:before="240"/>
      </w:pPr>
      <w:r>
        <w:rPr>
          <w:rFonts w:ascii="Arial" w:cs="Arial" w:eastAsia="Arial" w:hAnsi="Arial"/>
          <w:b/>
          <w:bCs/>
          <w:color w:val="1F3864"/>
          <w:sz w:val="22"/>
          <w:szCs w:val="22"/>
        </w:rPr>
        <w:t xml:space="preserve">1. Purpose</w:t>
      </w:r>
    </w:p>
    <w:p>
      <w:pPr>
        <w:spacing w:after="100"/>
      </w:pPr>
      <w:r>
        <w:rPr>
          <w:rFonts w:ascii="Arial" w:cs="Arial" w:eastAsia="Arial" w:hAnsi="Arial"/>
          <w:i w:val="false"/>
          <w:iCs w:val="false"/>
          <w:sz w:val="18"/>
          <w:szCs w:val="18"/>
        </w:rPr>
        <w:t xml:space="preserve">This policy establishes the principles, authorities, and obligations for identifying, reporting, responding to, and learning from information security incidents at PayWave Solutions. It ensures timely and effective response that limits damage to PayWave and its customers, satisfies regulatory obligations under PDPA and MAS TRM, and supports continuous improvement of PayWave's security posture in alignment with ISO 27001:2022 controls A.5.24 through A.5.30.</w:t>
      </w:r>
    </w:p>
    <w:p>
      <w:pPr>
        <w:spacing w:after="120" w:before="240"/>
      </w:pPr>
      <w:r>
        <w:rPr>
          <w:rFonts w:ascii="Arial" w:cs="Arial" w:eastAsia="Arial" w:hAnsi="Arial"/>
          <w:b/>
          <w:bCs/>
          <w:color w:val="1F3864"/>
          <w:sz w:val="22"/>
          <w:szCs w:val="22"/>
        </w:rPr>
        <w:t xml:space="preserve">2. Scope</w:t>
      </w:r>
    </w:p>
    <w:p>
      <w:pPr>
        <w:spacing w:after="100"/>
      </w:pPr>
      <w:r>
        <w:rPr>
          <w:rFonts w:ascii="Arial" w:cs="Arial" w:eastAsia="Arial" w:hAnsi="Arial"/>
          <w:i w:val="false"/>
          <w:iCs w:val="false"/>
          <w:sz w:val="18"/>
          <w:szCs w:val="18"/>
        </w:rPr>
        <w:t xml:space="preserve">This policy applies to all security incidents affecting PayWave information systems, data, or services, regardless of the source, scale, or duration of the incident. It covers incidents detected internally and those reported by external parties including customers, vendors, security researchers, regulators, and law enforcement.</w:t>
      </w:r>
    </w:p>
    <w:p>
      <w:pPr>
        <w:spacing w:after="120" w:before="240"/>
      </w:pPr>
      <w:r>
        <w:rPr>
          <w:rFonts w:ascii="Arial" w:cs="Arial" w:eastAsia="Arial" w:hAnsi="Arial"/>
          <w:b/>
          <w:bCs/>
          <w:color w:val="1F3864"/>
          <w:sz w:val="22"/>
          <w:szCs w:val="2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Term</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Security Event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An observable occurrence in a system or network. Most events are routine and require no response.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Security Incident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 security event (or series of events) that has compromised or threatens to compromise the confidentiality, integrity, or availability of PayWave information assets.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Data Breach</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An incident involving the unauthorised access, disclosure, or loss of Personal Data, triggering PDPA Section 26B notification obligations.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CSIRT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Computer Security Incident Response Team — the cross-functional team responsible for incident response coordination.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IRP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Incident Response Plan — the operational document detailing step-by-step procedures for each incident type.</w:t>
            </w:r>
          </w:p>
        </w:tc>
      </w:tr>
    </w:tbl>
    <w:p>
      <w:pPr>
        <w:spacing w:after="120" w:before="240"/>
      </w:pPr>
      <w:r>
        <w:rPr>
          <w:rFonts w:ascii="Arial" w:cs="Arial" w:eastAsia="Arial" w:hAnsi="Arial"/>
          <w:b/>
          <w:bCs/>
          <w:color w:val="1F3864"/>
          <w:sz w:val="22"/>
          <w:szCs w:val="22"/>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All Users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Report suspected incidents immediately via designated channels; preserve evidence; cooperate with CSIRT investigation.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CSIRT Lead</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Coordinate incident response; classify severity; activate response procedures; communicate with stakeholders; chair lessons-learned review.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CISO</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Own this policy; act as executive incident sponsor for Severity 1–2 incidents; approve external communications; brief CEO and Board as required.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Data Protection Officer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Assess breach notification obligations under PDPA; liaise with PDPC; coordinate customer notifications for personal data breaches.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Legal Counsel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Advise on regulatory notification obligations; manage communications with law enforcement; oversee preservation of evidence for legal purposes.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Executive Leadership</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Authorise resource allocation for major incidents; approve public communications; engage with regulators at senior level.</w:t>
            </w:r>
          </w:p>
        </w:tc>
      </w:tr>
    </w:tbl>
    <w:p>
      <w:pPr>
        <w:spacing w:after="120" w:before="240"/>
      </w:pPr>
      <w:r>
        <w:rPr>
          <w:rFonts w:ascii="Arial" w:cs="Arial" w:eastAsia="Arial" w:hAnsi="Arial"/>
          <w:b/>
          <w:bCs/>
          <w:color w:val="1F3864"/>
          <w:sz w:val="22"/>
          <w:szCs w:val="22"/>
        </w:rPr>
        <w:t xml:space="preserve">5. Policy Statements</w:t>
      </w:r>
    </w:p>
    <w:p>
      <w:pPr>
        <w:spacing w:after="100"/>
      </w:pPr>
      <w:r>
        <w:rPr>
          <w:rFonts w:ascii="Arial" w:cs="Arial" w:eastAsia="Arial" w:hAnsi="Arial"/>
          <w:i w:val="false"/>
          <w:iCs w:val="false"/>
          <w:sz w:val="18"/>
          <w:szCs w:val="18"/>
        </w:rPr>
        <w:t xml:space="preserve">The following requirements apply to all parties within scope of this policy. Compliance is mandatory unless a documented exception has been approved in accordance with Section 6.</w:t>
      </w:r>
    </w:p>
    <w:p>
      <w:pPr>
        <w:spacing w:after="80" w:before="160"/>
      </w:pPr>
      <w:r>
        <w:rPr>
          <w:rFonts w:ascii="Arial" w:cs="Arial" w:eastAsia="Arial" w:hAnsi="Arial"/>
          <w:b/>
          <w:bCs/>
          <w:color w:val="2E75B6"/>
          <w:sz w:val="18"/>
          <w:szCs w:val="18"/>
        </w:rPr>
        <w:t xml:space="preserve">5.1 Incident Classification and Severity</w:t>
      </w:r>
    </w:p>
    <w:p>
      <w:pPr>
        <w:spacing w:after="60"/>
        <w:ind w:left="360"/>
      </w:pPr>
      <w:r>
        <w:rPr>
          <w:rFonts w:ascii="Arial" w:cs="Arial" w:eastAsia="Arial" w:hAnsi="Arial"/>
          <w:b w:val="false"/>
          <w:bCs w:val="false"/>
          <w:sz w:val="18"/>
          <w:szCs w:val="18"/>
        </w:rPr>
        <w:t xml:space="preserve">5.1.1  All incidents shall be classified into one of four severity levels based on impact, scope, and required response.</w:t>
      </w:r>
    </w:p>
    <w:p>
      <w:pPr>
        <w:spacing w:after="60"/>
        <w:ind w:left="360"/>
      </w:pPr>
      <w:r>
        <w:rPr>
          <w:rFonts w:ascii="Arial" w:cs="Arial" w:eastAsia="Arial" w:hAnsi="Arial"/>
          <w:b w:val="false"/>
          <w:bCs w:val="false"/>
          <w:sz w:val="18"/>
          <w:szCs w:val="18"/>
        </w:rPr>
        <w:t xml:space="preserve">5.1.2  SEVERITY 1 (Critical): Major service outage, confirmed data breach affecting customers, ransomware affecting production systems, or any incident with regulatory notification obligations. Requires immediate (within 1 hour) CSIRT activation and CEO notification.</w:t>
      </w:r>
    </w:p>
    <w:p>
      <w:pPr>
        <w:spacing w:after="60"/>
        <w:ind w:left="360"/>
      </w:pPr>
      <w:r>
        <w:rPr>
          <w:rFonts w:ascii="Arial" w:cs="Arial" w:eastAsia="Arial" w:hAnsi="Arial"/>
          <w:b w:val="false"/>
          <w:bCs w:val="false"/>
          <w:sz w:val="18"/>
          <w:szCs w:val="18"/>
        </w:rPr>
        <w:t xml:space="preserve">5.1.3  SEVERITY 2 (High): Significant security event with potential customer impact, partial service degradation, suspected (unconfirmed) data breach, or successful targeted attack. Requires CSIRT activation within 4 hours and CISO notification.</w:t>
      </w:r>
    </w:p>
    <w:p>
      <w:pPr>
        <w:spacing w:after="60"/>
        <w:ind w:left="360"/>
      </w:pPr>
      <w:r>
        <w:rPr>
          <w:rFonts w:ascii="Arial" w:cs="Arial" w:eastAsia="Arial" w:hAnsi="Arial"/>
          <w:b w:val="false"/>
          <w:bCs w:val="false"/>
          <w:sz w:val="18"/>
          <w:szCs w:val="18"/>
        </w:rPr>
        <w:t xml:space="preserve">5.1.4  SEVERITY 3 (Medium): Localised incident with no customer impact, unsuccessful intrusion attempts requiring investigation, or policy violations with security implications. Requires response within 1 business day.</w:t>
      </w:r>
    </w:p>
    <w:p>
      <w:pPr>
        <w:spacing w:after="60"/>
        <w:ind w:left="360"/>
      </w:pPr>
      <w:r>
        <w:rPr>
          <w:rFonts w:ascii="Arial" w:cs="Arial" w:eastAsia="Arial" w:hAnsi="Arial"/>
          <w:b w:val="false"/>
          <w:bCs w:val="false"/>
          <w:sz w:val="18"/>
          <w:szCs w:val="18"/>
        </w:rPr>
        <w:t xml:space="preserve">5.1.5  SEVERITY 4 (Low): Minor security events, false positives requiring documentation, or routine policy violations. Handled by normal IT operations.</w:t>
      </w:r>
    </w:p>
    <w:p>
      <w:pPr>
        <w:spacing w:after="60"/>
        <w:ind w:left="360"/>
      </w:pPr>
      <w:r>
        <w:rPr>
          <w:rFonts w:ascii="Arial" w:cs="Arial" w:eastAsia="Arial" w:hAnsi="Arial"/>
          <w:b w:val="false"/>
          <w:bCs w:val="false"/>
          <w:sz w:val="18"/>
          <w:szCs w:val="18"/>
        </w:rPr>
        <w:t xml:space="preserve">5.1.6  Severity classification may be revised upward at any time as new information emerges. Severity shall not be revised downward without CISO approval.</w:t>
      </w:r>
    </w:p>
    <w:p>
      <w:pPr>
        <w:spacing w:after="80" w:before="160"/>
      </w:pPr>
      <w:r>
        <w:rPr>
          <w:rFonts w:ascii="Arial" w:cs="Arial" w:eastAsia="Arial" w:hAnsi="Arial"/>
          <w:b/>
          <w:bCs/>
          <w:color w:val="2E75B6"/>
          <w:sz w:val="18"/>
          <w:szCs w:val="18"/>
        </w:rPr>
        <w:t xml:space="preserve">5.2 Reporting Obligations</w:t>
      </w:r>
    </w:p>
    <w:p>
      <w:pPr>
        <w:spacing w:after="60"/>
        <w:ind w:left="360"/>
      </w:pPr>
      <w:r>
        <w:rPr>
          <w:rFonts w:ascii="Arial" w:cs="Arial" w:eastAsia="Arial" w:hAnsi="Arial"/>
          <w:b w:val="false"/>
          <w:bCs w:val="false"/>
          <w:sz w:val="18"/>
          <w:szCs w:val="18"/>
        </w:rPr>
        <w:t xml:space="preserve">5.2.1  All employees, contractors, and third parties shall report suspected security incidents immediately via the following channels: email to security-incident@paywave.example, Slack #security-incidents channel, or phone to the security on-call number.</w:t>
      </w:r>
    </w:p>
    <w:p>
      <w:pPr>
        <w:spacing w:after="60"/>
        <w:ind w:left="360"/>
      </w:pPr>
      <w:r>
        <w:rPr>
          <w:rFonts w:ascii="Arial" w:cs="Arial" w:eastAsia="Arial" w:hAnsi="Arial"/>
          <w:b w:val="false"/>
          <w:bCs w:val="false"/>
          <w:sz w:val="18"/>
          <w:szCs w:val="18"/>
        </w:rPr>
        <w:t xml:space="preserve">5.2.2  Vendor-detected incidents affecting PayWave shall be reported by vendors per contractual notification requirements (24 hours for Tier 1 vendors per the TPRM Policy).</w:t>
      </w:r>
    </w:p>
    <w:p>
      <w:pPr>
        <w:spacing w:after="60"/>
        <w:ind w:left="360"/>
      </w:pPr>
      <w:r>
        <w:rPr>
          <w:rFonts w:ascii="Arial" w:cs="Arial" w:eastAsia="Arial" w:hAnsi="Arial"/>
          <w:b w:val="false"/>
          <w:bCs w:val="false"/>
          <w:sz w:val="18"/>
          <w:szCs w:val="18"/>
        </w:rPr>
        <w:t xml:space="preserve">5.2.3  External reports (from customers, researchers, law enforcement) shall be triaged within 2 hours of receipt and escalated as appropriate.</w:t>
      </w:r>
    </w:p>
    <w:p>
      <w:pPr>
        <w:spacing w:after="60"/>
        <w:ind w:left="360"/>
      </w:pPr>
      <w:r>
        <w:rPr>
          <w:rFonts w:ascii="Arial" w:cs="Arial" w:eastAsia="Arial" w:hAnsi="Arial"/>
          <w:b w:val="false"/>
          <w:bCs w:val="false"/>
          <w:sz w:val="18"/>
          <w:szCs w:val="18"/>
        </w:rPr>
        <w:t xml:space="preserve">5.2.4  Failure to report a known or suspected incident shall be treated as a serious violation of this policy.</w:t>
      </w:r>
    </w:p>
    <w:p>
      <w:pPr>
        <w:spacing w:after="80" w:before="160"/>
      </w:pPr>
      <w:r>
        <w:rPr>
          <w:rFonts w:ascii="Arial" w:cs="Arial" w:eastAsia="Arial" w:hAnsi="Arial"/>
          <w:b/>
          <w:bCs/>
          <w:color w:val="2E75B6"/>
          <w:sz w:val="18"/>
          <w:szCs w:val="18"/>
        </w:rPr>
        <w:t xml:space="preserve">5.3 CSIRT Composition and Authority</w:t>
      </w:r>
    </w:p>
    <w:p>
      <w:pPr>
        <w:spacing w:after="60"/>
        <w:ind w:left="360"/>
      </w:pPr>
      <w:r>
        <w:rPr>
          <w:rFonts w:ascii="Arial" w:cs="Arial" w:eastAsia="Arial" w:hAnsi="Arial"/>
          <w:b w:val="false"/>
          <w:bCs w:val="false"/>
          <w:sz w:val="18"/>
          <w:szCs w:val="18"/>
        </w:rPr>
        <w:t xml:space="preserve">5.3.1  The CSIRT shall comprise: CSIRT Lead (security analyst), CISO (executive sponsor), Engineering Lead, IT Manager, DPO, Legal Counsel, and Communications Lead. Additional members shall be co-opted as required.</w:t>
      </w:r>
    </w:p>
    <w:p>
      <w:pPr>
        <w:spacing w:after="60"/>
        <w:ind w:left="360"/>
      </w:pPr>
      <w:r>
        <w:rPr>
          <w:rFonts w:ascii="Arial" w:cs="Arial" w:eastAsia="Arial" w:hAnsi="Arial"/>
          <w:b w:val="false"/>
          <w:bCs w:val="false"/>
          <w:sz w:val="18"/>
          <w:szCs w:val="18"/>
        </w:rPr>
        <w:t xml:space="preserve">5.3.2  During active incident response, the CSIRT Lead has authority to direct technical response activities across all PayWave teams. CSIRT directions take precedence over routine work priorities for the duration of the incident.</w:t>
      </w:r>
    </w:p>
    <w:p>
      <w:pPr>
        <w:spacing w:after="60"/>
        <w:ind w:left="360"/>
      </w:pPr>
      <w:r>
        <w:rPr>
          <w:rFonts w:ascii="Arial" w:cs="Arial" w:eastAsia="Arial" w:hAnsi="Arial"/>
          <w:b w:val="false"/>
          <w:bCs w:val="false"/>
          <w:sz w:val="18"/>
          <w:szCs w:val="18"/>
        </w:rPr>
        <w:t xml:space="preserve">5.3.3  The CSIRT may authorise emergency actions including but not limited to: isolating systems from the network, disabling user accounts, blocking IP ranges, taking services offline, engaging external forensic specialists. Such actions shall be documented and reviewed post-incident.</w:t>
      </w:r>
    </w:p>
    <w:p>
      <w:pPr>
        <w:spacing w:after="60"/>
        <w:ind w:left="360"/>
      </w:pPr>
      <w:r>
        <w:rPr>
          <w:rFonts w:ascii="Arial" w:cs="Arial" w:eastAsia="Arial" w:hAnsi="Arial"/>
          <w:b w:val="false"/>
          <w:bCs w:val="false"/>
          <w:sz w:val="18"/>
          <w:szCs w:val="18"/>
        </w:rPr>
        <w:t xml:space="preserve">5.3.4  CSIRT activation procedures, contact lists, and decision authorities are detailed in the Incident Response Plan (IRP).</w:t>
      </w:r>
    </w:p>
    <w:p>
      <w:pPr>
        <w:spacing w:after="80" w:before="160"/>
      </w:pPr>
      <w:r>
        <w:rPr>
          <w:rFonts w:ascii="Arial" w:cs="Arial" w:eastAsia="Arial" w:hAnsi="Arial"/>
          <w:b/>
          <w:bCs/>
          <w:color w:val="2E75B6"/>
          <w:sz w:val="18"/>
          <w:szCs w:val="18"/>
        </w:rPr>
        <w:t xml:space="preserve">5.4 Regulatory and Legal Notification</w:t>
      </w:r>
    </w:p>
    <w:p>
      <w:pPr>
        <w:spacing w:after="60"/>
        <w:ind w:left="360"/>
      </w:pPr>
      <w:r>
        <w:rPr>
          <w:rFonts w:ascii="Arial" w:cs="Arial" w:eastAsia="Arial" w:hAnsi="Arial"/>
          <w:b w:val="false"/>
          <w:bCs w:val="false"/>
          <w:sz w:val="18"/>
          <w:szCs w:val="18"/>
        </w:rPr>
        <w:t xml:space="preserve">5.4.1  Personal data breaches subject to PDPA Section 26B notification (those likely to cause significant harm or affecting 500+ individuals) shall be notified to the PDPC within 72 hours of confirmation. The DPO is accountable for assessing notification triggers and preparing notifications.</w:t>
      </w:r>
    </w:p>
    <w:p>
      <w:pPr>
        <w:spacing w:after="60"/>
        <w:ind w:left="360"/>
      </w:pPr>
      <w:r>
        <w:rPr>
          <w:rFonts w:ascii="Arial" w:cs="Arial" w:eastAsia="Arial" w:hAnsi="Arial"/>
          <w:b w:val="false"/>
          <w:bCs w:val="false"/>
          <w:sz w:val="18"/>
          <w:szCs w:val="18"/>
        </w:rPr>
        <w:t xml:space="preserve">5.4.2  Material incidents affecting PayWave's ability to deliver licensed financial services shall be notified to the MAS in accordance with MAS notification requirements. Material incidents include unauthorised access to customer accounts, payment system outages exceeding 30 minutes, and major cyber incidents.</w:t>
      </w:r>
    </w:p>
    <w:p>
      <w:pPr>
        <w:spacing w:after="60"/>
        <w:ind w:left="360"/>
      </w:pPr>
      <w:r>
        <w:rPr>
          <w:rFonts w:ascii="Arial" w:cs="Arial" w:eastAsia="Arial" w:hAnsi="Arial"/>
          <w:b w:val="false"/>
          <w:bCs w:val="false"/>
          <w:sz w:val="18"/>
          <w:szCs w:val="18"/>
        </w:rPr>
        <w:t xml:space="preserve">5.4.3  Notifications to law enforcement shall be made on advice of Legal Counsel. Where notification could compromise an ongoing investigation, notifications may be delayed with documented justification.</w:t>
      </w:r>
    </w:p>
    <w:p>
      <w:pPr>
        <w:spacing w:after="60"/>
        <w:ind w:left="360"/>
      </w:pPr>
      <w:r>
        <w:rPr>
          <w:rFonts w:ascii="Arial" w:cs="Arial" w:eastAsia="Arial" w:hAnsi="Arial"/>
          <w:b w:val="false"/>
          <w:bCs w:val="false"/>
          <w:sz w:val="18"/>
          <w:szCs w:val="18"/>
        </w:rPr>
        <w:t xml:space="preserve">5.4.4  Customer notification (per PDPA Section 26D) shall occur as soon as practicable for breaches likely to cause significant harm to affected individuals.</w:t>
      </w:r>
    </w:p>
    <w:p>
      <w:pPr>
        <w:spacing w:after="80" w:before="160"/>
      </w:pPr>
      <w:r>
        <w:rPr>
          <w:rFonts w:ascii="Arial" w:cs="Arial" w:eastAsia="Arial" w:hAnsi="Arial"/>
          <w:b/>
          <w:bCs/>
          <w:color w:val="2E75B6"/>
          <w:sz w:val="18"/>
          <w:szCs w:val="18"/>
        </w:rPr>
        <w:t xml:space="preserve">5.5 Incident Response Phases</w:t>
      </w:r>
    </w:p>
    <w:p>
      <w:pPr>
        <w:spacing w:after="60"/>
        <w:ind w:left="360"/>
      </w:pPr>
      <w:r>
        <w:rPr>
          <w:rFonts w:ascii="Arial" w:cs="Arial" w:eastAsia="Arial" w:hAnsi="Arial"/>
          <w:b w:val="false"/>
          <w:bCs w:val="false"/>
          <w:sz w:val="18"/>
          <w:szCs w:val="18"/>
        </w:rPr>
        <w:t xml:space="preserve">5.5.1  PayWave incident response follows the NIST SP 800-61 six-phase model: Preparation, Identification, Containment, Eradication, Recovery, and Lessons Learned. Detailed procedures for each phase are specified in the Incident Response Plan.</w:t>
      </w:r>
    </w:p>
    <w:p>
      <w:pPr>
        <w:spacing w:after="60"/>
        <w:ind w:left="360"/>
      </w:pPr>
      <w:r>
        <w:rPr>
          <w:rFonts w:ascii="Arial" w:cs="Arial" w:eastAsia="Arial" w:hAnsi="Arial"/>
          <w:b w:val="false"/>
          <w:bCs w:val="false"/>
          <w:sz w:val="18"/>
          <w:szCs w:val="18"/>
        </w:rPr>
        <w:t xml:space="preserve">5.5.2  Preparation activities are conducted continuously and include CSIRT training, tooling, playbook maintenance, and tabletop exercises (quarterly minimum).</w:t>
      </w:r>
    </w:p>
    <w:p>
      <w:pPr>
        <w:spacing w:after="60"/>
        <w:ind w:left="360"/>
      </w:pPr>
      <w:r>
        <w:rPr>
          <w:rFonts w:ascii="Arial" w:cs="Arial" w:eastAsia="Arial" w:hAnsi="Arial"/>
          <w:b w:val="false"/>
          <w:bCs w:val="false"/>
          <w:sz w:val="18"/>
          <w:szCs w:val="18"/>
        </w:rPr>
        <w:t xml:space="preserve">5.5.3  Identification shall include classification, scope determination, and initial impact assessment within 2 hours of incident confirmation.</w:t>
      </w:r>
    </w:p>
    <w:p>
      <w:pPr>
        <w:spacing w:after="60"/>
        <w:ind w:left="360"/>
      </w:pPr>
      <w:r>
        <w:rPr>
          <w:rFonts w:ascii="Arial" w:cs="Arial" w:eastAsia="Arial" w:hAnsi="Arial"/>
          <w:b w:val="false"/>
          <w:bCs w:val="false"/>
          <w:sz w:val="18"/>
          <w:szCs w:val="18"/>
        </w:rPr>
        <w:t xml:space="preserve">5.5.4  Containment strategies shall balance the need to limit damage with the need to preserve evidence and maintain business continuity. Short-term containment may be implemented within hours; long-term containment within days.</w:t>
      </w:r>
    </w:p>
    <w:p>
      <w:pPr>
        <w:spacing w:after="60"/>
        <w:ind w:left="360"/>
      </w:pPr>
      <w:r>
        <w:rPr>
          <w:rFonts w:ascii="Arial" w:cs="Arial" w:eastAsia="Arial" w:hAnsi="Arial"/>
          <w:b w:val="false"/>
          <w:bCs w:val="false"/>
          <w:sz w:val="18"/>
          <w:szCs w:val="18"/>
        </w:rPr>
        <w:t xml:space="preserve">5.5.5  Eradication shall remove the root cause of the incident, not merely the immediate symptoms.</w:t>
      </w:r>
    </w:p>
    <w:p>
      <w:pPr>
        <w:spacing w:after="60"/>
        <w:ind w:left="360"/>
      </w:pPr>
      <w:r>
        <w:rPr>
          <w:rFonts w:ascii="Arial" w:cs="Arial" w:eastAsia="Arial" w:hAnsi="Arial"/>
          <w:b w:val="false"/>
          <w:bCs w:val="false"/>
          <w:sz w:val="18"/>
          <w:szCs w:val="18"/>
        </w:rPr>
        <w:t xml:space="preserve">5.5.6  Recovery shall restore affected systems to normal operation with verification that the threat has been removed and additional monitoring during the recovery window.</w:t>
      </w:r>
    </w:p>
    <w:p>
      <w:pPr>
        <w:spacing w:after="60"/>
        <w:ind w:left="360"/>
      </w:pPr>
      <w:r>
        <w:rPr>
          <w:rFonts w:ascii="Arial" w:cs="Arial" w:eastAsia="Arial" w:hAnsi="Arial"/>
          <w:b w:val="false"/>
          <w:bCs w:val="false"/>
          <w:sz w:val="18"/>
          <w:szCs w:val="18"/>
        </w:rPr>
        <w:t xml:space="preserve">5.5.7  Lessons learned shall be conducted within 14 days of incident closure and documented per the Lessons Learned procedure.</w:t>
      </w:r>
    </w:p>
    <w:p>
      <w:pPr>
        <w:spacing w:after="80" w:before="160"/>
      </w:pPr>
      <w:r>
        <w:rPr>
          <w:rFonts w:ascii="Arial" w:cs="Arial" w:eastAsia="Arial" w:hAnsi="Arial"/>
          <w:b/>
          <w:bCs/>
          <w:color w:val="2E75B6"/>
          <w:sz w:val="18"/>
          <w:szCs w:val="18"/>
        </w:rPr>
        <w:t xml:space="preserve">5.6 Evidence Preservation and Forensics</w:t>
      </w:r>
    </w:p>
    <w:p>
      <w:pPr>
        <w:spacing w:after="60"/>
        <w:ind w:left="360"/>
      </w:pPr>
      <w:r>
        <w:rPr>
          <w:rFonts w:ascii="Arial" w:cs="Arial" w:eastAsia="Arial" w:hAnsi="Arial"/>
          <w:b w:val="false"/>
          <w:bCs w:val="false"/>
          <w:sz w:val="18"/>
          <w:szCs w:val="18"/>
        </w:rPr>
        <w:t xml:space="preserve">5.6.1  All Severity 1 and 2 incidents shall trigger evidence preservation procedures including: capturing system images, preserving logs, snapshotting cloud resources, and chain-of-custody documentation.</w:t>
      </w:r>
    </w:p>
    <w:p>
      <w:pPr>
        <w:spacing w:after="60"/>
        <w:ind w:left="360"/>
      </w:pPr>
      <w:r>
        <w:rPr>
          <w:rFonts w:ascii="Arial" w:cs="Arial" w:eastAsia="Arial" w:hAnsi="Arial"/>
          <w:b w:val="false"/>
          <w:bCs w:val="false"/>
          <w:sz w:val="18"/>
          <w:szCs w:val="18"/>
        </w:rPr>
        <w:t xml:space="preserve">5.6.2  Evidence shall be preserved in tamper-evident storage with cryptographic hash verification.</w:t>
      </w:r>
    </w:p>
    <w:p>
      <w:pPr>
        <w:spacing w:after="60"/>
        <w:ind w:left="360"/>
      </w:pPr>
      <w:r>
        <w:rPr>
          <w:rFonts w:ascii="Arial" w:cs="Arial" w:eastAsia="Arial" w:hAnsi="Arial"/>
          <w:b w:val="false"/>
          <w:bCs w:val="false"/>
          <w:sz w:val="18"/>
          <w:szCs w:val="18"/>
        </w:rPr>
        <w:t xml:space="preserve">5.6.3  External forensic specialists may be engaged for incidents involving complex attack techniques, suspected nation-state actors, or potential law enforcement proceedings.</w:t>
      </w:r>
    </w:p>
    <w:p>
      <w:pPr>
        <w:spacing w:after="60"/>
        <w:ind w:left="360"/>
      </w:pPr>
      <w:r>
        <w:rPr>
          <w:rFonts w:ascii="Arial" w:cs="Arial" w:eastAsia="Arial" w:hAnsi="Arial"/>
          <w:b w:val="false"/>
          <w:bCs w:val="false"/>
          <w:sz w:val="18"/>
          <w:szCs w:val="18"/>
        </w:rPr>
        <w:t xml:space="preserve">5.6.4  Logs and evidence relevant to ongoing incidents shall not be deleted, even if normal retention periods expire during the investigation.</w:t>
      </w:r>
    </w:p>
    <w:p>
      <w:pPr>
        <w:spacing w:after="80" w:before="160"/>
      </w:pPr>
      <w:r>
        <w:rPr>
          <w:rFonts w:ascii="Arial" w:cs="Arial" w:eastAsia="Arial" w:hAnsi="Arial"/>
          <w:b/>
          <w:bCs/>
          <w:color w:val="2E75B6"/>
          <w:sz w:val="18"/>
          <w:szCs w:val="18"/>
        </w:rPr>
        <w:t xml:space="preserve">5.7 Communication and Stakeholder Management</w:t>
      </w:r>
    </w:p>
    <w:p>
      <w:pPr>
        <w:spacing w:after="60"/>
        <w:ind w:left="360"/>
      </w:pPr>
      <w:r>
        <w:rPr>
          <w:rFonts w:ascii="Arial" w:cs="Arial" w:eastAsia="Arial" w:hAnsi="Arial"/>
          <w:b w:val="false"/>
          <w:bCs w:val="false"/>
          <w:sz w:val="18"/>
          <w:szCs w:val="18"/>
        </w:rPr>
        <w:t xml:space="preserve">5.7.1  Internal communications during incidents shall be coordinated by the Communications Lead. Channel discipline shall be maintained — uncontrolled discussion of incidents (e.g. in general Slack channels) is prohibited.</w:t>
      </w:r>
    </w:p>
    <w:p>
      <w:pPr>
        <w:spacing w:after="60"/>
        <w:ind w:left="360"/>
      </w:pPr>
      <w:r>
        <w:rPr>
          <w:rFonts w:ascii="Arial" w:cs="Arial" w:eastAsia="Arial" w:hAnsi="Arial"/>
          <w:b w:val="false"/>
          <w:bCs w:val="false"/>
          <w:sz w:val="18"/>
          <w:szCs w:val="18"/>
        </w:rPr>
        <w:t xml:space="preserve">5.7.2  External communications including media statements, customer communications, and regulator briefings shall be approved by the CEO (or CISO for Severity 2 and below).</w:t>
      </w:r>
    </w:p>
    <w:p>
      <w:pPr>
        <w:spacing w:after="60"/>
        <w:ind w:left="360"/>
      </w:pPr>
      <w:r>
        <w:rPr>
          <w:rFonts w:ascii="Arial" w:cs="Arial" w:eastAsia="Arial" w:hAnsi="Arial"/>
          <w:b w:val="false"/>
          <w:bCs w:val="false"/>
          <w:sz w:val="18"/>
          <w:szCs w:val="18"/>
        </w:rPr>
        <w:t xml:space="preserve">5.7.3  Vendor communications during shared incidents shall be coordinated through the vendor's named incident contact per the TPRM Policy.</w:t>
      </w:r>
    </w:p>
    <w:p>
      <w:pPr>
        <w:spacing w:after="60"/>
        <w:ind w:left="360"/>
      </w:pPr>
      <w:r>
        <w:rPr>
          <w:rFonts w:ascii="Arial" w:cs="Arial" w:eastAsia="Arial" w:hAnsi="Arial"/>
          <w:b w:val="false"/>
          <w:bCs w:val="false"/>
          <w:sz w:val="18"/>
          <w:szCs w:val="18"/>
        </w:rPr>
        <w:t xml:space="preserve">5.7.4  Crisis communications templates for common incident scenarios are maintained in the Incident Response Plan.</w:t>
      </w:r>
    </w:p>
    <w:p>
      <w:pPr>
        <w:spacing w:after="80" w:before="160"/>
      </w:pPr>
      <w:r>
        <w:rPr>
          <w:rFonts w:ascii="Arial" w:cs="Arial" w:eastAsia="Arial" w:hAnsi="Arial"/>
          <w:b/>
          <w:bCs/>
          <w:color w:val="2E75B6"/>
          <w:sz w:val="18"/>
          <w:szCs w:val="18"/>
        </w:rPr>
        <w:t xml:space="preserve">5.8 Continuous Improvement</w:t>
      </w:r>
    </w:p>
    <w:p>
      <w:pPr>
        <w:spacing w:after="60"/>
        <w:ind w:left="360"/>
      </w:pPr>
      <w:r>
        <w:rPr>
          <w:rFonts w:ascii="Arial" w:cs="Arial" w:eastAsia="Arial" w:hAnsi="Arial"/>
          <w:b w:val="false"/>
          <w:bCs w:val="false"/>
          <w:sz w:val="18"/>
          <w:szCs w:val="18"/>
        </w:rPr>
        <w:t xml:space="preserve">5.8.1  Lessons learned from every Severity 1 and 2 incident shall be documented and reviewed by the CISO. Findings shall be assigned to owners with target dates for closure.</w:t>
      </w:r>
    </w:p>
    <w:p>
      <w:pPr>
        <w:spacing w:after="60"/>
        <w:ind w:left="360"/>
      </w:pPr>
      <w:r>
        <w:rPr>
          <w:rFonts w:ascii="Arial" w:cs="Arial" w:eastAsia="Arial" w:hAnsi="Arial"/>
          <w:b w:val="false"/>
          <w:bCs w:val="false"/>
          <w:sz w:val="18"/>
          <w:szCs w:val="18"/>
        </w:rPr>
        <w:t xml:space="preserve">5.8.2  Tabletop exercises shall be conducted quarterly minimum. Scenarios shall include ransomware, data breach, DDoS, insider threat, and supply chain compromise.</w:t>
      </w:r>
    </w:p>
    <w:p>
      <w:pPr>
        <w:spacing w:after="60"/>
        <w:ind w:left="360"/>
      </w:pPr>
      <w:r>
        <w:rPr>
          <w:rFonts w:ascii="Arial" w:cs="Arial" w:eastAsia="Arial" w:hAnsi="Arial"/>
          <w:b w:val="false"/>
          <w:bCs w:val="false"/>
          <w:sz w:val="18"/>
          <w:szCs w:val="18"/>
        </w:rPr>
        <w:t xml:space="preserve">5.8.3  Incident metrics (mean time to detect, mean time to respond, mean time to recover) shall be tracked monthly and reported to the Security Steering Committee.</w:t>
      </w:r>
    </w:p>
    <w:p>
      <w:pPr>
        <w:spacing w:after="60"/>
        <w:ind w:left="360"/>
      </w:pPr>
      <w:r>
        <w:rPr>
          <w:rFonts w:ascii="Arial" w:cs="Arial" w:eastAsia="Arial" w:hAnsi="Arial"/>
          <w:b w:val="false"/>
          <w:bCs w:val="false"/>
          <w:sz w:val="18"/>
          <w:szCs w:val="18"/>
        </w:rPr>
        <w:t xml:space="preserve">5.8.4  Incident trends shall be analysed annually and used to update the risk register, the gap analysis, and this policy.</w:t>
      </w:r>
    </w:p>
    <w:p>
      <w:pPr>
        <w:spacing w:after="120" w:before="240"/>
      </w:pPr>
      <w:r>
        <w:rPr>
          <w:rFonts w:ascii="Arial" w:cs="Arial" w:eastAsia="Arial" w:hAnsi="Arial"/>
          <w:b/>
          <w:bCs/>
          <w:color w:val="1F3864"/>
          <w:sz w:val="22"/>
          <w:szCs w:val="22"/>
        </w:rPr>
        <w:t xml:space="preserve">6. Exceptions</w:t>
      </w:r>
    </w:p>
    <w:p>
      <w:pPr>
        <w:spacing w:after="100"/>
      </w:pPr>
      <w:r>
        <w:rPr>
          <w:rFonts w:ascii="Arial" w:cs="Arial" w:eastAsia="Arial" w:hAnsi="Arial"/>
          <w:i w:val="false"/>
          <w:iCs w:val="false"/>
          <w:sz w:val="18"/>
          <w:szCs w:val="18"/>
        </w:rPr>
        <w:t xml:space="preserve">Exceptions to this policy may be granted only in writing by the Policy Owner with formal approval from the CISO. All exceptions must be:</w:t>
      </w:r>
    </w:p>
    <w:p>
      <w:pPr>
        <w:spacing w:after="60"/>
        <w:ind w:left="360"/>
      </w:pPr>
      <w:r>
        <w:rPr>
          <w:rFonts w:ascii="Arial" w:cs="Arial" w:eastAsia="Arial" w:hAnsi="Arial"/>
          <w:b w:val="false"/>
          <w:bCs w:val="false"/>
          <w:sz w:val="18"/>
          <w:szCs w:val="18"/>
        </w:rPr>
        <w:t xml:space="preserve">a. Justified by documented business need or technical constraint;</w:t>
      </w:r>
    </w:p>
    <w:p>
      <w:pPr>
        <w:spacing w:after="60"/>
        <w:ind w:left="360"/>
      </w:pPr>
      <w:r>
        <w:rPr>
          <w:rFonts w:ascii="Arial" w:cs="Arial" w:eastAsia="Arial" w:hAnsi="Arial"/>
          <w:b w:val="false"/>
          <w:bCs w:val="false"/>
          <w:sz w:val="18"/>
          <w:szCs w:val="18"/>
        </w:rPr>
        <w:t xml:space="preserve">b. Accompanied by compensating controls that achieve an equivalent risk reduction;</w:t>
      </w:r>
    </w:p>
    <w:p>
      <w:pPr>
        <w:spacing w:after="60"/>
        <w:ind w:left="360"/>
      </w:pPr>
      <w:r>
        <w:rPr>
          <w:rFonts w:ascii="Arial" w:cs="Arial" w:eastAsia="Arial" w:hAnsi="Arial"/>
          <w:b w:val="false"/>
          <w:bCs w:val="false"/>
          <w:sz w:val="18"/>
          <w:szCs w:val="18"/>
        </w:rPr>
        <w:t xml:space="preserve">c. Time-bound with a defined expiry date not exceeding 12 months;</w:t>
      </w:r>
    </w:p>
    <w:p>
      <w:pPr>
        <w:spacing w:after="60"/>
        <w:ind w:left="360"/>
      </w:pPr>
      <w:r>
        <w:rPr>
          <w:rFonts w:ascii="Arial" w:cs="Arial" w:eastAsia="Arial" w:hAnsi="Arial"/>
          <w:b w:val="false"/>
          <w:bCs w:val="false"/>
          <w:sz w:val="18"/>
          <w:szCs w:val="18"/>
        </w:rPr>
        <w:t xml:space="preserve">d. Recorded in the Policy Exceptions Tracker (maintained by the GRC team);</w:t>
      </w:r>
    </w:p>
    <w:p>
      <w:pPr>
        <w:spacing w:after="60"/>
        <w:ind w:left="360"/>
      </w:pPr>
      <w:r>
        <w:rPr>
          <w:rFonts w:ascii="Arial" w:cs="Arial" w:eastAsia="Arial" w:hAnsi="Arial"/>
          <w:b w:val="false"/>
          <w:bCs w:val="false"/>
          <w:sz w:val="18"/>
          <w:szCs w:val="18"/>
        </w:rPr>
        <w:t xml:space="preserve">e. Reviewed quarterly until closed.</w:t>
      </w:r>
    </w:p>
    <w:p>
      <w:pPr>
        <w:spacing w:after="100"/>
      </w:pPr>
      <w:r>
        <w:rPr>
          <w:rFonts w:ascii="Arial" w:cs="Arial" w:eastAsia="Arial" w:hAnsi="Arial"/>
          <w:i w:val="false"/>
          <w:iCs w:val="false"/>
          <w:sz w:val="18"/>
          <w:szCs w:val="18"/>
        </w:rPr>
        <w:t xml:space="preserve">Critical risks (residual score 20–25) shall not be subject to exceptions under any circumstances.</w:t>
      </w:r>
    </w:p>
    <w:p>
      <w:pPr>
        <w:spacing w:after="120" w:before="240"/>
      </w:pPr>
      <w:r>
        <w:rPr>
          <w:rFonts w:ascii="Arial" w:cs="Arial" w:eastAsia="Arial" w:hAnsi="Arial"/>
          <w:b/>
          <w:bCs/>
          <w:color w:val="1F3864"/>
          <w:sz w:val="22"/>
          <w:szCs w:val="22"/>
        </w:rPr>
        <w:t xml:space="preserve">7. Compliance and Enforcement</w:t>
      </w:r>
    </w:p>
    <w:p>
      <w:pPr>
        <w:spacing w:after="100"/>
      </w:pPr>
      <w:r>
        <w:rPr>
          <w:rFonts w:ascii="Arial" w:cs="Arial" w:eastAsia="Arial" w:hAnsi="Arial"/>
          <w:i w:val="false"/>
          <w:iCs w:val="false"/>
          <w:sz w:val="18"/>
          <w:szCs w:val="18"/>
        </w:rPr>
        <w:t xml:space="preserve">Compliance with this policy is mandatory. Violations may result in disciplinary action up to and including termination of employment or contract. Where violations involve unlawful conduct, PayWave may refer the matter to the relevant authorities including the Singapore Police Force, the Monetary Authority of Singapore (MAS), or the Personal Data Protection Commission (PDPC). Compliance is monitored through regular audits, system logging, periodic access reviews, and security awareness assessments.</w:t>
      </w:r>
    </w:p>
    <w:p>
      <w:pPr>
        <w:spacing w:after="120" w:before="240"/>
      </w:pPr>
      <w:r>
        <w:rPr>
          <w:rFonts w:ascii="Arial" w:cs="Arial" w:eastAsia="Arial" w:hAnsi="Arial"/>
          <w:b/>
          <w:bCs/>
          <w:color w:val="1F3864"/>
          <w:sz w:val="22"/>
          <w:szCs w:val="22"/>
        </w:rPr>
        <w:t xml:space="preserve">8. Related Documents and Regulatory References</w:t>
      </w:r>
    </w:p>
    <w:p>
      <w:pPr>
        <w:spacing w:after="100"/>
      </w:pPr>
      <w:r>
        <w:rPr>
          <w:rFonts w:ascii="Arial" w:cs="Arial" w:eastAsia="Arial" w:hAnsi="Arial"/>
          <w:i w:val="false"/>
          <w:iCs w:val="false"/>
          <w:sz w:val="18"/>
          <w:szCs w:val="18"/>
        </w:rPr>
        <w:t xml:space="preserve">This policy operates in conjunction with the following:</w:t>
      </w:r>
    </w:p>
    <w:p>
      <w:pPr>
        <w:spacing w:after="60"/>
        <w:ind w:left="360"/>
      </w:pPr>
      <w:r>
        <w:rPr>
          <w:rFonts w:ascii="Arial" w:cs="Arial" w:eastAsia="Arial" w:hAnsi="Arial"/>
          <w:b w:val="false"/>
          <w:bCs w:val="false"/>
          <w:sz w:val="18"/>
          <w:szCs w:val="18"/>
        </w:rPr>
        <w:t xml:space="preserve">•  PayWave Incident Response Plan (IRP)</w:t>
      </w:r>
    </w:p>
    <w:p>
      <w:pPr>
        <w:spacing w:after="60"/>
        <w:ind w:left="360"/>
      </w:pPr>
      <w:r>
        <w:rPr>
          <w:rFonts w:ascii="Arial" w:cs="Arial" w:eastAsia="Arial" w:hAnsi="Arial"/>
          <w:b w:val="false"/>
          <w:bCs w:val="false"/>
          <w:sz w:val="18"/>
          <w:szCs w:val="18"/>
        </w:rPr>
        <w:t xml:space="preserve">•  POL-001 — Acceptable Use Policy</w:t>
      </w:r>
    </w:p>
    <w:p>
      <w:pPr>
        <w:spacing w:after="60"/>
        <w:ind w:left="360"/>
      </w:pPr>
      <w:r>
        <w:rPr>
          <w:rFonts w:ascii="Arial" w:cs="Arial" w:eastAsia="Arial" w:hAnsi="Arial"/>
          <w:b w:val="false"/>
          <w:bCs w:val="false"/>
          <w:sz w:val="18"/>
          <w:szCs w:val="18"/>
        </w:rPr>
        <w:t xml:space="preserve">•  POL-002 — Access Control Policy</w:t>
      </w:r>
    </w:p>
    <w:p>
      <w:pPr>
        <w:spacing w:after="60"/>
        <w:ind w:left="360"/>
      </w:pPr>
      <w:r>
        <w:rPr>
          <w:rFonts w:ascii="Arial" w:cs="Arial" w:eastAsia="Arial" w:hAnsi="Arial"/>
          <w:b w:val="false"/>
          <w:bCs w:val="false"/>
          <w:sz w:val="18"/>
          <w:szCs w:val="18"/>
        </w:rPr>
        <w:t xml:space="preserve">•  POL-003 — Data Classification and Handling Policy</w:t>
      </w:r>
    </w:p>
    <w:p>
      <w:pPr>
        <w:spacing w:after="60"/>
        <w:ind w:left="360"/>
      </w:pPr>
      <w:r>
        <w:rPr>
          <w:rFonts w:ascii="Arial" w:cs="Arial" w:eastAsia="Arial" w:hAnsi="Arial"/>
          <w:b w:val="false"/>
          <w:bCs w:val="false"/>
          <w:sz w:val="18"/>
          <w:szCs w:val="18"/>
        </w:rPr>
        <w:t xml:space="preserve">•  POL-TPRM-001 — Third-Party Risk Management Policy</w:t>
      </w:r>
    </w:p>
    <w:p>
      <w:pPr>
        <w:spacing w:after="60"/>
        <w:ind w:left="360"/>
      </w:pPr>
      <w:r>
        <w:rPr>
          <w:rFonts w:ascii="Arial" w:cs="Arial" w:eastAsia="Arial" w:hAnsi="Arial"/>
          <w:b w:val="false"/>
          <w:bCs w:val="false"/>
          <w:sz w:val="18"/>
          <w:szCs w:val="18"/>
        </w:rPr>
        <w:t xml:space="preserve">•  PayWave Business Continuity Plan</w:t>
      </w:r>
    </w:p>
    <w:p>
      <w:pPr>
        <w:spacing w:after="100"/>
      </w:pPr>
      <w:r>
        <w:rPr>
          <w:rFonts w:ascii="Arial" w:cs="Arial" w:eastAsia="Arial" w:hAnsi="Arial"/>
          <w:i w:val="false"/>
          <w:iCs w:val="false"/>
          <w:sz w:val="18"/>
          <w:szCs w:val="18"/>
        </w:rPr>
        <w:t xml:space="preserve"> </w:t>
      </w:r>
    </w:p>
    <w:p>
      <w:pPr>
        <w:spacing w:after="100"/>
      </w:pPr>
      <w:r>
        <w:rPr>
          <w:rFonts w:ascii="Arial" w:cs="Arial" w:eastAsia="Arial" w:hAnsi="Arial"/>
          <w:i w:val="false"/>
          <w:iCs w:val="false"/>
          <w:sz w:val="18"/>
          <w:szCs w:val="18"/>
        </w:rPr>
        <w:t xml:space="preserve">Regulatory and standards alignment:</w:t>
      </w:r>
    </w:p>
    <w:p>
      <w:pPr>
        <w:spacing w:after="60"/>
        <w:ind w:left="360"/>
      </w:pPr>
      <w:r>
        <w:rPr>
          <w:rFonts w:ascii="Arial" w:cs="Arial" w:eastAsia="Arial" w:hAnsi="Arial"/>
          <w:b w:val="false"/>
          <w:bCs w:val="false"/>
          <w:sz w:val="18"/>
          <w:szCs w:val="18"/>
        </w:rPr>
        <w:t xml:space="preserve">•  ISO/IEC 27001:2022 Annex A controls A.5.24 (IR planning), A.5.25 (Assessment of events), A.5.26 (Response), A.5.27 (Learning), A.5.28 (Evidence collection), A.5.29 (During disruption), A.5.30 (ICT readiness)</w:t>
      </w:r>
    </w:p>
    <w:p>
      <w:pPr>
        <w:spacing w:after="60"/>
        <w:ind w:left="360"/>
      </w:pPr>
      <w:r>
        <w:rPr>
          <w:rFonts w:ascii="Arial" w:cs="Arial" w:eastAsia="Arial" w:hAnsi="Arial"/>
          <w:b w:val="false"/>
          <w:bCs w:val="false"/>
          <w:sz w:val="18"/>
          <w:szCs w:val="18"/>
        </w:rPr>
        <w:t xml:space="preserve">•  MAS Technology Risk Management Guidelines Section 7.5 (Incident management)</w:t>
      </w:r>
    </w:p>
    <w:p>
      <w:pPr>
        <w:spacing w:after="60"/>
        <w:ind w:left="360"/>
      </w:pPr>
      <w:r>
        <w:rPr>
          <w:rFonts w:ascii="Arial" w:cs="Arial" w:eastAsia="Arial" w:hAnsi="Arial"/>
          <w:b w:val="false"/>
          <w:bCs w:val="false"/>
          <w:sz w:val="18"/>
          <w:szCs w:val="18"/>
        </w:rPr>
        <w:t xml:space="preserve">•  Personal Data Protection Act (PDPA) Sections 26A–26D (Data breach notification)</w:t>
      </w:r>
    </w:p>
    <w:p>
      <w:pPr>
        <w:spacing w:after="60"/>
        <w:ind w:left="360"/>
      </w:pPr>
      <w:r>
        <w:rPr>
          <w:rFonts w:ascii="Arial" w:cs="Arial" w:eastAsia="Arial" w:hAnsi="Arial"/>
          <w:b w:val="false"/>
          <w:bCs w:val="false"/>
          <w:sz w:val="18"/>
          <w:szCs w:val="18"/>
        </w:rPr>
        <w:t xml:space="preserve">•  PCI DSS v4.0 Requirement 12.10 (Incident response plan)</w:t>
      </w:r>
    </w:p>
    <w:p>
      <w:pPr>
        <w:spacing w:after="60"/>
        <w:ind w:left="360"/>
      </w:pPr>
      <w:r>
        <w:rPr>
          <w:rFonts w:ascii="Arial" w:cs="Arial" w:eastAsia="Arial" w:hAnsi="Arial"/>
          <w:b w:val="false"/>
          <w:bCs w:val="false"/>
          <w:sz w:val="18"/>
          <w:szCs w:val="18"/>
        </w:rPr>
        <w:t xml:space="preserve">•  NIST SP 800-61 Rev 2 (Computer Security Incident Handling Guide)</w:t>
      </w:r>
    </w:p>
    <w:p>
      <w:pPr>
        <w:spacing w:after="120" w:before="240"/>
      </w:pPr>
      <w:r>
        <w:rPr>
          <w:rFonts w:ascii="Arial" w:cs="Arial" w:eastAsia="Arial" w:hAnsi="Arial"/>
          <w:b/>
          <w:bCs/>
          <w:color w:val="1F3864"/>
          <w:sz w:val="22"/>
          <w:szCs w:val="22"/>
        </w:rPr>
        <w:t xml:space="preserve">9. Review and Maintenance</w:t>
      </w:r>
    </w:p>
    <w:p>
      <w:pPr>
        <w:spacing w:after="100"/>
      </w:pPr>
      <w:r>
        <w:rPr>
          <w:rFonts w:ascii="Arial" w:cs="Arial" w:eastAsia="Arial" w:hAnsi="Arial"/>
          <w:i w:val="false"/>
          <w:iCs w:val="false"/>
          <w:sz w:val="18"/>
          <w:szCs w:val="18"/>
        </w:rPr>
        <w:t xml:space="preserve">This policy shall be reviewed at least annually by the Policy Owner, or sooner upon any of the following triggers:</w:t>
      </w:r>
    </w:p>
    <w:p>
      <w:pPr>
        <w:spacing w:after="60"/>
        <w:ind w:left="360"/>
      </w:pPr>
      <w:r>
        <w:rPr>
          <w:rFonts w:ascii="Arial" w:cs="Arial" w:eastAsia="Arial" w:hAnsi="Arial"/>
          <w:b w:val="false"/>
          <w:bCs w:val="false"/>
          <w:sz w:val="18"/>
          <w:szCs w:val="18"/>
        </w:rPr>
        <w:t xml:space="preserve">a. Material change in PayWave's business operations, technology environment, or regulatory obligations;</w:t>
      </w:r>
    </w:p>
    <w:p>
      <w:pPr>
        <w:spacing w:after="60"/>
        <w:ind w:left="360"/>
      </w:pPr>
      <w:r>
        <w:rPr>
          <w:rFonts w:ascii="Arial" w:cs="Arial" w:eastAsia="Arial" w:hAnsi="Arial"/>
          <w:b w:val="false"/>
          <w:bCs w:val="false"/>
          <w:sz w:val="18"/>
          <w:szCs w:val="18"/>
        </w:rPr>
        <w:t xml:space="preserve">b. Significant security incident or near-miss involving the policy domain;</w:t>
      </w:r>
    </w:p>
    <w:p>
      <w:pPr>
        <w:spacing w:after="60"/>
        <w:ind w:left="360"/>
      </w:pPr>
      <w:r>
        <w:rPr>
          <w:rFonts w:ascii="Arial" w:cs="Arial" w:eastAsia="Arial" w:hAnsi="Arial"/>
          <w:b w:val="false"/>
          <w:bCs w:val="false"/>
          <w:sz w:val="18"/>
          <w:szCs w:val="18"/>
        </w:rPr>
        <w:t xml:space="preserve">c. Findings from internal or external audit;</w:t>
      </w:r>
    </w:p>
    <w:p>
      <w:pPr>
        <w:spacing w:after="60"/>
        <w:ind w:left="360"/>
      </w:pPr>
      <w:r>
        <w:rPr>
          <w:rFonts w:ascii="Arial" w:cs="Arial" w:eastAsia="Arial" w:hAnsi="Arial"/>
          <w:b w:val="false"/>
          <w:bCs w:val="false"/>
          <w:sz w:val="18"/>
          <w:szCs w:val="18"/>
        </w:rPr>
        <w:t xml:space="preserve">d. Annual ISMS management review (per ISO 27001 Clause 9.3);</w:t>
      </w:r>
    </w:p>
    <w:p>
      <w:pPr>
        <w:spacing w:after="60"/>
        <w:ind w:left="360"/>
      </w:pPr>
      <w:r>
        <w:rPr>
          <w:rFonts w:ascii="Arial" w:cs="Arial" w:eastAsia="Arial" w:hAnsi="Arial"/>
          <w:b w:val="false"/>
          <w:bCs w:val="false"/>
          <w:sz w:val="18"/>
          <w:szCs w:val="18"/>
        </w:rPr>
        <w:t xml:space="preserve">e. Regulatory update from MAS, PDPC, or relevant standards body.</w:t>
      </w:r>
    </w:p>
    <w:p>
      <w:pPr>
        <w:spacing w:after="100"/>
      </w:pPr>
      <w:r>
        <w:rPr>
          <w:rFonts w:ascii="Arial" w:cs="Arial" w:eastAsia="Arial" w:hAnsi="Arial"/>
          <w:i w:val="false"/>
          <w:iCs w:val="false"/>
          <w:sz w:val="18"/>
          <w:szCs w:val="18"/>
        </w:rPr>
        <w:t xml:space="preserve">All revisions must be approved by the Approver named in the Document Control section before publication.</w:t>
      </w:r>
    </w:p>
    <w:p>
      <w:pPr>
        <w:spacing w:after="120" w:before="240"/>
      </w:pPr>
      <w:r>
        <w:rPr>
          <w:rFonts w:ascii="Arial" w:cs="Arial" w:eastAsia="Arial" w:hAnsi="Arial"/>
          <w:b/>
          <w:bCs/>
          <w:color w:val="1F3864"/>
          <w:sz w:val="22"/>
          <w:szCs w:val="22"/>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900"/>
        <w:gridCol w:w="20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 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[Your Name], GRC</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Executive Officer</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Initial issue</w:t>
            </w:r>
          </w:p>
        </w:tc>
      </w:tr>
    </w:tbl>
    <w:p>
      <w:pPr>
        <w:pBdr>
          <w:top w:val="single" w:color="CCCCCC" w:sz="4" w:space="1"/>
        </w:pBdr>
        <w:spacing w:before="400"/>
      </w:pPr>
      <w:r>
        <w:rPr>
          <w:rFonts w:ascii="Arial" w:cs="Arial" w:eastAsia="Arial" w:hAnsi="Arial"/>
          <w:i/>
          <w:iCs/>
          <w:color w:val="999999"/>
          <w:sz w:val="14"/>
          <w:szCs w:val="14"/>
        </w:rPr>
        <w:t xml:space="preserve">DISCLAIMER: This policy was created for portfolio demonstration purposes. PayWave Solutions Pte. Ltd. is a fictional entity. The policy structure, content, and regulatory references reflect industry best practices and are suitable as a reference template.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4"/>
        <w:szCs w:val="14"/>
      </w:rPr>
      <w:t xml:space="preserve">CONFIDENTIAL</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6"/>
        <w:szCs w:val="16"/>
      </w:rPr>
      <w:t xml:space="preserve">POL-004 — Incident Response Policy</w:t>
    </w:r>
    <w:r>
      <w:t xml:space="preserve">	</w:t>
    </w:r>
    <w:r>
      <w:rPr>
        <w:rFonts w:ascii="Arial" w:cs="Arial" w:eastAsia="Arial" w:hAnsi="Arial"/>
        <w:color w:val="999999"/>
        <w:sz w:val="16"/>
        <w:szCs w:val="16"/>
      </w:rPr>
      <w:t xml:space="preserve">PayWave Solutions Pte.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2026-05-25T05:08:09.202Z</dcterms:created>
  <dcterms:modified xsi:type="dcterms:W3CDTF">2026-05-25T05:08:09.202Z</dcterms:modified>
</cp:coreProperties>
</file>

<file path=docProps/custom.xml><?xml version="1.0" encoding="utf-8"?>
<Properties xmlns="http://schemas.openxmlformats.org/officeDocument/2006/custom-properties" xmlns:vt="http://schemas.openxmlformats.org/officeDocument/2006/docPropsVTypes"/>
</file>