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Cryptography Policy</w:t>
      </w:r>
    </w:p>
    <w:p>
      <w:pPr>
        <w:spacing w:after="100"/>
      </w:pPr>
      <w:r>
        <w:rPr>
          <w:rFonts w:ascii="Arial" w:cs="Arial" w:eastAsia="Arial" w:hAnsi="Arial"/>
          <w:b/>
          <w:bCs/>
          <w:color w:val="2E75B6"/>
          <w:sz w:val="22"/>
          <w:szCs w:val="22"/>
        </w:rPr>
        <w:t xml:space="preserve">Policy POL-006</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Head of Engineering</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CONFIDENTIAL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defines the cryptographic standards and key management requirements used to protect PayWave Solutions' information assets and communications. It ensures consistent and effective use of cryptography to maintain confidentiality, integrity, authenticity, and non-repudiation in alignment with ISO 27001:2022 control A.8.24 (Use of cryptography), MAS TRM Guidelines Section 9.4, and PCI DSS v4.0 Requirements 3 and 4.</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PayWave systems, applications, communications, and processes that use or rely on cryptographic mechanisms. It covers algorithms, key sizes, protocols, certificate management, key lifecycle, and cryptographic exceptions for legacy systems.</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Cryptographic Algorithm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 mathematical function used to perform encryption, decryption, hashing, or signing of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Symmetric Encryption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Encryption using a single shared key for both encryption and decryption (e.g. AES).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Asymmetric Encryption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Encryption using a key pair (public and private) for encryption and decryption (e.g. RSA, ECC).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Hashing</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 one-way function producing a fixed-length output from arbitrary input, used for integrity verification (e.g. SHA-256).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Key Management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The processes of generating, storing, rotating, archiving, and destroying cryptographic keys.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KMS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Key Management Service — typically AWS KMS in PayWave's environment — used for managed key storage and operations.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HSM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Hardware Security Module — tamper-resistant hardware for cryptographic operations.</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Head of Engineering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Own this policy; ensure cryptographic standards are implemented in PayWave systems; review cryptographic architecture decisions.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Approve this policy; review cryptographic exceptions; oversee key management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Engineering Teams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Implement approved cryptographic algorithms in code; conduct cryptographic code reviews; respond to deprecation notices.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DevOps Lead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Manage AWS KMS; implement key rotation; manage TLS certificates; maintain certificate inventory.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Security Champions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Review cryptographic implementations in team code; escalate concerns to the CISO.</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Approved Cryptographic Algorithms</w:t>
      </w:r>
    </w:p>
    <w:p>
      <w:pPr>
        <w:spacing w:after="60"/>
        <w:ind w:left="360"/>
      </w:pPr>
      <w:r>
        <w:rPr>
          <w:rFonts w:ascii="Arial" w:cs="Arial" w:eastAsia="Arial" w:hAnsi="Arial"/>
          <w:b w:val="false"/>
          <w:bCs w:val="false"/>
          <w:sz w:val="18"/>
          <w:szCs w:val="18"/>
        </w:rPr>
        <w:t xml:space="preserve">5.1.1  Symmetric encryption: AES with 256-bit keys (AES-256) shall be the default symmetric algorithm for PayWave data at rest and in transit at the application layer. AES-128 is acceptable for legacy compatibility but shall be migrated to AES-256 on next major release.</w:t>
      </w:r>
    </w:p>
    <w:p>
      <w:pPr>
        <w:spacing w:after="60"/>
        <w:ind w:left="360"/>
      </w:pPr>
      <w:r>
        <w:rPr>
          <w:rFonts w:ascii="Arial" w:cs="Arial" w:eastAsia="Arial" w:hAnsi="Arial"/>
          <w:b w:val="false"/>
          <w:bCs w:val="false"/>
          <w:sz w:val="18"/>
          <w:szCs w:val="18"/>
        </w:rPr>
        <w:t xml:space="preserve">5.1.2  Asymmetric encryption: RSA with minimum 2048-bit keys (RSA-3072 preferred for new deployments) and Elliptic Curve Cryptography (ECC) using NIST curves P-256, P-384, or P-521 shall be used.</w:t>
      </w:r>
    </w:p>
    <w:p>
      <w:pPr>
        <w:spacing w:after="60"/>
        <w:ind w:left="360"/>
      </w:pPr>
      <w:r>
        <w:rPr>
          <w:rFonts w:ascii="Arial" w:cs="Arial" w:eastAsia="Arial" w:hAnsi="Arial"/>
          <w:b w:val="false"/>
          <w:bCs w:val="false"/>
          <w:sz w:val="18"/>
          <w:szCs w:val="18"/>
        </w:rPr>
        <w:t xml:space="preserve">5.1.3  Hashing: SHA-256 minimum (SHA-384 or SHA-512 preferred for high-sensitivity contexts). MD5, SHA-1, and other deprecated hashes shall not be used for security purposes.</w:t>
      </w:r>
    </w:p>
    <w:p>
      <w:pPr>
        <w:spacing w:after="60"/>
        <w:ind w:left="360"/>
      </w:pPr>
      <w:r>
        <w:rPr>
          <w:rFonts w:ascii="Arial" w:cs="Arial" w:eastAsia="Arial" w:hAnsi="Arial"/>
          <w:b w:val="false"/>
          <w:bCs w:val="false"/>
          <w:sz w:val="18"/>
          <w:szCs w:val="18"/>
        </w:rPr>
        <w:t xml:space="preserve">5.1.4  Message Authentication: HMAC-SHA-256 or stronger.</w:t>
      </w:r>
    </w:p>
    <w:p>
      <w:pPr>
        <w:spacing w:after="60"/>
        <w:ind w:left="360"/>
      </w:pPr>
      <w:r>
        <w:rPr>
          <w:rFonts w:ascii="Arial" w:cs="Arial" w:eastAsia="Arial" w:hAnsi="Arial"/>
          <w:b w:val="false"/>
          <w:bCs w:val="false"/>
          <w:sz w:val="18"/>
          <w:szCs w:val="18"/>
        </w:rPr>
        <w:t xml:space="preserve">5.1.5  Digital signatures: RSA-PSS with SHA-256+ or ECDSA with curves P-256+.</w:t>
      </w:r>
    </w:p>
    <w:p>
      <w:pPr>
        <w:spacing w:after="60"/>
        <w:ind w:left="360"/>
      </w:pPr>
      <w:r>
        <w:rPr>
          <w:rFonts w:ascii="Arial" w:cs="Arial" w:eastAsia="Arial" w:hAnsi="Arial"/>
          <w:b w:val="false"/>
          <w:bCs w:val="false"/>
          <w:sz w:val="18"/>
          <w:szCs w:val="18"/>
        </w:rPr>
        <w:t xml:space="preserve">5.1.6  Authenticated encryption: AES-GCM, AES-CCM, or ChaCha20-Poly1305 are required for all new implementations where authenticated encryption is needed.</w:t>
      </w:r>
    </w:p>
    <w:p>
      <w:pPr>
        <w:spacing w:after="80" w:before="160"/>
      </w:pPr>
      <w:r>
        <w:rPr>
          <w:rFonts w:ascii="Arial" w:cs="Arial" w:eastAsia="Arial" w:hAnsi="Arial"/>
          <w:b/>
          <w:bCs/>
          <w:color w:val="2E75B6"/>
          <w:sz w:val="18"/>
          <w:szCs w:val="18"/>
        </w:rPr>
        <w:t xml:space="preserve">5.2 Prohibited Cryptographic Algorithms</w:t>
      </w:r>
    </w:p>
    <w:p>
      <w:pPr>
        <w:spacing w:after="60"/>
        <w:ind w:left="360"/>
      </w:pPr>
      <w:r>
        <w:rPr>
          <w:rFonts w:ascii="Arial" w:cs="Arial" w:eastAsia="Arial" w:hAnsi="Arial"/>
          <w:b w:val="false"/>
          <w:bCs w:val="false"/>
          <w:sz w:val="18"/>
          <w:szCs w:val="18"/>
        </w:rPr>
        <w:t xml:space="preserve">5.2.1  The following algorithms are prohibited in all PayWave systems: DES, 3DES (Triple DES), RC4, MD5 (for security purposes), SHA-1 (for security purposes), Blowfish.</w:t>
      </w:r>
    </w:p>
    <w:p>
      <w:pPr>
        <w:spacing w:after="60"/>
        <w:ind w:left="360"/>
      </w:pPr>
      <w:r>
        <w:rPr>
          <w:rFonts w:ascii="Arial" w:cs="Arial" w:eastAsia="Arial" w:hAnsi="Arial"/>
          <w:b w:val="false"/>
          <w:bCs w:val="false"/>
          <w:sz w:val="18"/>
          <w:szCs w:val="18"/>
        </w:rPr>
        <w:t xml:space="preserve">5.2.2  Existing systems using prohibited algorithms shall be identified, documented in the Cryptographic Inventory, and migrated to approved algorithms within the period stated in the migration plan.</w:t>
      </w:r>
    </w:p>
    <w:p>
      <w:pPr>
        <w:spacing w:after="60"/>
        <w:ind w:left="360"/>
      </w:pPr>
      <w:r>
        <w:rPr>
          <w:rFonts w:ascii="Arial" w:cs="Arial" w:eastAsia="Arial" w:hAnsi="Arial"/>
          <w:b w:val="false"/>
          <w:bCs w:val="false"/>
          <w:sz w:val="18"/>
          <w:szCs w:val="18"/>
        </w:rPr>
        <w:t xml:space="preserve">5.2.3  New systems shall not implement prohibited algorithms under any circumstances. Use of prohibited algorithms in new code shall be detected and blocked by SAST tooling in the CI/CD pipeline.</w:t>
      </w:r>
    </w:p>
    <w:p>
      <w:pPr>
        <w:spacing w:after="80" w:before="160"/>
      </w:pPr>
      <w:r>
        <w:rPr>
          <w:rFonts w:ascii="Arial" w:cs="Arial" w:eastAsia="Arial" w:hAnsi="Arial"/>
          <w:b/>
          <w:bCs/>
          <w:color w:val="2E75B6"/>
          <w:sz w:val="18"/>
          <w:szCs w:val="18"/>
        </w:rPr>
        <w:t xml:space="preserve">5.3 Transport Layer Security (TLS)</w:t>
      </w:r>
    </w:p>
    <w:p>
      <w:pPr>
        <w:spacing w:after="60"/>
        <w:ind w:left="360"/>
      </w:pPr>
      <w:r>
        <w:rPr>
          <w:rFonts w:ascii="Arial" w:cs="Arial" w:eastAsia="Arial" w:hAnsi="Arial"/>
          <w:b w:val="false"/>
          <w:bCs w:val="false"/>
          <w:sz w:val="18"/>
          <w:szCs w:val="18"/>
        </w:rPr>
        <w:t xml:space="preserve">5.3.1  All external-facing PayWave services shall require TLS 1.2 minimum. TLS 1.3 is preferred and shall be enabled where supported by clients.</w:t>
      </w:r>
    </w:p>
    <w:p>
      <w:pPr>
        <w:spacing w:after="60"/>
        <w:ind w:left="360"/>
      </w:pPr>
      <w:r>
        <w:rPr>
          <w:rFonts w:ascii="Arial" w:cs="Arial" w:eastAsia="Arial" w:hAnsi="Arial"/>
          <w:b w:val="false"/>
          <w:bCs w:val="false"/>
          <w:sz w:val="18"/>
          <w:szCs w:val="18"/>
        </w:rPr>
        <w:t xml:space="preserve">5.3.2  TLS 1.0 and TLS 1.1 are prohibited and shall be disabled on all PayWave endpoints.</w:t>
      </w:r>
    </w:p>
    <w:p>
      <w:pPr>
        <w:spacing w:after="60"/>
        <w:ind w:left="360"/>
      </w:pPr>
      <w:r>
        <w:rPr>
          <w:rFonts w:ascii="Arial" w:cs="Arial" w:eastAsia="Arial" w:hAnsi="Arial"/>
          <w:b w:val="false"/>
          <w:bCs w:val="false"/>
          <w:sz w:val="18"/>
          <w:szCs w:val="18"/>
        </w:rPr>
        <w:t xml:space="preserve">5.3.3  Cipher suites shall be configured to support only strong, forward-secret options (ECDHE-based key exchange with AES-GCM or ChaCha20-Poly1305).</w:t>
      </w:r>
    </w:p>
    <w:p>
      <w:pPr>
        <w:spacing w:after="60"/>
        <w:ind w:left="360"/>
      </w:pPr>
      <w:r>
        <w:rPr>
          <w:rFonts w:ascii="Arial" w:cs="Arial" w:eastAsia="Arial" w:hAnsi="Arial"/>
          <w:b w:val="false"/>
          <w:bCs w:val="false"/>
          <w:sz w:val="18"/>
          <w:szCs w:val="18"/>
        </w:rPr>
        <w:t xml:space="preserve">5.3.4  Internal service-to-service communications shall use mutual TLS (mTLS) where technically feasible, with mutually authenticated certificates managed via AWS Private CA.</w:t>
      </w:r>
    </w:p>
    <w:p>
      <w:pPr>
        <w:spacing w:after="60"/>
        <w:ind w:left="360"/>
      </w:pPr>
      <w:r>
        <w:rPr>
          <w:rFonts w:ascii="Arial" w:cs="Arial" w:eastAsia="Arial" w:hAnsi="Arial"/>
          <w:b w:val="false"/>
          <w:bCs w:val="false"/>
          <w:sz w:val="18"/>
          <w:szCs w:val="18"/>
        </w:rPr>
        <w:t xml:space="preserve">5.3.5  TLS configurations shall achieve a minimum grade of A on the Qualys SSL Labs assessment tool. Periodic scans shall be conducted quarterly.</w:t>
      </w:r>
    </w:p>
    <w:p>
      <w:pPr>
        <w:spacing w:after="80" w:before="160"/>
      </w:pPr>
      <w:r>
        <w:rPr>
          <w:rFonts w:ascii="Arial" w:cs="Arial" w:eastAsia="Arial" w:hAnsi="Arial"/>
          <w:b/>
          <w:bCs/>
          <w:color w:val="2E75B6"/>
          <w:sz w:val="18"/>
          <w:szCs w:val="18"/>
        </w:rPr>
        <w:t xml:space="preserve">5.4 Encryption at Rest</w:t>
      </w:r>
    </w:p>
    <w:p>
      <w:pPr>
        <w:spacing w:after="60"/>
        <w:ind w:left="360"/>
      </w:pPr>
      <w:r>
        <w:rPr>
          <w:rFonts w:ascii="Arial" w:cs="Arial" w:eastAsia="Arial" w:hAnsi="Arial"/>
          <w:b w:val="false"/>
          <w:bCs w:val="false"/>
          <w:sz w:val="18"/>
          <w:szCs w:val="18"/>
        </w:rPr>
        <w:t xml:space="preserve">5.4.1  All Restricted data shall be encrypted at rest using AES-256. This includes customer Personal Data, payment card data, authentication credentials, and source code.</w:t>
      </w:r>
    </w:p>
    <w:p>
      <w:pPr>
        <w:spacing w:after="60"/>
        <w:ind w:left="360"/>
      </w:pPr>
      <w:r>
        <w:rPr>
          <w:rFonts w:ascii="Arial" w:cs="Arial" w:eastAsia="Arial" w:hAnsi="Arial"/>
          <w:b w:val="false"/>
          <w:bCs w:val="false"/>
          <w:sz w:val="18"/>
          <w:szCs w:val="18"/>
        </w:rPr>
        <w:t xml:space="preserve">5.4.2  Cloud storage (AWS S3, RDS, EBS) shall use AWS-managed encryption (SSE-KMS) with PayWave-controlled customer master keys (CMKs).</w:t>
      </w:r>
    </w:p>
    <w:p>
      <w:pPr>
        <w:spacing w:after="60"/>
        <w:ind w:left="360"/>
      </w:pPr>
      <w:r>
        <w:rPr>
          <w:rFonts w:ascii="Arial" w:cs="Arial" w:eastAsia="Arial" w:hAnsi="Arial"/>
          <w:b w:val="false"/>
          <w:bCs w:val="false"/>
          <w:sz w:val="18"/>
          <w:szCs w:val="18"/>
        </w:rPr>
        <w:t xml:space="preserve">5.4.3  Database-level encryption shall be enabled for production databases. Transparent Data Encryption (TDE) or equivalent shall be used for PostgreSQL production instances.</w:t>
      </w:r>
    </w:p>
    <w:p>
      <w:pPr>
        <w:spacing w:after="60"/>
        <w:ind w:left="360"/>
      </w:pPr>
      <w:r>
        <w:rPr>
          <w:rFonts w:ascii="Arial" w:cs="Arial" w:eastAsia="Arial" w:hAnsi="Arial"/>
          <w:b w:val="false"/>
          <w:bCs w:val="false"/>
          <w:sz w:val="18"/>
          <w:szCs w:val="18"/>
        </w:rPr>
        <w:t xml:space="preserve">5.4.4  Backups shall be encrypted using equivalent or stronger keys than the source data.</w:t>
      </w:r>
    </w:p>
    <w:p>
      <w:pPr>
        <w:spacing w:after="60"/>
        <w:ind w:left="360"/>
      </w:pPr>
      <w:r>
        <w:rPr>
          <w:rFonts w:ascii="Arial" w:cs="Arial" w:eastAsia="Arial" w:hAnsi="Arial"/>
          <w:b w:val="false"/>
          <w:bCs w:val="false"/>
          <w:sz w:val="18"/>
          <w:szCs w:val="18"/>
        </w:rPr>
        <w:t xml:space="preserve">5.4.5  Endpoint storage shall be encrypted using full disk encryption: BitLocker for Windows endpoints, FileVault for macOS endpoints, LUKS for Linux servers.</w:t>
      </w:r>
    </w:p>
    <w:p>
      <w:pPr>
        <w:spacing w:after="80" w:before="160"/>
      </w:pPr>
      <w:r>
        <w:rPr>
          <w:rFonts w:ascii="Arial" w:cs="Arial" w:eastAsia="Arial" w:hAnsi="Arial"/>
          <w:b/>
          <w:bCs/>
          <w:color w:val="2E75B6"/>
          <w:sz w:val="18"/>
          <w:szCs w:val="18"/>
        </w:rPr>
        <w:t xml:space="preserve">5.5 Key Management — Generation, Storage, Distribution</w:t>
      </w:r>
    </w:p>
    <w:p>
      <w:pPr>
        <w:spacing w:after="60"/>
        <w:ind w:left="360"/>
      </w:pPr>
      <w:r>
        <w:rPr>
          <w:rFonts w:ascii="Arial" w:cs="Arial" w:eastAsia="Arial" w:hAnsi="Arial"/>
          <w:b w:val="false"/>
          <w:bCs w:val="false"/>
          <w:sz w:val="18"/>
          <w:szCs w:val="18"/>
        </w:rPr>
        <w:t xml:space="preserve">5.5.1  Cryptographic keys shall be generated using cryptographically secure random number generators (CSPRNGs). Custom or untested random number generation is prohibited.</w:t>
      </w:r>
    </w:p>
    <w:p>
      <w:pPr>
        <w:spacing w:after="60"/>
        <w:ind w:left="360"/>
      </w:pPr>
      <w:r>
        <w:rPr>
          <w:rFonts w:ascii="Arial" w:cs="Arial" w:eastAsia="Arial" w:hAnsi="Arial"/>
          <w:b w:val="false"/>
          <w:bCs w:val="false"/>
          <w:sz w:val="18"/>
          <w:szCs w:val="18"/>
        </w:rPr>
        <w:t xml:space="preserve">5.5.2  Key storage shall use AWS KMS for cloud workloads and Hardware Security Modules (HSMs) for high-sensitivity use cases (payment processing, root CAs).</w:t>
      </w:r>
    </w:p>
    <w:p>
      <w:pPr>
        <w:spacing w:after="60"/>
        <w:ind w:left="360"/>
      </w:pPr>
      <w:r>
        <w:rPr>
          <w:rFonts w:ascii="Arial" w:cs="Arial" w:eastAsia="Arial" w:hAnsi="Arial"/>
          <w:b w:val="false"/>
          <w:bCs w:val="false"/>
          <w:sz w:val="18"/>
          <w:szCs w:val="18"/>
        </w:rPr>
        <w:t xml:space="preserve">5.5.3  Plaintext storage of keys in source code, configuration files, environment variables, or version control is prohibited. SAST tooling shall scan for secrets in code repositories.</w:t>
      </w:r>
    </w:p>
    <w:p>
      <w:pPr>
        <w:spacing w:after="60"/>
        <w:ind w:left="360"/>
      </w:pPr>
      <w:r>
        <w:rPr>
          <w:rFonts w:ascii="Arial" w:cs="Arial" w:eastAsia="Arial" w:hAnsi="Arial"/>
          <w:b w:val="false"/>
          <w:bCs w:val="false"/>
          <w:sz w:val="18"/>
          <w:szCs w:val="18"/>
        </w:rPr>
        <w:t xml:space="preserve">5.5.4  Distribution of cryptographic keys shall use secure channels: AWS KMS for cloud workloads, HashiCorp Vault or equivalent for on-premises secrets, never via email or chat.</w:t>
      </w:r>
    </w:p>
    <w:p>
      <w:pPr>
        <w:spacing w:after="80" w:before="160"/>
      </w:pPr>
      <w:r>
        <w:rPr>
          <w:rFonts w:ascii="Arial" w:cs="Arial" w:eastAsia="Arial" w:hAnsi="Arial"/>
          <w:b/>
          <w:bCs/>
          <w:color w:val="2E75B6"/>
          <w:sz w:val="18"/>
          <w:szCs w:val="18"/>
        </w:rPr>
        <w:t xml:space="preserve">5.6 Key Management — Rotation and Lifecycle</w:t>
      </w:r>
    </w:p>
    <w:p>
      <w:pPr>
        <w:spacing w:after="60"/>
        <w:ind w:left="360"/>
      </w:pPr>
      <w:r>
        <w:rPr>
          <w:rFonts w:ascii="Arial" w:cs="Arial" w:eastAsia="Arial" w:hAnsi="Arial"/>
          <w:b w:val="false"/>
          <w:bCs w:val="false"/>
          <w:sz w:val="18"/>
          <w:szCs w:val="18"/>
        </w:rPr>
        <w:t xml:space="preserve">5.6.1  Encryption keys shall be rotated on the following schedule: data encryption keys every 12 months minimum; key encryption keys every 24 months minimum; signing keys per industry standards (typically 1–3 years).</w:t>
      </w:r>
    </w:p>
    <w:p>
      <w:pPr>
        <w:spacing w:after="60"/>
        <w:ind w:left="360"/>
      </w:pPr>
      <w:r>
        <w:rPr>
          <w:rFonts w:ascii="Arial" w:cs="Arial" w:eastAsia="Arial" w:hAnsi="Arial"/>
          <w:b w:val="false"/>
          <w:bCs w:val="false"/>
          <w:sz w:val="18"/>
          <w:szCs w:val="18"/>
        </w:rPr>
        <w:t xml:space="preserve">5.6.2  TLS certificates shall be rotated annually minimum, with automated renewal preferred (AWS Certificate Manager, Let's Encrypt for non-production).</w:t>
      </w:r>
    </w:p>
    <w:p>
      <w:pPr>
        <w:spacing w:after="60"/>
        <w:ind w:left="360"/>
      </w:pPr>
      <w:r>
        <w:rPr>
          <w:rFonts w:ascii="Arial" w:cs="Arial" w:eastAsia="Arial" w:hAnsi="Arial"/>
          <w:b w:val="false"/>
          <w:bCs w:val="false"/>
          <w:sz w:val="18"/>
          <w:szCs w:val="18"/>
        </w:rPr>
        <w:t xml:space="preserve">5.6.3  Service account credentials and API keys shall be rotated every 90 days minimum, or immediately upon suspected compromise.</w:t>
      </w:r>
    </w:p>
    <w:p>
      <w:pPr>
        <w:spacing w:after="60"/>
        <w:ind w:left="360"/>
      </w:pPr>
      <w:r>
        <w:rPr>
          <w:rFonts w:ascii="Arial" w:cs="Arial" w:eastAsia="Arial" w:hAnsi="Arial"/>
          <w:b w:val="false"/>
          <w:bCs w:val="false"/>
          <w:sz w:val="18"/>
          <w:szCs w:val="18"/>
        </w:rPr>
        <w:t xml:space="preserve">5.6.4  Keys shall be rotated immediately upon any of: suspected compromise; departure of key custodian with access; vulnerability disclosure in the cryptographic algorithm; regulatory requirement.</w:t>
      </w:r>
    </w:p>
    <w:p>
      <w:pPr>
        <w:spacing w:after="60"/>
        <w:ind w:left="360"/>
      </w:pPr>
      <w:r>
        <w:rPr>
          <w:rFonts w:ascii="Arial" w:cs="Arial" w:eastAsia="Arial" w:hAnsi="Arial"/>
          <w:b w:val="false"/>
          <w:bCs w:val="false"/>
          <w:sz w:val="18"/>
          <w:szCs w:val="18"/>
        </w:rPr>
        <w:t xml:space="preserve">5.6.5  Previous key versions shall be retained for the period required to decrypt or verify legacy data, then securely destroyed.</w:t>
      </w:r>
    </w:p>
    <w:p>
      <w:pPr>
        <w:spacing w:after="80" w:before="160"/>
      </w:pPr>
      <w:r>
        <w:rPr>
          <w:rFonts w:ascii="Arial" w:cs="Arial" w:eastAsia="Arial" w:hAnsi="Arial"/>
          <w:b/>
          <w:bCs/>
          <w:color w:val="2E75B6"/>
          <w:sz w:val="18"/>
          <w:szCs w:val="18"/>
        </w:rPr>
        <w:t xml:space="preserve">5.7 Certificate Management</w:t>
      </w:r>
    </w:p>
    <w:p>
      <w:pPr>
        <w:spacing w:after="60"/>
        <w:ind w:left="360"/>
      </w:pPr>
      <w:r>
        <w:rPr>
          <w:rFonts w:ascii="Arial" w:cs="Arial" w:eastAsia="Arial" w:hAnsi="Arial"/>
          <w:b w:val="false"/>
          <w:bCs w:val="false"/>
          <w:sz w:val="18"/>
          <w:szCs w:val="18"/>
        </w:rPr>
        <w:t xml:space="preserve">5.7.1  All TLS certificates shall be inventoried in the Certificate Lifecycle Management (CLM) system maintained by the DevOps team.</w:t>
      </w:r>
    </w:p>
    <w:p>
      <w:pPr>
        <w:spacing w:after="60"/>
        <w:ind w:left="360"/>
      </w:pPr>
      <w:r>
        <w:rPr>
          <w:rFonts w:ascii="Arial" w:cs="Arial" w:eastAsia="Arial" w:hAnsi="Arial"/>
          <w:b w:val="false"/>
          <w:bCs w:val="false"/>
          <w:sz w:val="18"/>
          <w:szCs w:val="18"/>
        </w:rPr>
        <w:t xml:space="preserve">5.7.2  Certificate expiry alerts shall be configured at 60, 30, and 7 days before expiry. Failure to renew before expiry constitutes a Severity 2 incident.</w:t>
      </w:r>
    </w:p>
    <w:p>
      <w:pPr>
        <w:spacing w:after="60"/>
        <w:ind w:left="360"/>
      </w:pPr>
      <w:r>
        <w:rPr>
          <w:rFonts w:ascii="Arial" w:cs="Arial" w:eastAsia="Arial" w:hAnsi="Arial"/>
          <w:b w:val="false"/>
          <w:bCs w:val="false"/>
          <w:sz w:val="18"/>
          <w:szCs w:val="18"/>
        </w:rPr>
        <w:t xml:space="preserve">5.7.3  Internal certificate authorities (CAs) shall be operated according to industry best practices including secure key storage in HSMs, role separation between CA operators, and audit logging of all CA activities.</w:t>
      </w:r>
    </w:p>
    <w:p>
      <w:pPr>
        <w:spacing w:after="60"/>
        <w:ind w:left="360"/>
      </w:pPr>
      <w:r>
        <w:rPr>
          <w:rFonts w:ascii="Arial" w:cs="Arial" w:eastAsia="Arial" w:hAnsi="Arial"/>
          <w:b w:val="false"/>
          <w:bCs w:val="false"/>
          <w:sz w:val="18"/>
          <w:szCs w:val="18"/>
        </w:rPr>
        <w:t xml:space="preserve">5.7.4  Use of self-signed certificates in production environments is prohibited. Self-signed certificates in non-production environments shall be limited to specific testing use cases with documented justification.</w:t>
      </w:r>
    </w:p>
    <w:p>
      <w:pPr>
        <w:spacing w:after="80" w:before="160"/>
      </w:pPr>
      <w:r>
        <w:rPr>
          <w:rFonts w:ascii="Arial" w:cs="Arial" w:eastAsia="Arial" w:hAnsi="Arial"/>
          <w:b/>
          <w:bCs/>
          <w:color w:val="2E75B6"/>
          <w:sz w:val="18"/>
          <w:szCs w:val="18"/>
        </w:rPr>
        <w:t xml:space="preserve">5.8 Cryptographic Exceptions</w:t>
      </w:r>
    </w:p>
    <w:p>
      <w:pPr>
        <w:spacing w:after="60"/>
        <w:ind w:left="360"/>
      </w:pPr>
      <w:r>
        <w:rPr>
          <w:rFonts w:ascii="Arial" w:cs="Arial" w:eastAsia="Arial" w:hAnsi="Arial"/>
          <w:b w:val="false"/>
          <w:bCs w:val="false"/>
          <w:sz w:val="18"/>
          <w:szCs w:val="18"/>
        </w:rPr>
        <w:t xml:space="preserve">5.8.1  Where legacy systems or external integrations cannot support approved algorithms or protocols, an exception may be requested per the Policy Exceptions process (Section 6).</w:t>
      </w:r>
    </w:p>
    <w:p>
      <w:pPr>
        <w:spacing w:after="60"/>
        <w:ind w:left="360"/>
      </w:pPr>
      <w:r>
        <w:rPr>
          <w:rFonts w:ascii="Arial" w:cs="Arial" w:eastAsia="Arial" w:hAnsi="Arial"/>
          <w:b w:val="false"/>
          <w:bCs w:val="false"/>
          <w:sz w:val="18"/>
          <w:szCs w:val="18"/>
        </w:rPr>
        <w:t xml:space="preserve">5.8.2  Exceptions shall be granted only where: (a) the use case has documented business need; (b) compensating controls reduce the residual risk to an acceptable level; (c) a migration plan with target date is documented; (d) the exception is approved by the CISO.</w:t>
      </w:r>
    </w:p>
    <w:p>
      <w:pPr>
        <w:spacing w:after="60"/>
        <w:ind w:left="360"/>
      </w:pPr>
      <w:r>
        <w:rPr>
          <w:rFonts w:ascii="Arial" w:cs="Arial" w:eastAsia="Arial" w:hAnsi="Arial"/>
          <w:b w:val="false"/>
          <w:bCs w:val="false"/>
          <w:sz w:val="18"/>
          <w:szCs w:val="18"/>
        </w:rPr>
        <w:t xml:space="preserve">5.8.3  Exceptions shall be reviewed at least every 6 months and shall not exceed a total duration of 24 months without renewed approval at executive level.</w:t>
      </w:r>
    </w:p>
    <w:p>
      <w:pPr>
        <w:spacing w:after="60"/>
        <w:ind w:left="360"/>
      </w:pPr>
      <w:r>
        <w:rPr>
          <w:rFonts w:ascii="Arial" w:cs="Arial" w:eastAsia="Arial" w:hAnsi="Arial"/>
          <w:b w:val="false"/>
          <w:bCs w:val="false"/>
          <w:sz w:val="18"/>
          <w:szCs w:val="18"/>
        </w:rPr>
        <w:t xml:space="preserve">5.8.4  An inventory of all active cryptographic exceptions shall be maintained by the GRC team and reviewed quarterly by the Security Steering Committee.</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POL-002 — Access Control Policy</w:t>
      </w:r>
    </w:p>
    <w:p>
      <w:pPr>
        <w:spacing w:after="60"/>
        <w:ind w:left="360"/>
      </w:pPr>
      <w:r>
        <w:rPr>
          <w:rFonts w:ascii="Arial" w:cs="Arial" w:eastAsia="Arial" w:hAnsi="Arial"/>
          <w:b w:val="false"/>
          <w:bCs w:val="false"/>
          <w:sz w:val="18"/>
          <w:szCs w:val="18"/>
        </w:rPr>
        <w:t xml:space="preserve">•  POL-003 — Data Classification and Handling Policy</w:t>
      </w:r>
    </w:p>
    <w:p>
      <w:pPr>
        <w:spacing w:after="60"/>
        <w:ind w:left="360"/>
      </w:pPr>
      <w:r>
        <w:rPr>
          <w:rFonts w:ascii="Arial" w:cs="Arial" w:eastAsia="Arial" w:hAnsi="Arial"/>
          <w:b w:val="false"/>
          <w:bCs w:val="false"/>
          <w:sz w:val="18"/>
          <w:szCs w:val="18"/>
        </w:rPr>
        <w:t xml:space="preserve">•  POL-007 — Secure SDLC Policy</w:t>
      </w:r>
    </w:p>
    <w:p>
      <w:pPr>
        <w:spacing w:after="60"/>
        <w:ind w:left="360"/>
      </w:pPr>
      <w:r>
        <w:rPr>
          <w:rFonts w:ascii="Arial" w:cs="Arial" w:eastAsia="Arial" w:hAnsi="Arial"/>
          <w:b w:val="false"/>
          <w:bCs w:val="false"/>
          <w:sz w:val="18"/>
          <w:szCs w:val="18"/>
        </w:rPr>
        <w:t xml:space="preserve">•  PayWave Cryptographic Inventory</w:t>
      </w:r>
    </w:p>
    <w:p>
      <w:pPr>
        <w:spacing w:after="60"/>
        <w:ind w:left="360"/>
      </w:pPr>
      <w:r>
        <w:rPr>
          <w:rFonts w:ascii="Arial" w:cs="Arial" w:eastAsia="Arial" w:hAnsi="Arial"/>
          <w:b w:val="false"/>
          <w:bCs w:val="false"/>
          <w:sz w:val="18"/>
          <w:szCs w:val="18"/>
        </w:rPr>
        <w:t xml:space="preserve">•  PayWave Key Custodian Procedures</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 A.8.24 (Use of cryptography)</w:t>
      </w:r>
    </w:p>
    <w:p>
      <w:pPr>
        <w:spacing w:after="60"/>
        <w:ind w:left="360"/>
      </w:pPr>
      <w:r>
        <w:rPr>
          <w:rFonts w:ascii="Arial" w:cs="Arial" w:eastAsia="Arial" w:hAnsi="Arial"/>
          <w:b w:val="false"/>
          <w:bCs w:val="false"/>
          <w:sz w:val="18"/>
          <w:szCs w:val="18"/>
        </w:rPr>
        <w:t xml:space="preserve">•  MAS Technology Risk Management Guidelines Section 9.4 (Cryptography)</w:t>
      </w:r>
    </w:p>
    <w:p>
      <w:pPr>
        <w:spacing w:after="60"/>
        <w:ind w:left="360"/>
      </w:pPr>
      <w:r>
        <w:rPr>
          <w:rFonts w:ascii="Arial" w:cs="Arial" w:eastAsia="Arial" w:hAnsi="Arial"/>
          <w:b w:val="false"/>
          <w:bCs w:val="false"/>
          <w:sz w:val="18"/>
          <w:szCs w:val="18"/>
        </w:rPr>
        <w:t xml:space="preserve">•  PCI DSS v4.0 Requirement 3 (Protect stored cardholder data), Requirement 4 (Encrypt transmission)</w:t>
      </w:r>
    </w:p>
    <w:p>
      <w:pPr>
        <w:spacing w:after="60"/>
        <w:ind w:left="360"/>
      </w:pPr>
      <w:r>
        <w:rPr>
          <w:rFonts w:ascii="Arial" w:cs="Arial" w:eastAsia="Arial" w:hAnsi="Arial"/>
          <w:b w:val="false"/>
          <w:bCs w:val="false"/>
          <w:sz w:val="18"/>
          <w:szCs w:val="18"/>
        </w:rPr>
        <w:t xml:space="preserve">•  NIST FIPS 140-3 (Security Requirements for Cryptographic Modules)</w:t>
      </w:r>
    </w:p>
    <w:p>
      <w:pPr>
        <w:spacing w:after="60"/>
        <w:ind w:left="360"/>
      </w:pPr>
      <w:r>
        <w:rPr>
          <w:rFonts w:ascii="Arial" w:cs="Arial" w:eastAsia="Arial" w:hAnsi="Arial"/>
          <w:b w:val="false"/>
          <w:bCs w:val="false"/>
          <w:sz w:val="18"/>
          <w:szCs w:val="18"/>
        </w:rPr>
        <w:t xml:space="preserve">•  NIST SP 800-57 (Recommendation for Key Management)</w:t>
      </w:r>
    </w:p>
    <w:p>
      <w:pPr>
        <w:spacing w:after="60"/>
        <w:ind w:left="360"/>
      </w:pPr>
      <w:r>
        <w:rPr>
          <w:rFonts w:ascii="Arial" w:cs="Arial" w:eastAsia="Arial" w:hAnsi="Arial"/>
          <w:b w:val="false"/>
          <w:bCs w:val="false"/>
          <w:sz w:val="18"/>
          <w:szCs w:val="18"/>
        </w:rPr>
        <w:t xml:space="preserve">•  NIST SP 800-131A (Transitioning the Use of Cryptographic Algorithms and Key Lengths)</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CONFIDENTIAL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POL-006 — Cryptography Policy</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2026-05-25T05:08:09.304Z</dcterms:created>
  <dcterms:modified xsi:type="dcterms:W3CDTF">2026-05-25T05:08:09.304Z</dcterms:modified>
</cp:coreProperties>
</file>

<file path=docProps/custom.xml><?xml version="1.0" encoding="utf-8"?>
<Properties xmlns="http://schemas.openxmlformats.org/officeDocument/2006/custom-properties" xmlns:vt="http://schemas.openxmlformats.org/officeDocument/2006/docPropsVTypes"/>
</file>