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Cyber Risk Assessment</w:t>
      </w:r>
    </w:p>
    <w:p>
      <w:pPr>
        <w:spacing w:after="40"/>
      </w:pPr>
      <w:r>
        <w:rPr>
          <w:rFonts w:ascii="Arial" w:cs="Arial" w:eastAsia="Arial" w:hAnsi="Arial"/>
          <w:color w:val="2E75B6"/>
          <w:sz w:val="22"/>
          <w:szCs w:val="22"/>
        </w:rPr>
        <w:t xml:space="preserve">PayWave Solutions Pte. Ltd. — Executive Summary</w:t>
      </w:r>
    </w:p>
    <w:p>
      <w:pPr>
        <w:spacing w:after="200"/>
      </w:pPr>
      <w:r>
        <w:rPr>
          <w:rFonts w:ascii="Arial" w:cs="Arial" w:eastAsia="Arial" w:hAnsi="Arial"/>
          <w:color w:val="666666"/>
          <w:sz w:val="16"/>
          <w:szCs w:val="16"/>
        </w:rPr>
        <w:t xml:space="preserve">Assessment Date: 15 March 2026 | Prepared by: [Your Name], GRC Analyst | NIST CSF + ISO 27005 Aligned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jc w:val="center"/>
            </w:pPr>
            <w:r>
              <w:rPr>
                <w:rFonts w:ascii="Arial" w:cs="Arial" w:eastAsia="Arial" w:hAnsi="Arial"/>
                <w:b/>
                <w:bCs/>
                <w:color w:val="2E75B6"/>
                <w:sz w:val="28"/>
                <w:szCs w:val="28"/>
              </w:rPr>
              <w:t xml:space="preserve">16</w:t>
            </w:r>
          </w:p>
          <w:p>
            <w:pPr>
              <w:jc w:val="center"/>
            </w:pPr>
            <w:r>
              <w:rPr>
                <w:rFonts w:ascii="Arial" w:cs="Arial" w:eastAsia="Arial" w:hAnsi="Arial"/>
                <w:color w:val="666666"/>
                <w:sz w:val="14"/>
                <w:szCs w:val="14"/>
              </w:rPr>
              <w:t xml:space="preserve">Total risks</w:t>
            </w:r>
          </w:p>
        </w:tc>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jc w:val="center"/>
            </w:pPr>
            <w:r>
              <w:rPr>
                <w:rFonts w:ascii="Arial" w:cs="Arial" w:eastAsia="Arial" w:hAnsi="Arial"/>
                <w:b/>
                <w:bCs/>
                <w:color w:val="C00000"/>
                <w:sz w:val="28"/>
                <w:szCs w:val="28"/>
              </w:rPr>
              <w:t xml:space="preserve">2</w:t>
            </w:r>
          </w:p>
          <w:p>
            <w:pPr>
              <w:jc w:val="center"/>
            </w:pPr>
            <w:r>
              <w:rPr>
                <w:rFonts w:ascii="Arial" w:cs="Arial" w:eastAsia="Arial" w:hAnsi="Arial"/>
                <w:color w:val="666666"/>
                <w:sz w:val="14"/>
                <w:szCs w:val="14"/>
              </w:rPr>
              <w:t xml:space="preserve">Critical</w:t>
            </w:r>
          </w:p>
        </w:tc>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jc w:val="center"/>
            </w:pPr>
            <w:r>
              <w:rPr>
                <w:rFonts w:ascii="Arial" w:cs="Arial" w:eastAsia="Arial" w:hAnsi="Arial"/>
                <w:b/>
                <w:bCs/>
                <w:color w:val="D94444"/>
                <w:sz w:val="28"/>
                <w:szCs w:val="28"/>
              </w:rPr>
              <w:t xml:space="preserve">4</w:t>
            </w:r>
          </w:p>
          <w:p>
            <w:pPr>
              <w:jc w:val="center"/>
            </w:pPr>
            <w:r>
              <w:rPr>
                <w:rFonts w:ascii="Arial" w:cs="Arial" w:eastAsia="Arial" w:hAnsi="Arial"/>
                <w:color w:val="666666"/>
                <w:sz w:val="14"/>
                <w:szCs w:val="14"/>
              </w:rPr>
              <w:t xml:space="preserve">High</w:t>
            </w:r>
          </w:p>
        </w:tc>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jc w:val="center"/>
            </w:pPr>
            <w:r>
              <w:rPr>
                <w:rFonts w:ascii="Arial" w:cs="Arial" w:eastAsia="Arial" w:hAnsi="Arial"/>
                <w:b/>
                <w:bCs/>
                <w:color w:val="BF8F00"/>
                <w:sz w:val="28"/>
                <w:szCs w:val="28"/>
              </w:rPr>
              <w:t xml:space="preserve">9</w:t>
            </w:r>
          </w:p>
          <w:p>
            <w:pPr>
              <w:jc w:val="center"/>
            </w:pPr>
            <w:r>
              <w:rPr>
                <w:rFonts w:ascii="Arial" w:cs="Arial" w:eastAsia="Arial" w:hAnsi="Arial"/>
                <w:color w:val="666666"/>
                <w:sz w:val="14"/>
                <w:szCs w:val="14"/>
              </w:rPr>
              <w:t xml:space="preserve">Medium</w:t>
            </w:r>
          </w:p>
        </w:tc>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jc w:val="center"/>
            </w:pPr>
            <w:r>
              <w:rPr>
                <w:rFonts w:ascii="Arial" w:cs="Arial" w:eastAsia="Arial" w:hAnsi="Arial"/>
                <w:b/>
                <w:bCs/>
                <w:color w:val="538135"/>
                <w:sz w:val="28"/>
                <w:szCs w:val="28"/>
              </w:rPr>
              <w:t xml:space="preserve">1</w:t>
            </w:r>
          </w:p>
          <w:p>
            <w:pPr>
              <w:jc w:val="center"/>
            </w:pPr>
            <w:r>
              <w:rPr>
                <w:rFonts w:ascii="Arial" w:cs="Arial" w:eastAsia="Arial" w:hAnsi="Arial"/>
                <w:color w:val="666666"/>
                <w:sz w:val="14"/>
                <w:szCs w:val="14"/>
              </w:rPr>
              <w:t xml:space="preserve">Low</w:t>
            </w:r>
          </w:p>
        </w:tc>
      </w:tr>
    </w:tbl>
    <w:p>
      <w:pPr>
        <w:spacing w:after="100" w:before="200"/>
      </w:pPr>
      <w:r>
        <w:rPr>
          <w:rFonts w:ascii="Arial" w:cs="Arial" w:eastAsia="Arial" w:hAnsi="Arial"/>
          <w:b/>
          <w:bCs/>
          <w:color w:val="1F3864"/>
          <w:sz w:val="22"/>
          <w:szCs w:val="22"/>
        </w:rPr>
        <w:t xml:space="preserve">Assessment overview</w:t>
      </w:r>
    </w:p>
    <w:p>
      <w:pPr>
        <w:spacing w:after="120"/>
      </w:pPr>
      <w:r>
        <w:rPr>
          <w:rFonts w:ascii="Arial" w:cs="Arial" w:eastAsia="Arial" w:hAnsi="Arial"/>
          <w:sz w:val="18"/>
          <w:szCs w:val="18"/>
        </w:rPr>
        <w:t xml:space="preserve">A comprehensive cyber risk assessment was conducted across PayWave Solutions' digital payment platform, mobile application, merchant portal, and corporate IT infrastructure. 16 cyber risks were identified across all five NIST CSF functions, with the highest concentration in the Protect function (11 risks), reflecting gaps in access control, cloud security, secure development, and monitoring. 2 risks were rated Critical after residual analysis — both driven by a combination of high threat likelihood and weak or absent detective controls.</w:t>
      </w:r>
    </w:p>
    <w:p>
      <w:pPr>
        <w:spacing w:after="80" w:before="160"/>
      </w:pPr>
      <w:r>
        <w:rPr>
          <w:rFonts w:ascii="Arial" w:cs="Arial" w:eastAsia="Arial" w:hAnsi="Arial"/>
          <w:b/>
          <w:bCs/>
          <w:color w:val="1F3864"/>
          <w:sz w:val="22"/>
          <w:szCs w:val="22"/>
        </w:rPr>
        <w:t xml:space="preserve">Top 5 residual risks requiring immediate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100"/>
        <w:gridCol w:w="1100"/>
        <w:gridCol w:w="1100"/>
        <w:gridCol w:w="278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Treatment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Ransomware with delayed detection (CRR-002)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20</w:t>
            </w:r>
          </w:p>
        </w:tc>
        <w:tc>
          <w:tcPr>
            <w:tcW w:type="dxa" w:w="11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CISO</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Deploy EDR + SIEM within 3 months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S3 misconfiguration exposing PII (CRR-003)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20</w:t>
            </w:r>
          </w:p>
        </w:tc>
        <w:tc>
          <w:tcPr>
            <w:tcW w:type="dxa" w:w="11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DevOps</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Deploy CSPM + enforce IaC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Infrastructure config drift (CRR-010)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16</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C0006"/>
                <w:sz w:val="18"/>
                <w:szCs w:val="18"/>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DevOps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Adopt CIS benchmarks + drift detection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PDPA breach notification failure (CRR-004)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15</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C0006"/>
                <w:sz w:val="18"/>
                <w:szCs w:val="18"/>
              </w:rPr>
              <w:t xml:space="preserve">High</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DPO</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breach notification SOP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Privileged access abuse (CRR-001)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12</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C0006"/>
                <w:sz w:val="18"/>
                <w:szCs w:val="18"/>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CTO</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Deploy PAM + remove standing access</w:t>
            </w:r>
          </w:p>
        </w:tc>
      </w:tr>
    </w:tbl>
    <w:p>
      <w:pPr>
        <w:spacing w:after="80" w:before="180"/>
      </w:pPr>
      <w:r>
        <w:rPr>
          <w:rFonts w:ascii="Arial" w:cs="Arial" w:eastAsia="Arial" w:hAnsi="Arial"/>
          <w:b/>
          <w:bCs/>
          <w:color w:val="1F3864"/>
          <w:sz w:val="22"/>
          <w:szCs w:val="22"/>
        </w:rPr>
        <w:t xml:space="preserve">Investment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016"/>
        <w:gridCol w:w="2016"/>
        <w:gridCol w:w="2688"/>
      </w:tblGrid>
      <w:t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20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Timeline</w:t>
            </w:r>
          </w:p>
        </w:tc>
        <w:tc>
          <w:tcPr>
            <w:tcW w:type="dxa" w:w="20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Budget (SGD)</w:t>
            </w:r>
          </w:p>
        </w:tc>
        <w:tc>
          <w:tcPr>
            <w:tcW w:type="dxa" w:w="268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deliverables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Phase 1: Critical risks</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Months 1–3</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$115K–$185K</w:t>
            </w:r>
          </w:p>
        </w:tc>
        <w:tc>
          <w:tcPr>
            <w:tcW w:type="dxa" w:w="26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EDR, SIEM, PAM, CSPM, vuln scanner</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Phase 2: High-priority risks</w:t>
            </w:r>
          </w:p>
        </w:tc>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Months 4–6</w:t>
            </w:r>
          </w:p>
        </w:tc>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$76K–$127K</w:t>
            </w:r>
          </w:p>
        </w:tc>
        <w:tc>
          <w:tcPr>
            <w:tcW w:type="dxa" w:w="268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DLP, SAST/DAST, TPRM, training</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Phase 3: Maturity uplift</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Months 7–12</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$8K–$15K</w:t>
            </w:r>
          </w:p>
        </w:tc>
        <w:tc>
          <w:tcPr>
            <w:tcW w:type="dxa" w:w="26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Cert mgmt, offboarding automation</w:t>
            </w:r>
          </w:p>
        </w:tc>
      </w:tr>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w:t>
            </w:r>
          </w:p>
        </w:tc>
        <w:tc>
          <w:tcPr>
            <w:tcW w:type="dxa" w:w="20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 months</w:t>
            </w:r>
          </w:p>
        </w:tc>
        <w:tc>
          <w:tcPr>
            <w:tcW w:type="dxa" w:w="20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$199K–$327K</w:t>
            </w:r>
          </w:p>
        </w:tc>
        <w:tc>
          <w:tcPr>
            <w:tcW w:type="dxa" w:w="268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mitigate, 1 accept</w:t>
            </w:r>
          </w:p>
        </w:tc>
      </w:tr>
    </w:tbl>
    <w:p>
      <w:pPr>
        <w:spacing w:after="80" w:before="180"/>
      </w:pPr>
      <w:r>
        <w:rPr>
          <w:rFonts w:ascii="Arial" w:cs="Arial" w:eastAsia="Arial" w:hAnsi="Arial"/>
          <w:b/>
          <w:bCs/>
          <w:color w:val="1F3864"/>
          <w:sz w:val="22"/>
          <w:szCs w:val="22"/>
        </w:rPr>
        <w:t xml:space="preserve">Recommendation to management</w:t>
      </w:r>
    </w:p>
    <w:p>
      <w:pPr>
        <w:spacing w:after="80"/>
      </w:pPr>
      <w:r>
        <w:rPr>
          <w:rFonts w:ascii="Arial" w:cs="Arial" w:eastAsia="Arial" w:hAnsi="Arial"/>
          <w:sz w:val="18"/>
          <w:szCs w:val="18"/>
        </w:rPr>
        <w:t xml:space="preserve">The 2 Critical risks (ransomware detection gap and cloud misconfiguration exposure) represent an unacceptable risk level for a MAS-regulated payment institution. Both risks have residual scores of 20 — the highest possible — driven by highly capable threat actors targeting weak or absent detective controls. Immediate investment in EDR, SIEM, and CSPM tooling is the minimum viable response.</w:t>
      </w:r>
    </w:p>
    <w:p>
      <w:pPr>
        <w:spacing w:after="80"/>
      </w:pPr>
      <w:r>
        <w:rPr>
          <w:rFonts w:ascii="Arial" w:cs="Arial" w:eastAsia="Arial" w:hAnsi="Arial"/>
          <w:sz w:val="18"/>
          <w:szCs w:val="18"/>
        </w:rPr>
        <w:t xml:space="preserve">We recommend the board approve the Phase 1 budget of SGD 115,000–185,000 for immediate implementation within 90 days. Phase 2 and 3 budgets should be approved in principle, with detailed procurement proposals presented at the next quarterly board risk review. Monthly progress reporting to the Security Steering Committee is proposed, with quarterly updates to the Board Risk Committee.</w:t>
      </w:r>
    </w:p>
    <w:p>
      <w:pPr>
        <w:pBdr>
          <w:top w:val="single" w:color="CCCCCC" w:sz="4" w:space="1"/>
        </w:pBdr>
        <w:spacing w:before="200"/>
      </w:pPr>
      <w:r>
        <w:rPr>
          <w:rFonts w:ascii="Arial" w:cs="Arial" w:eastAsia="Arial" w:hAnsi="Arial"/>
          <w:color w:val="999999"/>
          <w:sz w:val="16"/>
          <w:szCs w:val="16"/>
        </w:rPr>
        <w:t xml:space="preserve">DISCLAIMER: This is a fictitious risk assessment created for portfolio demonstration purposes. PayWave Solutions Pte. Ltd. is a fictional company.</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6"/>
        <w:szCs w:val="16"/>
      </w:rPr>
      <w:t xml:space="preserve">EXECUTIVE SUMMARY</w:t>
    </w:r>
    <w:r>
      <w:t xml:space="preserve">	</w:t>
    </w:r>
    <w:r>
      <w:rPr>
        <w:rFonts w:ascii="Arial" w:cs="Arial" w:eastAsia="Arial" w:hAnsi="Arial"/>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8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2026-04-29T04:48:54.618Z</dcterms:created>
  <dcterms:modified xsi:type="dcterms:W3CDTF">2026-04-29T04:48:54.620Z</dcterms:modified>
</cp:coreProperties>
</file>

<file path=docProps/custom.xml><?xml version="1.0" encoding="utf-8"?>
<Properties xmlns="http://schemas.openxmlformats.org/officeDocument/2006/custom-properties" xmlns:vt="http://schemas.openxmlformats.org/officeDocument/2006/docPropsVTypes"/>
</file>