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rFonts w:ascii="Arial" w:cs="Arial" w:eastAsia="Arial" w:hAnsi="Arial"/>
          <w:b/>
          <w:bCs/>
          <w:color w:val="1F3864"/>
          <w:sz w:val="40"/>
          <w:szCs w:val="40"/>
        </w:rPr>
        <w:t xml:space="preserve">Remediation Roadmap</w:t>
      </w:r>
    </w:p>
    <w:p>
      <w:pPr>
        <w:spacing w:after="200"/>
      </w:pPr>
      <w:r>
        <w:rPr>
          <w:rFonts w:ascii="Arial" w:cs="Arial" w:eastAsia="Arial" w:hAnsi="Arial"/>
          <w:color w:val="2E75B6"/>
          <w:sz w:val="24"/>
          <w:szCs w:val="24"/>
        </w:rPr>
        <w:t xml:space="preserve">ISO 27001:2022 Gap Analysis — PayWave Solutions Pte. Ltd.</w:t>
      </w:r>
    </w:p>
    <w:p>
      <w:pPr>
        <w:spacing w:after="100"/>
      </w:pPr>
      <w:r>
        <w:rPr>
          <w:rFonts w:ascii="Arial" w:cs="Arial" w:eastAsia="Arial" w:hAnsi="Arial"/>
          <w:i/>
          <w:iCs/>
          <w:color w:val="666666"/>
          <w:sz w:val="20"/>
          <w:szCs w:val="20"/>
        </w:rPr>
        <w:t xml:space="preserve">Version 1.0 | 15 March 2026 | Prepared by: [Your Name], GRC Analyst</w:t>
      </w:r>
    </w:p>
    <w:p>
      <w:pPr>
        <w:spacing w:after="300"/>
      </w:pPr>
    </w:p>
    <w:p>
      <w:pPr>
        <w:pStyle w:val="Heading1"/>
        <w:spacing w:after="240" w:before="240"/>
      </w:pPr>
      <w:r>
        <w:rPr>
          <w:rFonts w:ascii="Arial" w:cs="Arial" w:eastAsia="Arial" w:hAnsi="Arial"/>
          <w:b/>
          <w:bCs/>
          <w:color w:val="1F3864"/>
          <w:sz w:val="32"/>
          <w:szCs w:val="32"/>
        </w:rPr>
        <w:t xml:space="preserve">1. Executive Summary</w:t>
      </w:r>
    </w:p>
    <w:p>
      <w:pPr>
        <w:spacing w:after="200"/>
      </w:pPr>
      <w:r>
        <w:rPr>
          <w:rFonts w:ascii="Arial" w:cs="Arial" w:eastAsia="Arial" w:hAnsi="Arial"/>
          <w:sz w:val="22"/>
          <w:szCs w:val="22"/>
        </w:rPr>
        <w:t xml:space="preserve">This remediation roadmap outlines the prioritised actions required to close the gaps identified in the ISO 27001:2022 gap analysis of PayWave Solutions Pte. Ltd. The assessment covered 26 Annex A controls across all four control themes (Organisational, People, Physical, and Technological).</w:t>
      </w:r>
    </w:p>
    <w:p>
      <w:pPr>
        <w:spacing w:after="200"/>
      </w:pPr>
      <w:r>
        <w:rPr>
          <w:rFonts w:ascii="Arial" w:cs="Arial" w:eastAsia="Arial" w:hAnsi="Arial"/>
          <w:sz w:val="22"/>
          <w:szCs w:val="22"/>
        </w:rPr>
        <w:t xml:space="preserve">Key findings: 4 controls are fully implemented, 18 are partially implemented, and 4 are not implemented. The average maturity score is 2.4 out of 5.0, indicating significant gaps in control effectiveness. Six risks were rated Critical or High in the risk register, driven primarily by inadequate monitoring (A.8.16), missing configuration baselines (A.8.9), and insufficient incident response coverage (A.5.24).</w:t>
      </w:r>
    </w:p>
    <w:p>
      <w:pPr>
        <w:spacing w:after="200"/>
      </w:pPr>
      <w:r>
        <w:rPr>
          <w:rFonts w:ascii="Arial" w:cs="Arial" w:eastAsia="Arial" w:hAnsi="Arial"/>
          <w:sz w:val="22"/>
          <w:szCs w:val="22"/>
        </w:rPr>
        <w:t xml:space="preserve">The roadmap is structured into three phases over 12 months, prioritised by risk severity and regulatory urgency (MAS TRM compliance deadlines). Total estimated investment: SGD 180,000–250,000, inclusive of tooling, training, and consulting support.</w:t>
      </w:r>
    </w:p>
    <w:p>
      <w:pPr>
        <w:pStyle w:val="Heading1"/>
        <w:spacing w:after="240" w:before="360"/>
      </w:pPr>
      <w:r>
        <w:rPr>
          <w:rFonts w:ascii="Arial" w:cs="Arial" w:eastAsia="Arial" w:hAnsi="Arial"/>
          <w:b/>
          <w:bCs/>
          <w:color w:val="1F3864"/>
          <w:sz w:val="32"/>
          <w:szCs w:val="32"/>
        </w:rPr>
        <w:t xml:space="preserve">2. Scope and Approach</w:t>
      </w:r>
    </w:p>
    <w:p>
      <w:pPr>
        <w:spacing w:after="200"/>
      </w:pPr>
      <w:r>
        <w:rPr>
          <w:rFonts w:ascii="Arial" w:cs="Arial" w:eastAsia="Arial" w:hAnsi="Arial"/>
          <w:sz w:val="22"/>
          <w:szCs w:val="22"/>
        </w:rPr>
        <w:t xml:space="preserve">Scope: All information assets, systems, and processes within the PayWave digital payment processing platform, mobile application, merchant portal, and supporting corporate IT infrastructure at the One-North office.</w:t>
      </w:r>
    </w:p>
    <w:p>
      <w:pPr>
        <w:spacing w:after="200"/>
      </w:pPr>
      <w:r>
        <w:rPr>
          <w:rFonts w:ascii="Arial" w:cs="Arial" w:eastAsia="Arial" w:hAnsi="Arial"/>
          <w:sz w:val="22"/>
          <w:szCs w:val="22"/>
        </w:rPr>
        <w:t xml:space="preserve">Approach: Remediation actions are prioritised using a risk-based methodology. Each action is linked to a specific Annex A control gap, an associated risk in the risk register, a named owner, a target deadline, and a measurable KPI. Progress will be tracked monthly via the GRC dashboard and reported to the CISO and CTO.</w:t>
      </w:r>
    </w:p>
    <w:p>
      <w:r>
        <w:br w:type="page"/>
      </w:r>
    </w:p>
    <w:p>
      <w:pPr>
        <w:pStyle w:val="Heading1"/>
        <w:spacing w:after="120" w:before="360"/>
      </w:pPr>
      <w:r>
        <w:rPr>
          <w:rFonts w:ascii="Arial" w:cs="Arial" w:eastAsia="Arial" w:hAnsi="Arial"/>
          <w:b/>
          <w:bCs/>
          <w:color w:val="C00000"/>
          <w:sz w:val="28"/>
          <w:szCs w:val="28"/>
        </w:rPr>
        <w:t xml:space="preserve">3. Phase 1: Critical Gaps (Months 1–3)</w:t>
      </w:r>
    </w:p>
    <w:p>
      <w:pPr>
        <w:spacing w:after="200"/>
      </w:pPr>
      <w:r>
        <w:rPr>
          <w:rFonts w:ascii="Arial" w:cs="Arial" w:eastAsia="Arial" w:hAnsi="Arial"/>
          <w:color w:val="333333"/>
          <w:sz w:val="22"/>
          <w:szCs w:val="22"/>
        </w:rPr>
        <w:t xml:space="preserve">Address critical and high-risk gaps that expose PayWave to immediate regulatory, operational, or data breach risk. These items have the highest likelihood of being identified in a MAS inspection or resulting in a reportable incident.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3200"/>
        <w:gridCol w:w="1300"/>
        <w:gridCol w:w="1000"/>
        <w:gridCol w:w="278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Ref</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Control</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Remediation Action</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Deadline</w:t>
            </w:r>
          </w:p>
        </w:tc>
        <w:tc>
          <w:tcPr>
            <w:tcW w:type="dxa" w:w="2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Success KPI</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REM-001</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1F3864"/>
                <w:sz w:val="20"/>
                <w:szCs w:val="20"/>
              </w:rPr>
              <w:t xml:space="preserve">A.5.3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Remove developer production database access; implement break-glass procedure with audit logging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CTO / DevOps Lead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Month 1</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Zero standing developer access to prod; break-glass events audited within 24 hours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REM-002</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1F3864"/>
                <w:sz w:val="20"/>
                <w:szCs w:val="20"/>
              </w:rPr>
              <w:t xml:space="preserve">A.5.5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Create regulatory authority contact register (MAS, PDPC, CSA, SPF); document PDPA 72-hour breach notification workflow with escalation path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DPO / Legal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Month 1</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Contact register published; breach notification SOP tested via walkthrough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REM-003</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1F3864"/>
                <w:sz w:val="20"/>
                <w:szCs w:val="20"/>
              </w:rPr>
              <w:t xml:space="preserve">A.5.24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Expand Incident Response Plan to cover ransomware, data breach, DDoS, and insider threat scenarios; establish CSIRT with defined roles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CISO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Month 2</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IRP v2.0 approved; CSIRT roster finalised; first tabletop exercise completed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REM-004</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1F3864"/>
                <w:sz w:val="20"/>
                <w:szCs w:val="20"/>
              </w:rPr>
              <w:t xml:space="preserve">A.8.9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Adopt CIS benchmarks for AWS and endpoint OS; enforce Infrastructure-as-Code (Terraform) with pre-commit security checks; deploy configuration drift detection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DevOps Lead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Month 2–3</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CIS benchmark compliance &gt;80% on first scan; IaC adopted for all new infra; drift alerts operational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REM-005</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1F3864"/>
                <w:sz w:val="20"/>
                <w:szCs w:val="20"/>
              </w:rPr>
              <w:t xml:space="preserve">A.8.16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Deploy EDR solution (e.g., CrowdStrike Falcon) on all endpoints; implement network traffic analysis; evaluate user behaviour analytics for insider threat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CISO / IT Manager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Month 2–3</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EDR coverage 100% of endpoints; network monitoring active on all VPC segments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REM-006</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1F3864"/>
                <w:sz w:val="20"/>
                <w:szCs w:val="20"/>
              </w:rPr>
              <w:t xml:space="preserve">A.8.8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Deploy continuous vulnerability scanner (e.g., Qualys); define patch SLAs (Critical: 48h, High: 7d, Medium: 30d, Low: 90d); create vulnerability register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DevOps Lead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Month 1–2</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Scanner operational; patch SLAs documented and tracked; zero critical vulns &gt;48h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REM-007</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1F3864"/>
                <w:sz w:val="20"/>
                <w:szCs w:val="20"/>
              </w:rPr>
              <w:t xml:space="preserve">A.5.15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Implement quarterly access reviews for AWS IAM; deploy PAM for privileged accounts; rotate all service account credentials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IT Manager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Month 2–3</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First quarterly access review completed; PAM deployed for admin accounts; service accounts rotated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REM-008</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1F3864"/>
                <w:sz w:val="20"/>
                <w:szCs w:val="20"/>
              </w:rPr>
              <w:t xml:space="preserve">A.5.1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Update Information Security Policy; establish annual review cycle; create and publish Acceptable Use Policy (AUP); distribute via all-hands with sign-off</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CISO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Month 1</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InfoSec Policy v3.0 published; AUP signed by 100% staff within 30 days</w:t>
            </w:r>
          </w:p>
        </w:tc>
      </w:tr>
    </w:tbl>
    <w:p>
      <w:pPr>
        <w:spacing w:after="200"/>
      </w:pPr>
    </w:p>
    <w:p>
      <w:r>
        <w:br w:type="page"/>
      </w:r>
    </w:p>
    <w:p>
      <w:pPr>
        <w:pStyle w:val="Heading1"/>
        <w:spacing w:after="120" w:before="360"/>
      </w:pPr>
      <w:r>
        <w:rPr>
          <w:rFonts w:ascii="Arial" w:cs="Arial" w:eastAsia="Arial" w:hAnsi="Arial"/>
          <w:b/>
          <w:bCs/>
          <w:color w:val="2E75B6"/>
          <w:sz w:val="28"/>
          <w:szCs w:val="28"/>
        </w:rPr>
        <w:t xml:space="preserve">4. Phase 2: High-Priority Gaps (Months 4–6)</w:t>
      </w:r>
    </w:p>
    <w:p>
      <w:pPr>
        <w:spacing w:after="200"/>
      </w:pPr>
      <w:r>
        <w:rPr>
          <w:rFonts w:ascii="Arial" w:cs="Arial" w:eastAsia="Arial" w:hAnsi="Arial"/>
          <w:color w:val="333333"/>
          <w:sz w:val="22"/>
          <w:szCs w:val="22"/>
        </w:rPr>
        <w:t xml:space="preserve">Strengthen foundational controls and address gaps that, while not immediately critical, represent significant risk exposure if left unresolved. Focus on training, cloud security posture, and secure development practices.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3200"/>
        <w:gridCol w:w="1300"/>
        <w:gridCol w:w="1000"/>
        <w:gridCol w:w="278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Ref</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Control</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Remediation Action</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Deadline</w:t>
            </w:r>
          </w:p>
        </w:tc>
        <w:tc>
          <w:tcPr>
            <w:tcW w:type="dxa" w:w="2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Success KPI</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REM-009</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1F3864"/>
                <w:sz w:val="20"/>
                <w:szCs w:val="20"/>
              </w:rPr>
              <w:t xml:space="preserve">A.6.3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Implement role-based security training program: secure coding for engineers, data protection for HR/finance, phishing awareness for all staff; track completion via LMS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CISO / HR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Month 4</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LMS deployed; role-based modules live; &gt;90% completion within 60 days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REM-010</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1F3864"/>
                <w:sz w:val="20"/>
                <w:szCs w:val="20"/>
              </w:rPr>
              <w:t xml:space="preserve">A.5.23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Draft cloud security policy; deploy CSPM tool (e.g., Prowler, AWS Security Hub); document shared responsibility matrix; create cloud exit strategy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DevOps Lead / CISO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Month 4–5</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Cloud security policy approved; CSPM scanning weekly; exit strategy documented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REM-011</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1F3864"/>
                <w:sz w:val="20"/>
                <w:szCs w:val="20"/>
              </w:rPr>
              <w:t xml:space="preserve">A.8.25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Integrate SAST (SonarQube) and DAST (OWASP ZAP) into CI/CD pipeline; publish secure coding guidelines; appoint security champion per engineering squad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Engineering Lead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Month 4–5</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SAST/DAST in pipeline; zero critical findings in prod deployments; security champions active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REM-012</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1F3864"/>
                <w:sz w:val="20"/>
                <w:szCs w:val="20"/>
              </w:rPr>
              <w:t xml:space="preserve">A.5.12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Define 4-tier data classification scheme (Public, Internal, Confidential, Restricted); implement document labelling standard; map PII data flows across all systems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DPO / CISO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Month 5</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Classification scheme published; PII data flow map complete; labelling adopted on new documents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REM-013</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1F3864"/>
                <w:sz w:val="20"/>
                <w:szCs w:val="20"/>
              </w:rPr>
              <w:t xml:space="preserve">A.5.8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 mandatory security gate to SDLC at design and pre-release phases; create security requirements checklist; mandate threat modelling for new features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CISO / Engineering Lead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Month 5–6</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Security gate in SDLC; threat models produced for all new features; checklist integrated into Jira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REM-014</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1F3864"/>
                <w:sz w:val="20"/>
                <w:szCs w:val="20"/>
              </w:rPr>
              <w:t xml:space="preserve">A.8.15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Deploy SIEM solution (e.g., Microsoft Sentinel); extend log retention to 12 months; implement log integrity verification via hashing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CISO / DevOps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Month 5–6</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SIEM operational with correlation rules; 12-month retention confirmed; integrity checks automated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REM-015</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1F3864"/>
                <w:sz w:val="20"/>
                <w:szCs w:val="20"/>
              </w:rPr>
              <w:t xml:space="preserve">A.8.1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Deploy endpoint DLP agent; disable USB mass storage via GPO; enforce MDM enrolment for all BYOD devices accessing corporate email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IT Manager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Month 4</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DLP active on 100% endpoints; USB blocked; BYOD MDM compliance 100%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REM-016</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1F3864"/>
                <w:sz w:val="20"/>
                <w:szCs w:val="20"/>
              </w:rPr>
              <w:t xml:space="preserve">A.8.5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Enforce MFA across all SaaS applications via Okta conditional access; implement FIDO2 security keys for privileged users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IT Manager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Month 4</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MFA enforcement 100%; FIDO2 keys distributed to all admin accounts</w:t>
            </w:r>
          </w:p>
        </w:tc>
      </w:tr>
    </w:tbl>
    <w:p>
      <w:pPr>
        <w:spacing w:after="200"/>
      </w:pPr>
    </w:p>
    <w:p>
      <w:r>
        <w:br w:type="page"/>
      </w:r>
    </w:p>
    <w:p>
      <w:pPr>
        <w:pStyle w:val="Heading1"/>
        <w:spacing w:after="120" w:before="360"/>
      </w:pPr>
      <w:r>
        <w:rPr>
          <w:rFonts w:ascii="Arial" w:cs="Arial" w:eastAsia="Arial" w:hAnsi="Arial"/>
          <w:b/>
          <w:bCs/>
          <w:color w:val="538135"/>
          <w:sz w:val="28"/>
          <w:szCs w:val="28"/>
        </w:rPr>
        <w:t xml:space="preserve">5. Phase 3: Maturity Uplift (Months 7–12)</w:t>
      </w:r>
    </w:p>
    <w:p>
      <w:pPr>
        <w:spacing w:after="200"/>
      </w:pPr>
      <w:r>
        <w:rPr>
          <w:rFonts w:ascii="Arial" w:cs="Arial" w:eastAsia="Arial" w:hAnsi="Arial"/>
          <w:color w:val="333333"/>
          <w:sz w:val="22"/>
          <w:szCs w:val="22"/>
        </w:rPr>
        <w:t xml:space="preserve">Elevate maturity scores to level 4+ across all control domains. Focus on continuous improvement, metrics-driven governance, and preparation for formal ISO 27001 certification audit.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3200"/>
        <w:gridCol w:w="1300"/>
        <w:gridCol w:w="1000"/>
        <w:gridCol w:w="278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Ref</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Control</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Remediation Action</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Deadline</w:t>
            </w:r>
          </w:p>
        </w:tc>
        <w:tc>
          <w:tcPr>
            <w:tcW w:type="dxa" w:w="2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Success KPI</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REM-017</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1F3864"/>
                <w:sz w:val="20"/>
                <w:szCs w:val="20"/>
              </w:rPr>
              <w:t xml:space="preserve">A.5.2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Create comprehensive RACI matrix for information security responsibilities; update all job descriptions to include security accountabilities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CISO / HR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Month 7</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RACI published and communicated; JDs updated across all roles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REM-018</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1F3864"/>
                <w:sz w:val="20"/>
                <w:szCs w:val="20"/>
              </w:rPr>
              <w:t xml:space="preserve">A.5.29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Extend BCP to cover corporate IT systems (email, Jira, Slack, HR systems); expand DR testing scope to all critical systems; document RTO/RPO for each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CTO / IT Manager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Month 8</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BCP v2.0 covering all critical systems; DR test report for full scope; RTO/RPO targets met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REM-019</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1F3864"/>
                <w:sz w:val="20"/>
                <w:szCs w:val="20"/>
              </w:rPr>
              <w:t xml:space="preserve">A.6.1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Implement 3-yearly re-screening for staff with privileged access or access to payment systems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HR / CISO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Month 9</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Re-screening policy published; first batch of re-screenings initiated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REM-020</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1F3864"/>
                <w:sz w:val="20"/>
                <w:szCs w:val="20"/>
              </w:rPr>
              <w:t xml:space="preserve">A.7.1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Implement visitor escort policy for sensitive areas; install anti-tailgating turnstile at main office entrance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Office Manager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Month 8</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Visitor policy published; turnstile installed and operational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REM-021</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1F3864"/>
                <w:sz w:val="20"/>
                <w:szCs w:val="20"/>
              </w:rPr>
              <w:t xml:space="preserve">A.8.24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Document cryptography policy; formalise key rotation schedule in AWS KMS; deploy certificate lifecycle management tool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DevOps Lead / CISO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Month 9–10</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Crypto policy approved; key rotation automated; cert management tool live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REM-022</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1F3864"/>
                <w:sz w:val="20"/>
                <w:szCs w:val="20"/>
              </w:rPr>
              <w:t xml:space="preserve">All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Conduct internal audit of full ISMS scope; address all non-conformities; prepare for Stage 1 certification audit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CISO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Month 11–12</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Internal audit completed; zero major NCs remaining; Stage 1 audit scheduled</w:t>
            </w:r>
          </w:p>
        </w:tc>
      </w:tr>
    </w:tbl>
    <w:p>
      <w:pPr>
        <w:spacing w:after="200"/>
      </w:pPr>
    </w:p>
    <w:p>
      <w:r>
        <w:br w:type="page"/>
      </w:r>
    </w:p>
    <w:p>
      <w:pPr>
        <w:pStyle w:val="Heading1"/>
        <w:spacing w:after="240" w:before="360"/>
      </w:pPr>
      <w:r>
        <w:rPr>
          <w:rFonts w:ascii="Arial" w:cs="Arial" w:eastAsia="Arial" w:hAnsi="Arial"/>
          <w:b/>
          <w:bCs/>
          <w:color w:val="1F3864"/>
          <w:sz w:val="32"/>
          <w:szCs w:val="32"/>
        </w:rPr>
        <w:t xml:space="preserve">6. Governance and Tracking</w:t>
      </w:r>
    </w:p>
    <w:p>
      <w:pPr>
        <w:spacing w:after="200"/>
      </w:pPr>
      <w:r>
        <w:rPr>
          <w:rFonts w:ascii="Arial" w:cs="Arial" w:eastAsia="Arial" w:hAnsi="Arial"/>
          <w:sz w:val="22"/>
          <w:szCs w:val="22"/>
        </w:rPr>
        <w:t xml:space="preserve">Progress against this roadmap will be governed through the following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Mechanism</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Frequency</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Participants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GRC Dashboard Review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Weekly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CISO, GRC Analyst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 Steering Committee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Monthly</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CISO, CTO, DPO, Engineering Lead, HR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Board Risk Report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Quarterly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CISO, CEO, Board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Audit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Bi-annually</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Audit / External consultant</w:t>
            </w:r>
          </w:p>
        </w:tc>
      </w:tr>
    </w:tbl>
    <w:p>
      <w:pPr>
        <w:spacing w:after="200" w:before="400"/>
      </w:pPr>
      <w:r>
        <w:rPr>
          <w:rFonts w:ascii="Arial" w:cs="Arial" w:eastAsia="Arial" w:hAnsi="Arial"/>
          <w:b/>
          <w:bCs/>
          <w:color w:val="1F3864"/>
          <w:sz w:val="28"/>
          <w:szCs w:val="28"/>
        </w:rPr>
        <w:t xml:space="preserve">7. Budget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Estimated Cost (SGD)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Security tooling (EDR, SIEM, CSPM, DLP, PAM, Vuln scanner)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$90,000 – $130,000 / year</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Training and awareness (LMS, secure coding, role-based)</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$15,000 – $25,000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Consulting (policy development, internal audit, tabletop facilitation)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$40,000 – $60,000</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Physical security (turnstile, CCTV expansion)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$15,000 – $25,000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Certification audit (Stage 1 + Stage 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$20,000 – $30,000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TOTAL (Year 1)</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$180,000 – $270,000</w:t>
            </w:r>
          </w:p>
        </w:tc>
      </w:tr>
    </w:tbl>
    <w:p>
      <w:pPr>
        <w:spacing w:after="200" w:before="400"/>
      </w:pPr>
    </w:p>
    <w:p>
      <w:pPr>
        <w:pBdr>
          <w:top w:val="single" w:color="CCCCCC" w:sz="4" w:space="1"/>
        </w:pBdr>
        <w:spacing w:after="100"/>
      </w:pPr>
      <w:r>
        <w:rPr>
          <w:rFonts w:ascii="Arial" w:cs="Arial" w:eastAsia="Arial" w:hAnsi="Arial"/>
          <w:i/>
          <w:iCs/>
          <w:color w:val="999999"/>
          <w:sz w:val="18"/>
          <w:szCs w:val="18"/>
        </w:rPr>
        <w:t xml:space="preserve">DISCLAIMER: This is a fictitious remediation roadmap created for portfolio demonstration purposes. PayWave Solutions Pte. Ltd. is a fictional company. All findings, costs, and recommendations are illustrative.</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999999"/>
        <w:sz w:val="16"/>
        <w:szCs w:val="16"/>
      </w:rPr>
      <w:t xml:space="preserve">CONFIDENTIAL</w:t>
    </w:r>
    <w:r>
      <w:t xml:space="preserve">	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2E75B6"/>
        <w:sz w:val="18"/>
        <w:szCs w:val="18"/>
      </w:rPr>
      <w:t xml:space="preserve">ISO 27001:2022 Remediation Roadmap</w:t>
    </w:r>
    <w:r>
      <w:t xml:space="preserve">	</w:t>
    </w:r>
    <w:r>
      <w:rPr>
        <w:rFonts w:ascii="Arial" w:cs="Arial" w:eastAsia="Arial" w:hAnsi="Arial"/>
        <w:color w:val="999999"/>
        <w:sz w:val="18"/>
        <w:szCs w:val="18"/>
      </w:rPr>
      <w:t xml:space="preserve">PayWave Solutions Pte.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80" w:before="1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2026-04-28T04:42:42.856Z</dcterms:created>
  <dcterms:modified xsi:type="dcterms:W3CDTF">2026-04-28T04:42:42.857Z</dcterms:modified>
</cp:coreProperties>
</file>

<file path=docProps/custom.xml><?xml version="1.0" encoding="utf-8"?>
<Properties xmlns="http://schemas.openxmlformats.org/officeDocument/2006/custom-properties" xmlns:vt="http://schemas.openxmlformats.org/officeDocument/2006/docPropsVTypes"/>
</file>