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Third-Party Risk Management Policy</w:t>
      </w:r>
    </w:p>
    <w:p>
      <w:pPr>
        <w:spacing w:after="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PayWave Solutions Pte. Ltd.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14"/>
          <w:szCs w:val="14"/>
        </w:rPr>
        <w:t xml:space="preserve">Owner: Chief Information Security Officer | Approval: CEO | Review cadence: Annual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1. Purpose and Scope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This policy establishes PayWave Solutions' framework for identifying, assessing, monitoring, and managing risks arising from engagement with third-party vendors and service providers. It applies to all vendors that access, process, store, or transmit PayWave data, or that provide services material to business operations.</w:t>
      </w: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policy is established in compliance with: MAS Technology Risk Management (TRM) Guidelines Section 9 (Outsourcing), MAS Outsourcing Guidelines, ISO 27001:2022 controls A.5.19–A.5.22, and the Personal Data Protection Act (PDPA) data intermediary obligations.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2. Vendor Tiering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All vendors are classified into one of three tiers based on data access and service criticality. Tier classification is performed by the GRC team and approved by the CISO.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3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Controls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Tier 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Restricted data access OR core platform dependency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Annual VRAQ + on-site/remote audit + SOC 2 Type II review + pentest evidence + contractual right-to-audit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Tier 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Confidential data access OR significant operational dependency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Annual VRAQ + cert review + contractual security clauses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Tier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Internal/Public data only — productivity tools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Standard contract review with security clauses; bi-annual review</w:t>
            </w:r>
          </w:p>
        </w:tc>
      </w:tr>
    </w:tbl>
    <w:p>
      <w:pPr>
        <w:pStyle w:val="Heading1"/>
        <w:spacing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 Vendor Lifecycle Management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All vendors are managed through five lifecycle phases, with mandatory checkpoints aligned to MAS TRM Section 9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Activities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3.1 Due Diligence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Tier classification, VRAQ completion, certification review (SOC 2, ISO 27001), reference checks. CISO approval required for Tier 1 vendors.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3.2 Contracting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Mandatory security clauses: 24-hour breach notification, right-to-audit, sub-contractor notification, data destruction, indemnification, MAS regulatory cooperation.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3.3 Onboarding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Access provisioning with least privilege, security control validation, key rotation, IR contact exchange. Onboarding sign-off by CISO and risk owner.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3.4 Ongoing Monitoring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Continuous monitoring of vendor security posture: cert renewals, public incident disclosures, threat intelligence. Quarterly reviews for Tier 1 vendors.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3.5 Termination / Exit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Documented exit plan: data return/destruction, access revocation, transition support, service continuity. Certificate of destruction required for Tier 1.</w:t>
            </w:r>
          </w:p>
        </w:tc>
      </w:tr>
    </w:tbl>
    <w:p>
      <w:pPr>
        <w:pStyle w:val="Heading1"/>
        <w:spacing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CISO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Policy ownership, Tier 1 vendor approval, CSIRT engagement, regulatory liaison.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GRC Team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Tier classification, VRAQ administration, scoring, ongoing monitoring, dashboard reporting.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Risk Owner (Business)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Vendor relationship ownership, day-to-day management, performance review.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Procurement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Contract negotiation including mandatory security clauses, vendor onboarding gating.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Legal / DPO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Contract review, PDPA compliance, breach notification coordination, regulatory engagement.</w:t>
            </w:r>
          </w:p>
        </w:tc>
      </w:tr>
    </w:tbl>
    <w:p>
      <w:pPr>
        <w:pStyle w:val="Heading1"/>
        <w:spacing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5. Regulatory and Standards References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•  MAS Technology Risk Management Guidelines Section 9 — Outsourcing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•  MAS Outsourcing Guidelines (October 2018, as amended)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•  ISO/IEC 27001:2022 Annex A controls A.5.19, A.5.20, A.5.21, A.5.22 (Information security in supplier relationships)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•  Personal Data Protection Act 2012 — Data Intermediary obligations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•  Internal: PayWave Information Security Policy (POL-001), Risk Management Methodology (POL-RISK-001)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16"/>
          <w:szCs w:val="16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 Mar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[Your Name], GRC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CISO / CEO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Initial issue</w:t>
            </w:r>
          </w:p>
        </w:tc>
      </w:tr>
    </w:tbl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999999"/>
          <w:sz w:val="14"/>
          <w:szCs w:val="14"/>
        </w:rPr>
        <w:t xml:space="preserve">DISCLAIMER: Fictitious policy created for portfolio demonstration. PayWave Solutions Pte. Ltd. is a fictional company.</w:t>
      </w:r>
    </w:p>
    <w:sectPr>
      <w:headerReference w:type="default" r:id="rId7"/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4"/>
        <w:szCs w:val="14"/>
      </w:rPr>
      <w:t xml:space="preserve">POLICY</w:t>
    </w:r>
    <w:r>
      <w:t xml:space="preserve">	</w:t>
    </w:r>
    <w:r>
      <w:rPr>
        <w:rFonts w:ascii="Arial" w:cs="Arial" w:eastAsia="Arial" w:hAnsi="Arial"/>
        <w:color w:val="999999"/>
        <w:sz w:val="14"/>
        <w:szCs w:val="14"/>
      </w:rPr>
      <w:t xml:space="preserve">POL-TPRM-001 | v1.0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2026-05-07T15:27:11.484Z</dcterms:created>
  <dcterms:modified xsi:type="dcterms:W3CDTF">2026-05-07T15:27:11.485Z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