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Third-Party Risk Management Policy</w:t>
      </w:r>
    </w:p>
    <w:p>
      <w:pPr>
        <w:spacing w:after="60"/>
      </w:pPr>
      <w:r>
        <w:rPr>
          <w:rFonts w:ascii="Arial" w:cs="Arial" w:eastAsia="Arial" w:hAnsi="Arial"/>
          <w:color w:val="2E75B6"/>
          <w:sz w:val="18"/>
          <w:szCs w:val="18"/>
        </w:rPr>
        <w:t xml:space="preserve">PayWave Solutions Pte. Ltd.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14"/>
          <w:szCs w:val="14"/>
        </w:rPr>
        <w:t xml:space="preserve">Owner: Chief Information Security Officer | Approval: CEO | Review cadence: Annual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1. Purpose and Scope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This policy establishes PayWave Solutions' framework for identifying, assessing, monitoring, and managing risks arising from engagement with third-party vendors and service providers. It applies to all vendors that access, process, store, or transmit PayWave data, or that provide services material to business operations.</w:t>
      </w: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policy is established in compliance with: MAS Technology Risk Management (TRM) Guidelines Section 9 (Outsourcing), MAS Guidelines on Outsourcing (Financial Institutions other than Banks), ISO 27001:2022 controls A.5.19–A.5.22, and the Personal Data Protection Act (PDPA) data intermediary obligations.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2. Vendor Tiering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All vendors are classified into one of three tiers based on data access and service criticality. Tier classification is performed by the GRC team and approved by the CISO.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700"/>
        <w:gridCol w:w="5360"/>
      </w:tblGrid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Criteria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Required Controls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7C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Tier 1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Restricted data access OR core platform dependency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Annual VRAQ + on-site/remote audit + SOC 2 Type II review + pentest evidence + contractual right-to-audit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9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Tier 2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Confidential data access OR significant operational dependency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Annual VRAQ + cert review + contractual security clauses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FC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Tier 3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Internal/Public data only — productivity tools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Standard contract review with security clauses; bi-annual review</w:t>
            </w:r>
          </w:p>
        </w:tc>
      </w:tr>
    </w:tbl>
    <w:p>
      <w:pPr>
        <w:pStyle w:val="Heading1"/>
        <w:spacing w:before="24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3. Vendor Lifecycle Management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All vendors are managed through five lifecycle phases, with mandatory checkpoints aligned to MAS TRM Section 9 requirements.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Required Activities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3.1 Due Diligence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Tier classification, VRAQ completion, certification review (SOC 2, ISO 27001), reference checks. CISO approval required for Tier 1 vendors.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3.2 Contracting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Mandatory security clauses: 24-hour breach notification, right-to-audit, sub-contractor notification, data destruction, indemnification, MAS regulatory cooperation.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3.3 Onboarding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Access provisioning with least privilege, security control validation, key rotation, IR contact exchange. Onboarding sign-off by CISO and risk owner.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3.4 Ongoing Monitoring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Continuous monitoring of vendor security posture: cert renewals, public incident disclosures, threat intelligence. Quarterly reviews for Tier 1 vendors.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3.5 Termination / Exit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Documented exit plan: data return/destruction, access revocation, transition support, service continuity. Certificate of destruction required for Tier 1.</w:t>
            </w:r>
          </w:p>
        </w:tc>
      </w:tr>
    </w:tbl>
    <w:p>
      <w:pPr>
        <w:pStyle w:val="Heading1"/>
        <w:spacing w:before="24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4. Roles and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Responsibilities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CISO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Policy ownership, Tier 1 vendor approval, CSIRT engagement, regulatory liaison.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GRC Team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Tier classification, VRAQ administration, scoring, ongoing monitoring, dashboard reporting.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Risk Owner (Business)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Vendor relationship ownership, day-to-day management, performance review.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Procurement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Contract negotiation including mandatory security clauses, vendor onboarding gating.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Legal / DPO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Contract review, PDPA compliance, breach notification coordination, regulatory engagement.</w:t>
            </w:r>
          </w:p>
        </w:tc>
      </w:tr>
    </w:tbl>
    <w:p>
      <w:pPr>
        <w:pStyle w:val="Heading1"/>
        <w:spacing w:before="24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5. Regulatory and Standards References</w:t>
      </w:r>
    </w:p>
    <w:p>
      <w:pPr>
        <w:spacing w:after="60"/>
      </w:pPr>
      <w:r>
        <w:rPr>
          <w:rFonts w:ascii="Arial" w:cs="Arial" w:eastAsia="Arial" w:hAnsi="Arial"/>
          <w:sz w:val="18"/>
          <w:szCs w:val="18"/>
        </w:rPr>
        <w:t xml:space="preserve">•  MAS Technology Risk Management Guidelines Section 9 — Outsourcing</w:t>
      </w:r>
    </w:p>
    <w:p>
      <w:pPr>
        <w:spacing w:after="60"/>
      </w:pPr>
      <w:r>
        <w:rPr>
          <w:rFonts w:ascii="Arial" w:cs="Arial" w:eastAsia="Arial" w:hAnsi="Arial"/>
          <w:sz w:val="18"/>
          <w:szCs w:val="18"/>
        </w:rPr>
        <w:t xml:space="preserve">•  MAS Guidelines on Outsourcing (Financial Institutions other than Banks) (effective 11 December 2024)</w:t>
      </w:r>
    </w:p>
    <w:p>
      <w:pPr>
        <w:spacing w:after="60"/>
      </w:pPr>
      <w:r>
        <w:rPr>
          <w:rFonts w:ascii="Arial" w:cs="Arial" w:eastAsia="Arial" w:hAnsi="Arial"/>
          <w:sz w:val="18"/>
          <w:szCs w:val="18"/>
        </w:rPr>
        <w:t xml:space="preserve">•  ISO/IEC 27001:2022 Annex A controls A.5.19, A.5.20, A.5.21, A.5.22 (Information security in supplier relationships)</w:t>
      </w:r>
    </w:p>
    <w:p>
      <w:pPr>
        <w:spacing w:after="60"/>
      </w:pPr>
      <w:r>
        <w:rPr>
          <w:rFonts w:ascii="Arial" w:cs="Arial" w:eastAsia="Arial" w:hAnsi="Arial"/>
          <w:sz w:val="18"/>
          <w:szCs w:val="18"/>
        </w:rPr>
        <w:t xml:space="preserve">•  Personal Data Protection Act 2012 — Data Intermediary obligations</w:t>
      </w:r>
    </w:p>
    <w:p>
      <w:pPr>
        <w:spacing w:after="60"/>
      </w:pPr>
      <w:r>
        <w:rPr>
          <w:rFonts w:ascii="Arial" w:cs="Arial" w:eastAsia="Arial" w:hAnsi="Arial"/>
          <w:sz w:val="18"/>
          <w:szCs w:val="18"/>
        </w:rPr>
        <w:t xml:space="preserve">•  Internal: PayWave Information Security Policy (POL-001), Risk Management Methodology (POL-RISK-001)</w:t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1F3864"/>
          <w:sz w:val="16"/>
          <w:szCs w:val="16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21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Approver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Change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15 Mar 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[Your Name], GRC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CISO / CEO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Initial issue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25 Jun 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[Your Name], GRC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CISO / CEO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Updated regulatory reference to the MAS Guidelines on Outsourcing (Financial Institutions other than Banks), effective 11 December 2024, replacing the superseded Guidelines on Outsourcing.</w:t>
            </w:r>
          </w:p>
        </w:tc>
      </w:tr>
    </w:tbl>
    <w:p>
      <w:pPr>
        <w:pBdr>
          <w:top w:val="single" w:color="CCCCCC" w:sz="4" w:space="1"/>
        </w:pBdr>
        <w:spacing w:before="200"/>
      </w:pPr>
      <w:r>
        <w:rPr>
          <w:rFonts w:ascii="Arial" w:cs="Arial" w:eastAsia="Arial" w:hAnsi="Arial"/>
          <w:i/>
          <w:iCs/>
          <w:color w:val="999999"/>
          <w:sz w:val="14"/>
          <w:szCs w:val="14"/>
        </w:rPr>
        <w:t xml:space="preserve">DISCLAIMER: Fictitious policy created for portfolio demonstration. PayWave Solutions Pte. Ltd. is a fictional company.</w:t>
      </w:r>
    </w:p>
    <w:sectPr>
      <w:headerReference w:type="default" r:id="rId7"/>
      <w:pgSz w:w="12240" w:h="15840" w:orient="portrait"/>
      <w:pgMar w:top="800" w:right="900" w:bottom="8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  <w:tabs>
        <w:tab w:val="right" w:pos="9026"/>
      </w:tabs>
    </w:pPr>
    <w:r>
      <w:rPr>
        <w:rFonts w:ascii="Arial" w:cs="Arial" w:eastAsia="Arial" w:hAnsi="Arial"/>
        <w:b/>
        <w:bCs/>
        <w:color w:val="2E75B6"/>
        <w:sz w:val="14"/>
        <w:szCs w:val="14"/>
      </w:rPr>
      <w:t xml:space="preserve">POLICY</w:t>
    </w:r>
    <w:r>
      <w:t xml:space="preserve">	</w:t>
    </w:r>
    <w:r>
      <w:rPr>
        <w:rFonts w:ascii="Arial" w:cs="Arial" w:eastAsia="Arial" w:hAnsi="Arial"/>
        <w:color w:val="999999"/>
        <w:sz w:val="14"/>
        <w:szCs w:val="14"/>
      </w:rPr>
      <w:t xml:space="preserve">POL-TPRM-001 | v1.0 | March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60"/>
      <w:outlineLvl w:val="0"/>
    </w:pPr>
    <w:rPr>
      <w:rFonts w:ascii="Arial" w:cs="Arial" w:eastAsia="Arial" w:hAnsi="Arial"/>
      <w:b/>
      <w:bCs/>
      <w:color w:val="1F386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2026-05-07T15:27:11.484Z</dcterms:created>
  <dcterms:modified xsi:type="dcterms:W3CDTF">2026-05-07T15:27:11.485Z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