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A3A0D" w14:textId="1D69AE24" w:rsidR="00CF685A" w:rsidRDefault="000D0745" w:rsidP="000D0745">
      <w:pPr>
        <w:jc w:val="center"/>
        <w:rPr>
          <w:rFonts w:ascii="Book Antiqua" w:hAnsi="Book Antiqua"/>
          <w:b/>
          <w:bCs/>
          <w:sz w:val="36"/>
          <w:szCs w:val="36"/>
        </w:rPr>
      </w:pPr>
      <w:r w:rsidRPr="000D0745">
        <w:rPr>
          <w:rFonts w:ascii="Book Antiqua" w:hAnsi="Book Antiqua"/>
          <w:b/>
          <w:bCs/>
          <w:sz w:val="36"/>
          <w:szCs w:val="36"/>
        </w:rPr>
        <w:t>KĨ THU</w:t>
      </w:r>
      <w:r w:rsidRPr="000D0745">
        <w:rPr>
          <w:rFonts w:ascii="Cambria" w:hAnsi="Cambria" w:cs="Cambria"/>
          <w:b/>
          <w:bCs/>
          <w:sz w:val="36"/>
          <w:szCs w:val="36"/>
        </w:rPr>
        <w:t>Ậ</w:t>
      </w:r>
      <w:r w:rsidRPr="000D0745">
        <w:rPr>
          <w:rFonts w:ascii="Book Antiqua" w:hAnsi="Book Antiqua"/>
          <w:b/>
          <w:bCs/>
          <w:sz w:val="36"/>
          <w:szCs w:val="36"/>
        </w:rPr>
        <w:t>T PHÂN TÍCH</w:t>
      </w:r>
    </w:p>
    <w:p w14:paraId="11A2D904" w14:textId="410427B6" w:rsidR="000D0745" w:rsidRDefault="000D0745" w:rsidP="000D0745">
      <w:pPr>
        <w:jc w:val="both"/>
        <w:rPr>
          <w:rFonts w:ascii="Cambria" w:hAnsi="Cambria"/>
          <w:sz w:val="26"/>
          <w:szCs w:val="26"/>
        </w:rPr>
      </w:pPr>
      <w:r>
        <w:rPr>
          <w:rFonts w:ascii="Book Antiqua" w:hAnsi="Book Antiqua"/>
          <w:sz w:val="26"/>
          <w:szCs w:val="26"/>
        </w:rPr>
        <w:t>B</w:t>
      </w:r>
      <w:r>
        <w:rPr>
          <w:rFonts w:ascii="Cambria" w:hAnsi="Cambria"/>
          <w:sz w:val="26"/>
          <w:szCs w:val="26"/>
          <w:lang w:val="vi-VN"/>
        </w:rPr>
        <w:t>ư</w:t>
      </w:r>
      <w:r>
        <w:rPr>
          <w:rFonts w:ascii="Cambria" w:hAnsi="Cambria"/>
          <w:sz w:val="26"/>
          <w:szCs w:val="26"/>
        </w:rPr>
        <w:t>ớc 1. Baseline characteristics</w:t>
      </w:r>
    </w:p>
    <w:p w14:paraId="25215705" w14:textId="4761E38F" w:rsidR="000D0745" w:rsidRDefault="000D0745" w:rsidP="000D0745">
      <w:pPr>
        <w:jc w:val="both"/>
        <w:rPr>
          <w:rFonts w:ascii="Cambria" w:hAnsi="Cambria"/>
          <w:sz w:val="26"/>
          <w:szCs w:val="26"/>
        </w:rPr>
      </w:pPr>
      <w:r>
        <w:rPr>
          <w:rFonts w:ascii="Cambria" w:hAnsi="Cambria"/>
          <w:sz w:val="26"/>
          <w:szCs w:val="26"/>
        </w:rPr>
        <w:t xml:space="preserve">Bước 2. </w:t>
      </w:r>
      <w:r w:rsidRPr="000D0745">
        <w:rPr>
          <w:rFonts w:ascii="Cambria" w:hAnsi="Cambria"/>
          <w:sz w:val="26"/>
          <w:szCs w:val="26"/>
        </w:rPr>
        <w:t>Covariate Selection</w:t>
      </w:r>
    </w:p>
    <w:p w14:paraId="624D6D35" w14:textId="482A8F87" w:rsidR="000D0745" w:rsidRDefault="000D0745" w:rsidP="000D0745">
      <w:pPr>
        <w:jc w:val="both"/>
        <w:rPr>
          <w:rFonts w:ascii="Cambria" w:hAnsi="Cambria"/>
          <w:sz w:val="26"/>
          <w:szCs w:val="26"/>
        </w:rPr>
      </w:pPr>
      <w:r w:rsidRPr="000D0745">
        <w:rPr>
          <w:rFonts w:ascii="Cambria" w:hAnsi="Cambria"/>
          <w:sz w:val="26"/>
          <w:szCs w:val="26"/>
        </w:rPr>
        <w:t>- Kiểm tra VIF và vẽ DAG gi</w:t>
      </w:r>
      <w:r>
        <w:rPr>
          <w:rFonts w:ascii="Cambria" w:hAnsi="Cambria"/>
          <w:sz w:val="26"/>
          <w:szCs w:val="26"/>
        </w:rPr>
        <w:t xml:space="preserve">ữa các biến đầu vào </w:t>
      </w:r>
      <w:r w:rsidRPr="000D0745">
        <w:rPr>
          <w:rFonts w:ascii="Cambria" w:hAnsi="Cambria"/>
          <w:sz w:val="26"/>
          <w:szCs w:val="26"/>
        </w:rPr>
        <w:t>giúp xác định chính xác đâu là yếu tố nhiễu (confounders) thực sự cần đưa vào mô hình.</w:t>
      </w:r>
      <w:r>
        <w:rPr>
          <w:rFonts w:ascii="Cambria" w:hAnsi="Cambria"/>
          <w:sz w:val="26"/>
          <w:szCs w:val="26"/>
        </w:rPr>
        <w:t xml:space="preserve"> Dựa trên kết quả VIF thì các biến đều có giá trị &lt; 2 nên không có đa cộng tuyến xảy ra nên có thể đưa tất cả vào mô hình.</w:t>
      </w:r>
    </w:p>
    <w:p w14:paraId="2464C392" w14:textId="670A46CB" w:rsidR="000D0745" w:rsidRDefault="000D0745" w:rsidP="000D0745">
      <w:pPr>
        <w:jc w:val="both"/>
        <w:rPr>
          <w:rFonts w:ascii="Cambria" w:hAnsi="Cambria"/>
          <w:sz w:val="26"/>
          <w:szCs w:val="26"/>
        </w:rPr>
      </w:pPr>
      <w:r>
        <w:rPr>
          <w:rFonts w:ascii="Cambria" w:hAnsi="Cambria"/>
          <w:sz w:val="26"/>
          <w:szCs w:val="26"/>
        </w:rPr>
        <w:t xml:space="preserve">Bước 3. </w:t>
      </w:r>
      <w:r w:rsidRPr="000D0745">
        <w:rPr>
          <w:rFonts w:ascii="Cambria" w:hAnsi="Cambria"/>
          <w:sz w:val="26"/>
          <w:szCs w:val="26"/>
        </w:rPr>
        <w:t>Univariate &amp; Multivariate Cox Regression</w:t>
      </w:r>
    </w:p>
    <w:p w14:paraId="4C8CBBCE" w14:textId="39E91852" w:rsidR="000D0745" w:rsidRDefault="000D0745" w:rsidP="000D0745">
      <w:pPr>
        <w:jc w:val="both"/>
        <w:rPr>
          <w:rFonts w:ascii="Cambria" w:hAnsi="Cambria"/>
          <w:sz w:val="26"/>
          <w:szCs w:val="26"/>
        </w:rPr>
      </w:pPr>
      <w:r>
        <w:rPr>
          <w:rFonts w:ascii="Cambria" w:hAnsi="Cambria"/>
          <w:sz w:val="26"/>
          <w:szCs w:val="26"/>
        </w:rPr>
        <w:t xml:space="preserve">- </w:t>
      </w:r>
      <w:r w:rsidRPr="000D0745">
        <w:rPr>
          <w:rFonts w:ascii="Cambria" w:hAnsi="Cambria"/>
          <w:sz w:val="26"/>
          <w:szCs w:val="26"/>
        </w:rPr>
        <w:t xml:space="preserve">Đánh giá tác động của TyHGB lên tử vong chung (ACM) và tử vong tim mạch (CVM) qua 3 mô hình tăng dần: </w:t>
      </w:r>
      <w:r>
        <w:rPr>
          <w:rFonts w:ascii="Cambria" w:hAnsi="Cambria"/>
          <w:sz w:val="26"/>
          <w:szCs w:val="26"/>
        </w:rPr>
        <w:t>Không hiệu chỉnh</w:t>
      </w:r>
      <w:r w:rsidRPr="000D0745">
        <w:rPr>
          <w:rFonts w:ascii="Cambria" w:hAnsi="Cambria"/>
          <w:sz w:val="26"/>
          <w:szCs w:val="26"/>
        </w:rPr>
        <w:t xml:space="preserve"> (M1), </w:t>
      </w:r>
      <w:r>
        <w:rPr>
          <w:rFonts w:ascii="Cambria" w:hAnsi="Cambria"/>
          <w:sz w:val="26"/>
          <w:szCs w:val="26"/>
        </w:rPr>
        <w:t>Thêm tuổi, giới tính, chủng tộc</w:t>
      </w:r>
      <w:r w:rsidRPr="000D0745">
        <w:rPr>
          <w:rFonts w:ascii="Cambria" w:hAnsi="Cambria"/>
          <w:sz w:val="26"/>
          <w:szCs w:val="26"/>
        </w:rPr>
        <w:t xml:space="preserve"> (M2), và </w:t>
      </w:r>
      <w:r>
        <w:rPr>
          <w:rFonts w:ascii="Cambria" w:hAnsi="Cambria"/>
          <w:sz w:val="26"/>
          <w:szCs w:val="26"/>
        </w:rPr>
        <w:t>Thêm Hypertension, tỉ số AST/ALT</w:t>
      </w:r>
      <w:r w:rsidRPr="000D0745">
        <w:rPr>
          <w:rFonts w:ascii="Cambria" w:hAnsi="Cambria"/>
          <w:sz w:val="26"/>
          <w:szCs w:val="26"/>
        </w:rPr>
        <w:t xml:space="preserve"> (M3).</w:t>
      </w:r>
      <w:r>
        <w:rPr>
          <w:rFonts w:ascii="Cambria" w:hAnsi="Cambria"/>
          <w:sz w:val="26"/>
          <w:szCs w:val="26"/>
        </w:rPr>
        <w:t xml:space="preserve"> Vì nếu để AST + ALT thì sẽ có đa cộng tuyến, mà em nghĩ lâm sàng cũng có thể dùng chỉ số AST/ALT nên em chia ra tỉ số rồi bỏ vào mô hình. </w:t>
      </w:r>
    </w:p>
    <w:p w14:paraId="23D2F112" w14:textId="637F61CC" w:rsidR="000D0745" w:rsidRDefault="000D0745" w:rsidP="000D0745">
      <w:pPr>
        <w:jc w:val="both"/>
        <w:rPr>
          <w:rFonts w:ascii="Cambria" w:hAnsi="Cambria"/>
          <w:sz w:val="26"/>
          <w:szCs w:val="26"/>
        </w:rPr>
      </w:pPr>
      <w:r>
        <w:rPr>
          <w:rFonts w:ascii="Cambria" w:hAnsi="Cambria"/>
          <w:sz w:val="26"/>
          <w:szCs w:val="26"/>
        </w:rPr>
        <w:t>- Kết quả thì TyHGB qua các 3 mô hình đều chứng minh được có mối liên quan đến ACM và CVM, nghĩa là TyHGB là yếu tố liên quan độc lập đến kết cục chứ không phải do các yếu tố khác ảnh hưởng lên.</w:t>
      </w:r>
    </w:p>
    <w:p w14:paraId="0E3F232A" w14:textId="310009EA" w:rsidR="000D0745" w:rsidRDefault="000D0745" w:rsidP="000D0745">
      <w:pPr>
        <w:jc w:val="both"/>
        <w:rPr>
          <w:rFonts w:ascii="Cambria" w:hAnsi="Cambria"/>
          <w:sz w:val="26"/>
          <w:szCs w:val="26"/>
        </w:rPr>
      </w:pPr>
      <w:r>
        <w:rPr>
          <w:rFonts w:ascii="Cambria" w:hAnsi="Cambria"/>
          <w:b/>
          <w:bCs/>
          <w:i/>
          <w:iCs/>
          <w:sz w:val="26"/>
          <w:szCs w:val="26"/>
        </w:rPr>
        <w:t>M</w:t>
      </w:r>
      <w:r w:rsidRPr="000D0745">
        <w:rPr>
          <w:rFonts w:ascii="Cambria" w:hAnsi="Cambria"/>
          <w:b/>
          <w:bCs/>
          <w:i/>
          <w:iCs/>
          <w:sz w:val="26"/>
          <w:szCs w:val="26"/>
        </w:rPr>
        <w:t>3 sẽ được dùng để đánh giá khả năng tiên lượng của TyHGB ở các bước sau</w:t>
      </w:r>
      <w:r>
        <w:rPr>
          <w:rFonts w:ascii="Cambria" w:hAnsi="Cambria"/>
          <w:sz w:val="26"/>
          <w:szCs w:val="26"/>
        </w:rPr>
        <w:t>.</w:t>
      </w:r>
    </w:p>
    <w:p w14:paraId="77985FFE" w14:textId="439A3192" w:rsidR="000D0745" w:rsidRDefault="000D0745" w:rsidP="000D0745">
      <w:pPr>
        <w:jc w:val="both"/>
        <w:rPr>
          <w:rFonts w:ascii="Cambria" w:hAnsi="Cambria"/>
          <w:sz w:val="26"/>
          <w:szCs w:val="26"/>
        </w:rPr>
      </w:pPr>
      <w:r>
        <w:rPr>
          <w:rFonts w:ascii="Cambria" w:hAnsi="Cambria"/>
          <w:sz w:val="26"/>
          <w:szCs w:val="26"/>
        </w:rPr>
        <w:t>Bước 4. Đường cong Kaplan-Meier</w:t>
      </w:r>
    </w:p>
    <w:p w14:paraId="1EE1C56B" w14:textId="77777777" w:rsidR="000D0745" w:rsidRDefault="000D0745" w:rsidP="000D0745">
      <w:pPr>
        <w:jc w:val="both"/>
        <w:rPr>
          <w:rFonts w:ascii="Cambria" w:hAnsi="Cambria"/>
          <w:sz w:val="26"/>
          <w:szCs w:val="26"/>
        </w:rPr>
      </w:pPr>
      <w:r>
        <w:rPr>
          <w:rFonts w:ascii="Cambria" w:hAnsi="Cambria"/>
          <w:sz w:val="26"/>
          <w:szCs w:val="26"/>
        </w:rPr>
        <w:t xml:space="preserve">- </w:t>
      </w:r>
      <w:r w:rsidRPr="000D0745">
        <w:rPr>
          <w:rFonts w:ascii="Cambria" w:hAnsi="Cambria"/>
          <w:sz w:val="26"/>
          <w:szCs w:val="26"/>
        </w:rPr>
        <w:t>Trực quan hóa xác suất sống còn của bệnh nhân theo thời gian.</w:t>
      </w:r>
    </w:p>
    <w:p w14:paraId="1885CA53" w14:textId="23FE6049" w:rsidR="000D0745" w:rsidRDefault="000D0745" w:rsidP="000D0745">
      <w:pPr>
        <w:jc w:val="both"/>
        <w:rPr>
          <w:rFonts w:ascii="Cambria" w:hAnsi="Cambria"/>
          <w:sz w:val="26"/>
          <w:szCs w:val="26"/>
        </w:rPr>
      </w:pPr>
      <w:r>
        <w:rPr>
          <w:rFonts w:ascii="Cambria" w:hAnsi="Cambria"/>
          <w:sz w:val="26"/>
          <w:szCs w:val="26"/>
        </w:rPr>
        <w:t xml:space="preserve">- </w:t>
      </w:r>
      <w:r w:rsidRPr="000D0745">
        <w:rPr>
          <w:rFonts w:ascii="Cambria" w:hAnsi="Cambria"/>
          <w:sz w:val="26"/>
          <w:szCs w:val="26"/>
        </w:rPr>
        <w:t xml:space="preserve">So sánh trực diện đường cong sinh tồn khi dùng TyHGB đơn độc so với khi kết hợp TyHGB cùng các chỉ số </w:t>
      </w:r>
      <w:r>
        <w:rPr>
          <w:rFonts w:ascii="Cambria" w:hAnsi="Cambria"/>
          <w:sz w:val="26"/>
          <w:szCs w:val="26"/>
        </w:rPr>
        <w:t>nhân trắc khác</w:t>
      </w:r>
      <w:r w:rsidRPr="000D0745">
        <w:rPr>
          <w:rFonts w:ascii="Cambria" w:hAnsi="Cambria"/>
          <w:sz w:val="26"/>
          <w:szCs w:val="26"/>
        </w:rPr>
        <w:t xml:space="preserve"> (ABSI, WWI, WHtR)</w:t>
      </w:r>
      <w:r>
        <w:rPr>
          <w:rFonts w:ascii="Cambria" w:hAnsi="Cambria"/>
          <w:sz w:val="26"/>
          <w:szCs w:val="26"/>
        </w:rPr>
        <w:t>.</w:t>
      </w:r>
    </w:p>
    <w:p w14:paraId="4C7AF668" w14:textId="359DB610" w:rsidR="000D0745" w:rsidRDefault="000D0745" w:rsidP="000D0745">
      <w:pPr>
        <w:jc w:val="both"/>
        <w:rPr>
          <w:rFonts w:ascii="Cambria" w:hAnsi="Cambria"/>
          <w:sz w:val="26"/>
          <w:szCs w:val="26"/>
        </w:rPr>
      </w:pPr>
      <w:r>
        <w:rPr>
          <w:rFonts w:ascii="Cambria" w:hAnsi="Cambria"/>
          <w:sz w:val="26"/>
          <w:szCs w:val="26"/>
        </w:rPr>
        <w:t xml:space="preserve">Bước 5. </w:t>
      </w:r>
      <w:r w:rsidRPr="000D0745">
        <w:rPr>
          <w:rFonts w:ascii="Cambria" w:hAnsi="Cambria"/>
          <w:sz w:val="26"/>
          <w:szCs w:val="26"/>
        </w:rPr>
        <w:t>Time-dependent ROC</w:t>
      </w:r>
    </w:p>
    <w:p w14:paraId="0DDB2308" w14:textId="5F9B7817" w:rsidR="000D0745" w:rsidRDefault="000D0745" w:rsidP="000D0745">
      <w:pPr>
        <w:jc w:val="both"/>
        <w:rPr>
          <w:rFonts w:ascii="Cambria" w:hAnsi="Cambria"/>
          <w:sz w:val="26"/>
          <w:szCs w:val="26"/>
        </w:rPr>
      </w:pPr>
      <w:r>
        <w:rPr>
          <w:rFonts w:ascii="Cambria" w:hAnsi="Cambria"/>
          <w:sz w:val="26"/>
          <w:szCs w:val="26"/>
        </w:rPr>
        <w:t xml:space="preserve">- </w:t>
      </w:r>
      <w:r w:rsidRPr="000D0745">
        <w:rPr>
          <w:rFonts w:ascii="Cambria" w:hAnsi="Cambria"/>
          <w:sz w:val="26"/>
          <w:szCs w:val="26"/>
        </w:rPr>
        <w:t>Đánh giá khả năng phân biệt (Discrimination) của mô hình tại các mốc thời gian cụ thể (3, 5, và 10 năm)</w:t>
      </w:r>
      <w:r w:rsidR="00624554">
        <w:rPr>
          <w:rFonts w:ascii="Cambria" w:hAnsi="Cambria"/>
          <w:sz w:val="26"/>
          <w:szCs w:val="26"/>
        </w:rPr>
        <w:t>.</w:t>
      </w:r>
    </w:p>
    <w:p w14:paraId="3B786945" w14:textId="373D8061" w:rsidR="00624554" w:rsidRDefault="00624554" w:rsidP="000D0745">
      <w:pPr>
        <w:jc w:val="both"/>
        <w:rPr>
          <w:rFonts w:ascii="Cambria" w:hAnsi="Cambria"/>
          <w:sz w:val="26"/>
          <w:szCs w:val="26"/>
        </w:rPr>
      </w:pPr>
      <w:r>
        <w:rPr>
          <w:rFonts w:ascii="Cambria" w:hAnsi="Cambria"/>
          <w:sz w:val="26"/>
          <w:szCs w:val="26"/>
        </w:rPr>
        <w:t xml:space="preserve">- </w:t>
      </w:r>
      <w:r w:rsidRPr="00624554">
        <w:rPr>
          <w:rFonts w:ascii="Cambria" w:hAnsi="Cambria"/>
          <w:sz w:val="26"/>
          <w:szCs w:val="26"/>
        </w:rPr>
        <w:t>Chứng minh AUC của TyHGB duy trì ở mức cao qua thời gian, và việc kết hợp TyHGB với các chỉ số béo phì trung tâm có thể làm tăng nhẹ khả năng dự báo</w:t>
      </w:r>
      <w:r>
        <w:rPr>
          <w:rFonts w:ascii="Cambria" w:hAnsi="Cambria"/>
          <w:sz w:val="26"/>
          <w:szCs w:val="26"/>
        </w:rPr>
        <w:t>, nhưng không đáng kể.</w:t>
      </w:r>
    </w:p>
    <w:p w14:paraId="4917239D" w14:textId="19BEC0A6" w:rsidR="00624554" w:rsidRDefault="00624554" w:rsidP="000D0745">
      <w:pPr>
        <w:jc w:val="both"/>
        <w:rPr>
          <w:rFonts w:ascii="Cambria" w:hAnsi="Cambria"/>
          <w:sz w:val="26"/>
          <w:szCs w:val="26"/>
        </w:rPr>
      </w:pPr>
      <w:r>
        <w:rPr>
          <w:rFonts w:ascii="Cambria" w:hAnsi="Cambria"/>
          <w:sz w:val="26"/>
          <w:szCs w:val="26"/>
        </w:rPr>
        <w:t xml:space="preserve">Bước 6. </w:t>
      </w:r>
      <w:r w:rsidRPr="00624554">
        <w:rPr>
          <w:rFonts w:ascii="Cambria" w:hAnsi="Cambria"/>
          <w:sz w:val="26"/>
          <w:szCs w:val="26"/>
        </w:rPr>
        <w:t>ncremental Predictive Value</w:t>
      </w:r>
    </w:p>
    <w:p w14:paraId="56C04A79" w14:textId="38812E07" w:rsidR="00624554" w:rsidRDefault="00624554" w:rsidP="000D0745">
      <w:pPr>
        <w:jc w:val="both"/>
        <w:rPr>
          <w:rFonts w:ascii="Cambria" w:hAnsi="Cambria"/>
          <w:sz w:val="26"/>
          <w:szCs w:val="26"/>
        </w:rPr>
      </w:pPr>
      <w:r>
        <w:rPr>
          <w:rFonts w:ascii="Cambria" w:hAnsi="Cambria"/>
          <w:sz w:val="26"/>
          <w:szCs w:val="26"/>
        </w:rPr>
        <w:t xml:space="preserve">- </w:t>
      </w:r>
      <w:r w:rsidRPr="00624554">
        <w:rPr>
          <w:rFonts w:ascii="Cambria" w:hAnsi="Cambria"/>
          <w:sz w:val="26"/>
          <w:szCs w:val="26"/>
        </w:rPr>
        <w:t xml:space="preserve">Các chỉ số C-index, NRI và IDI mang giá trị dương và p &lt; 0.05 chứng minh TyHGB thực sự mang lại lợi ích dự báo vượt trội so với các yếu tố lâm sàng </w:t>
      </w:r>
      <w:r>
        <w:rPr>
          <w:rFonts w:ascii="Cambria" w:hAnsi="Cambria"/>
          <w:sz w:val="26"/>
          <w:szCs w:val="26"/>
        </w:rPr>
        <w:t>khác</w:t>
      </w:r>
      <w:r w:rsidRPr="00624554">
        <w:rPr>
          <w:rFonts w:ascii="Cambria" w:hAnsi="Cambria"/>
          <w:sz w:val="26"/>
          <w:szCs w:val="26"/>
        </w:rPr>
        <w:t>.</w:t>
      </w:r>
    </w:p>
    <w:p w14:paraId="0E8F6330" w14:textId="2C2F1CD8" w:rsidR="00624554" w:rsidRDefault="00624554" w:rsidP="000D0745">
      <w:pPr>
        <w:jc w:val="both"/>
        <w:rPr>
          <w:rFonts w:ascii="Cambria" w:hAnsi="Cambria"/>
          <w:sz w:val="26"/>
          <w:szCs w:val="26"/>
        </w:rPr>
      </w:pPr>
      <w:r>
        <w:rPr>
          <w:rFonts w:ascii="Cambria" w:hAnsi="Cambria"/>
          <w:sz w:val="26"/>
          <w:szCs w:val="26"/>
        </w:rPr>
        <w:lastRenderedPageBreak/>
        <w:t xml:space="preserve">Bước 7 và Bước 14. </w:t>
      </w:r>
      <w:r w:rsidRPr="00624554">
        <w:rPr>
          <w:rFonts w:ascii="Cambria" w:hAnsi="Cambria"/>
          <w:sz w:val="26"/>
          <w:szCs w:val="26"/>
        </w:rPr>
        <w:t>Dose-response (RCS) và Threshold Effect</w:t>
      </w:r>
    </w:p>
    <w:p w14:paraId="0584DE24" w14:textId="70C44BD5" w:rsidR="00624554" w:rsidRDefault="00624554" w:rsidP="000D0745">
      <w:pPr>
        <w:jc w:val="both"/>
        <w:rPr>
          <w:rFonts w:ascii="Cambria" w:hAnsi="Cambria"/>
          <w:sz w:val="26"/>
          <w:szCs w:val="26"/>
        </w:rPr>
      </w:pPr>
      <w:r>
        <w:rPr>
          <w:rFonts w:ascii="Cambria" w:hAnsi="Cambria"/>
          <w:sz w:val="26"/>
          <w:szCs w:val="26"/>
        </w:rPr>
        <w:t xml:space="preserve">- </w:t>
      </w:r>
      <w:r w:rsidRPr="00624554">
        <w:rPr>
          <w:rFonts w:ascii="Cambria" w:hAnsi="Cambria"/>
          <w:sz w:val="26"/>
          <w:szCs w:val="26"/>
        </w:rPr>
        <w:t>Biểu đồ RCS giúp phát hiện xem đường biểu diễn nguy cơ tử vong là đường thẳng hay đường cong. Từ đường cong đó, Bước 14 dùng thuật toán dò tìm ra chính xác</w:t>
      </w:r>
      <w:r>
        <w:rPr>
          <w:rFonts w:ascii="Cambria" w:hAnsi="Cambria"/>
          <w:sz w:val="26"/>
          <w:szCs w:val="26"/>
        </w:rPr>
        <w:t xml:space="preserve"> </w:t>
      </w:r>
      <w:r w:rsidRPr="00624554">
        <w:rPr>
          <w:rFonts w:ascii="Cambria" w:hAnsi="Cambria"/>
          <w:sz w:val="26"/>
          <w:szCs w:val="26"/>
        </w:rPr>
        <w:t xml:space="preserve">Điểm </w:t>
      </w:r>
      <w:r>
        <w:rPr>
          <w:rFonts w:ascii="Cambria" w:hAnsi="Cambria"/>
          <w:sz w:val="26"/>
          <w:szCs w:val="26"/>
        </w:rPr>
        <w:t xml:space="preserve">uốn trên đường cong </w:t>
      </w:r>
      <w:r w:rsidRPr="00624554">
        <w:rPr>
          <w:rFonts w:ascii="Cambria" w:hAnsi="Cambria"/>
          <w:sz w:val="26"/>
          <w:szCs w:val="26"/>
        </w:rPr>
        <w:t>(Inflection point)</w:t>
      </w:r>
      <w:r>
        <w:rPr>
          <w:rFonts w:ascii="Cambria" w:hAnsi="Cambria"/>
          <w:sz w:val="26"/>
          <w:szCs w:val="26"/>
        </w:rPr>
        <w:t>.</w:t>
      </w:r>
    </w:p>
    <w:p w14:paraId="298FCB08" w14:textId="2D1B0EBF" w:rsidR="00624554" w:rsidRDefault="00624554" w:rsidP="000D0745">
      <w:pPr>
        <w:jc w:val="both"/>
        <w:rPr>
          <w:rFonts w:ascii="Cambria" w:hAnsi="Cambria"/>
          <w:sz w:val="26"/>
          <w:szCs w:val="26"/>
        </w:rPr>
      </w:pPr>
      <w:r>
        <w:rPr>
          <w:rFonts w:ascii="Cambria" w:hAnsi="Cambria"/>
          <w:sz w:val="26"/>
          <w:szCs w:val="26"/>
        </w:rPr>
        <w:t>- C</w:t>
      </w:r>
      <w:r w:rsidRPr="00624554">
        <w:rPr>
          <w:rFonts w:ascii="Cambria" w:hAnsi="Cambria"/>
          <w:sz w:val="26"/>
          <w:szCs w:val="26"/>
        </w:rPr>
        <w:t xml:space="preserve">ung cấp một "Cut-off point" cụ thể để chuyển từ biến định lượng sang biến định tính (High/Low risk) để </w:t>
      </w:r>
      <w:r>
        <w:rPr>
          <w:rFonts w:ascii="Cambria" w:hAnsi="Cambria"/>
          <w:sz w:val="26"/>
          <w:szCs w:val="26"/>
        </w:rPr>
        <w:t>hỗ trợ quyết định trên lâm sàng.</w:t>
      </w:r>
    </w:p>
    <w:p w14:paraId="753DA66C" w14:textId="1BE4BF87" w:rsidR="00624554" w:rsidRDefault="00624554" w:rsidP="000D0745">
      <w:pPr>
        <w:jc w:val="both"/>
        <w:rPr>
          <w:rFonts w:ascii="Cambria" w:hAnsi="Cambria"/>
          <w:sz w:val="26"/>
          <w:szCs w:val="26"/>
        </w:rPr>
      </w:pPr>
      <w:r>
        <w:rPr>
          <w:rFonts w:ascii="Cambria" w:hAnsi="Cambria"/>
          <w:sz w:val="26"/>
          <w:szCs w:val="26"/>
        </w:rPr>
        <w:t>Bước 8. Subgroup Analysis</w:t>
      </w:r>
    </w:p>
    <w:p w14:paraId="237DDC2E" w14:textId="59047A71" w:rsidR="00624554" w:rsidRDefault="00624554" w:rsidP="000D0745">
      <w:pPr>
        <w:jc w:val="both"/>
        <w:rPr>
          <w:rFonts w:ascii="Cambria" w:hAnsi="Cambria"/>
          <w:sz w:val="26"/>
          <w:szCs w:val="26"/>
        </w:rPr>
      </w:pPr>
      <w:r>
        <w:rPr>
          <w:rFonts w:ascii="Cambria" w:hAnsi="Cambria"/>
          <w:sz w:val="26"/>
          <w:szCs w:val="26"/>
        </w:rPr>
        <w:t xml:space="preserve">- </w:t>
      </w:r>
      <w:r w:rsidRPr="00624554">
        <w:rPr>
          <w:rFonts w:ascii="Cambria" w:hAnsi="Cambria"/>
          <w:sz w:val="26"/>
          <w:szCs w:val="26"/>
        </w:rPr>
        <w:t>Chứng minh TyHGB là một yếu tố tiên lượng mạnh mẽ và ổn định (robust) trên mọi đối tượng bệnh nhân MASLD</w:t>
      </w:r>
      <w:r>
        <w:rPr>
          <w:rFonts w:ascii="Cambria" w:hAnsi="Cambria"/>
          <w:sz w:val="26"/>
          <w:szCs w:val="26"/>
        </w:rPr>
        <w:t>.</w:t>
      </w:r>
    </w:p>
    <w:p w14:paraId="1B74156A" w14:textId="1FF26D06" w:rsidR="00624554" w:rsidRDefault="00624554" w:rsidP="000D0745">
      <w:pPr>
        <w:jc w:val="both"/>
        <w:rPr>
          <w:rFonts w:ascii="Cambria" w:hAnsi="Cambria"/>
          <w:sz w:val="26"/>
          <w:szCs w:val="26"/>
        </w:rPr>
      </w:pPr>
      <w:r>
        <w:rPr>
          <w:rFonts w:ascii="Cambria" w:hAnsi="Cambria"/>
          <w:sz w:val="26"/>
          <w:szCs w:val="26"/>
        </w:rPr>
        <w:t>Bước 9 &amp; Bước 15. Mediation analysis</w:t>
      </w:r>
    </w:p>
    <w:p w14:paraId="5B267474" w14:textId="78BD5BBD" w:rsidR="00624554" w:rsidRDefault="00624554" w:rsidP="000D0745">
      <w:pPr>
        <w:jc w:val="both"/>
        <w:rPr>
          <w:rFonts w:ascii="Cambria" w:hAnsi="Cambria"/>
          <w:sz w:val="26"/>
          <w:szCs w:val="26"/>
        </w:rPr>
      </w:pPr>
      <w:r>
        <w:rPr>
          <w:rFonts w:ascii="Cambria" w:hAnsi="Cambria"/>
          <w:sz w:val="26"/>
          <w:szCs w:val="26"/>
        </w:rPr>
        <w:t xml:space="preserve">- </w:t>
      </w:r>
      <w:r w:rsidRPr="00624554">
        <w:rPr>
          <w:rFonts w:ascii="Cambria" w:hAnsi="Cambria"/>
          <w:sz w:val="26"/>
          <w:szCs w:val="26"/>
        </w:rPr>
        <w:t xml:space="preserve">Giải thích </w:t>
      </w:r>
      <w:r w:rsidRPr="00624554">
        <w:rPr>
          <w:rFonts w:ascii="Cambria" w:hAnsi="Cambria"/>
          <w:i/>
          <w:iCs/>
          <w:sz w:val="26"/>
          <w:szCs w:val="26"/>
        </w:rPr>
        <w:t>tại sao</w:t>
      </w:r>
      <w:r w:rsidRPr="00624554">
        <w:rPr>
          <w:rFonts w:ascii="Cambria" w:hAnsi="Cambria"/>
          <w:sz w:val="26"/>
          <w:szCs w:val="26"/>
        </w:rPr>
        <w:t xml:space="preserve"> TyHGB lại gây tử vong</w:t>
      </w:r>
      <w:r>
        <w:rPr>
          <w:rFonts w:ascii="Cambria" w:hAnsi="Cambria"/>
          <w:sz w:val="26"/>
          <w:szCs w:val="26"/>
        </w:rPr>
        <w:t xml:space="preserve"> t</w:t>
      </w:r>
      <w:r w:rsidRPr="00624554">
        <w:rPr>
          <w:rFonts w:ascii="Cambria" w:hAnsi="Cambria"/>
          <w:sz w:val="26"/>
          <w:szCs w:val="26"/>
        </w:rPr>
        <w:t>hông qua Uric Acid (chuyển hóa purin) và WBC (viêm hệ thống)</w:t>
      </w:r>
    </w:p>
    <w:p w14:paraId="17AB7EE2" w14:textId="52095963" w:rsidR="00624554" w:rsidRDefault="00624554" w:rsidP="000D0745">
      <w:pPr>
        <w:jc w:val="both"/>
        <w:rPr>
          <w:rFonts w:ascii="Cambria" w:hAnsi="Cambria"/>
          <w:sz w:val="26"/>
          <w:szCs w:val="26"/>
        </w:rPr>
      </w:pPr>
      <w:r>
        <w:rPr>
          <w:rFonts w:ascii="Cambria" w:hAnsi="Cambria"/>
          <w:sz w:val="26"/>
          <w:szCs w:val="26"/>
        </w:rPr>
        <w:t xml:space="preserve">Bước 10. </w:t>
      </w:r>
      <w:r w:rsidRPr="00624554">
        <w:rPr>
          <w:rFonts w:ascii="Cambria" w:hAnsi="Cambria"/>
          <w:sz w:val="26"/>
          <w:szCs w:val="26"/>
        </w:rPr>
        <w:t>Competing Risk Analysis - Fine-Gray Model</w:t>
      </w:r>
    </w:p>
    <w:p w14:paraId="15EFC088" w14:textId="757209E8" w:rsidR="00624554" w:rsidRDefault="00624554" w:rsidP="000D0745">
      <w:pPr>
        <w:jc w:val="both"/>
        <w:rPr>
          <w:rFonts w:ascii="Cambria" w:hAnsi="Cambria"/>
          <w:sz w:val="26"/>
          <w:szCs w:val="26"/>
        </w:rPr>
      </w:pPr>
      <w:r>
        <w:rPr>
          <w:rFonts w:ascii="Cambria" w:hAnsi="Cambria"/>
          <w:sz w:val="26"/>
          <w:szCs w:val="26"/>
        </w:rPr>
        <w:t xml:space="preserve">- </w:t>
      </w:r>
      <w:r w:rsidRPr="00624554">
        <w:rPr>
          <w:rFonts w:ascii="Cambria" w:hAnsi="Cambria"/>
          <w:sz w:val="26"/>
          <w:szCs w:val="26"/>
        </w:rPr>
        <w:t>Trong dự báo tử vong tim mạch (CVM), bệnh nhân có thể chết vì nguyên nhân khác (ung thư, tai nạn...) trước khi chết vì bệnh tim.</w:t>
      </w:r>
      <w:r>
        <w:rPr>
          <w:rFonts w:ascii="Cambria" w:hAnsi="Cambria"/>
          <w:sz w:val="26"/>
          <w:szCs w:val="26"/>
        </w:rPr>
        <w:t xml:space="preserve"> </w:t>
      </w:r>
      <w:r w:rsidRPr="00624554">
        <w:rPr>
          <w:rFonts w:ascii="Cambria" w:hAnsi="Cambria"/>
          <w:sz w:val="26"/>
          <w:szCs w:val="26"/>
        </w:rPr>
        <w:t>Mô hình Fine-Gray hiệu chỉnh cho nguy cơ cạnh tranh này, giúp khẳng định HR của TyHGB đối với CVM là con số thực.</w:t>
      </w:r>
    </w:p>
    <w:p w14:paraId="303B71BE" w14:textId="79F81213" w:rsidR="00624554" w:rsidRDefault="00624554" w:rsidP="000D0745">
      <w:pPr>
        <w:jc w:val="both"/>
        <w:rPr>
          <w:rFonts w:ascii="Cambria" w:hAnsi="Cambria"/>
          <w:sz w:val="26"/>
          <w:szCs w:val="26"/>
        </w:rPr>
      </w:pPr>
      <w:r>
        <w:rPr>
          <w:rFonts w:ascii="Cambria" w:hAnsi="Cambria"/>
          <w:sz w:val="26"/>
          <w:szCs w:val="26"/>
        </w:rPr>
        <w:t xml:space="preserve">Bước 11 và Bước 12. </w:t>
      </w:r>
      <w:r w:rsidRPr="00624554">
        <w:rPr>
          <w:rFonts w:ascii="Cambria" w:hAnsi="Cambria"/>
          <w:sz w:val="26"/>
          <w:szCs w:val="26"/>
        </w:rPr>
        <w:t>Nomogram và Calibration Plot</w:t>
      </w:r>
    </w:p>
    <w:p w14:paraId="09EF4572" w14:textId="222E650C" w:rsidR="00624554" w:rsidRDefault="00624554" w:rsidP="000D0745">
      <w:pPr>
        <w:jc w:val="both"/>
        <w:rPr>
          <w:rFonts w:ascii="Cambria" w:hAnsi="Cambria"/>
          <w:sz w:val="26"/>
          <w:szCs w:val="26"/>
        </w:rPr>
      </w:pPr>
      <w:r>
        <w:rPr>
          <w:rFonts w:ascii="Cambria" w:hAnsi="Cambria"/>
          <w:sz w:val="26"/>
          <w:szCs w:val="26"/>
        </w:rPr>
        <w:t xml:space="preserve">- </w:t>
      </w:r>
      <w:r w:rsidRPr="00624554">
        <w:rPr>
          <w:rFonts w:ascii="Cambria" w:hAnsi="Cambria"/>
          <w:sz w:val="26"/>
          <w:szCs w:val="26"/>
        </w:rPr>
        <w:t>Bước 11 tạo ra một "thang điểm" trực quan (Nomogram) để bác sĩ cầm tay tính xác suất sống còn 3-5-10 năm của bệnh nhân. Bước 12 (Calibration) kiểm tra xem điểm số đó dự báo có khớp với thực tế hay không.</w:t>
      </w:r>
    </w:p>
    <w:p w14:paraId="67561382" w14:textId="0D2DA4D1" w:rsidR="00624554" w:rsidRDefault="00624554" w:rsidP="000D0745">
      <w:pPr>
        <w:jc w:val="both"/>
        <w:rPr>
          <w:rFonts w:ascii="Cambria" w:hAnsi="Cambria"/>
          <w:sz w:val="26"/>
          <w:szCs w:val="26"/>
        </w:rPr>
      </w:pPr>
      <w:r w:rsidRPr="00624554">
        <w:rPr>
          <w:rFonts w:ascii="Cambria" w:hAnsi="Cambria"/>
          <w:sz w:val="26"/>
          <w:szCs w:val="26"/>
        </w:rPr>
        <w:t>Bước 13</w:t>
      </w:r>
      <w:r>
        <w:rPr>
          <w:rFonts w:ascii="Cambria" w:hAnsi="Cambria"/>
          <w:sz w:val="26"/>
          <w:szCs w:val="26"/>
        </w:rPr>
        <w:t>.</w:t>
      </w:r>
      <w:r w:rsidRPr="00624554">
        <w:rPr>
          <w:rFonts w:ascii="Cambria" w:hAnsi="Cambria"/>
          <w:sz w:val="26"/>
          <w:szCs w:val="26"/>
        </w:rPr>
        <w:t xml:space="preserve"> Decision Curve Analysis </w:t>
      </w:r>
      <w:r>
        <w:rPr>
          <w:rFonts w:ascii="Cambria" w:hAnsi="Cambria"/>
          <w:sz w:val="26"/>
          <w:szCs w:val="26"/>
        </w:rPr>
        <w:t>–</w:t>
      </w:r>
      <w:r w:rsidRPr="00624554">
        <w:rPr>
          <w:rFonts w:ascii="Cambria" w:hAnsi="Cambria"/>
          <w:sz w:val="26"/>
          <w:szCs w:val="26"/>
        </w:rPr>
        <w:t xml:space="preserve"> DCA</w:t>
      </w:r>
    </w:p>
    <w:p w14:paraId="30B62E75" w14:textId="26702A03" w:rsidR="00624554" w:rsidRDefault="00624554" w:rsidP="000D0745">
      <w:pPr>
        <w:jc w:val="both"/>
        <w:rPr>
          <w:rFonts w:ascii="Cambria" w:hAnsi="Cambria"/>
          <w:sz w:val="26"/>
          <w:szCs w:val="26"/>
        </w:rPr>
      </w:pPr>
      <w:r>
        <w:rPr>
          <w:rFonts w:ascii="Cambria" w:hAnsi="Cambria"/>
          <w:sz w:val="26"/>
          <w:szCs w:val="26"/>
        </w:rPr>
        <w:t xml:space="preserve">- </w:t>
      </w:r>
      <w:r w:rsidRPr="00624554">
        <w:rPr>
          <w:rFonts w:ascii="Cambria" w:hAnsi="Cambria"/>
          <w:sz w:val="26"/>
          <w:szCs w:val="26"/>
        </w:rPr>
        <w:t>Đánh giá lợi ích ròng (Net Benefit).</w:t>
      </w:r>
    </w:p>
    <w:p w14:paraId="218EEF21" w14:textId="1BA024DF" w:rsidR="00624554" w:rsidRDefault="00624554" w:rsidP="000D0745">
      <w:pPr>
        <w:jc w:val="both"/>
        <w:rPr>
          <w:rFonts w:ascii="Cambria" w:hAnsi="Cambria"/>
          <w:sz w:val="26"/>
          <w:szCs w:val="26"/>
        </w:rPr>
      </w:pPr>
      <w:r>
        <w:rPr>
          <w:rFonts w:ascii="Cambria" w:hAnsi="Cambria"/>
          <w:sz w:val="26"/>
          <w:szCs w:val="26"/>
        </w:rPr>
        <w:t>Bước 16. Phân tích độ nhạy khi l</w:t>
      </w:r>
      <w:r w:rsidRPr="00624554">
        <w:rPr>
          <w:rFonts w:ascii="Cambria" w:hAnsi="Cambria"/>
          <w:sz w:val="26"/>
          <w:szCs w:val="26"/>
        </w:rPr>
        <w:t>oại trừ ca tử vong dưới 24 tháng</w:t>
      </w:r>
    </w:p>
    <w:p w14:paraId="1AFB0A35" w14:textId="5860336A" w:rsidR="00624554" w:rsidRDefault="00624554" w:rsidP="000D0745">
      <w:pPr>
        <w:jc w:val="both"/>
        <w:rPr>
          <w:rFonts w:ascii="Cambria" w:hAnsi="Cambria"/>
          <w:sz w:val="26"/>
          <w:szCs w:val="26"/>
        </w:rPr>
      </w:pPr>
      <w:r>
        <w:rPr>
          <w:rFonts w:ascii="Cambria" w:hAnsi="Cambria"/>
          <w:sz w:val="26"/>
          <w:szCs w:val="26"/>
        </w:rPr>
        <w:t xml:space="preserve">- </w:t>
      </w:r>
      <w:r w:rsidRPr="00624554">
        <w:rPr>
          <w:rFonts w:ascii="Cambria" w:hAnsi="Cambria"/>
          <w:sz w:val="26"/>
          <w:szCs w:val="26"/>
        </w:rPr>
        <w:t xml:space="preserve">Bác bỏ giả thuyết cho rằng bệnh nhân có TyHGB cao là do họ đang mắc bệnh </w:t>
      </w:r>
      <w:r>
        <w:rPr>
          <w:rFonts w:ascii="Cambria" w:hAnsi="Cambria"/>
          <w:sz w:val="26"/>
          <w:szCs w:val="26"/>
        </w:rPr>
        <w:t>gì đó</w:t>
      </w:r>
      <w:r w:rsidRPr="00624554">
        <w:rPr>
          <w:rFonts w:ascii="Cambria" w:hAnsi="Cambria"/>
          <w:sz w:val="26"/>
          <w:szCs w:val="26"/>
        </w:rPr>
        <w:t xml:space="preserve"> sắp </w:t>
      </w:r>
      <w:r>
        <w:rPr>
          <w:rFonts w:ascii="Cambria" w:hAnsi="Cambria"/>
          <w:sz w:val="26"/>
          <w:szCs w:val="26"/>
        </w:rPr>
        <w:t>tử vong</w:t>
      </w:r>
      <w:r w:rsidRPr="00624554">
        <w:rPr>
          <w:rFonts w:ascii="Cambria" w:hAnsi="Cambria"/>
          <w:sz w:val="26"/>
          <w:szCs w:val="26"/>
        </w:rPr>
        <w:t>. Bằng cách bỏ đi những người chết trong 2 năm đầu, nếu TyHGB vẫn có ý nghĩa (p &lt; 0.05</w:t>
      </w:r>
      <w:r>
        <w:rPr>
          <w:rFonts w:ascii="Cambria" w:hAnsi="Cambria"/>
          <w:sz w:val="26"/>
          <w:szCs w:val="26"/>
        </w:rPr>
        <w:t xml:space="preserve">) thì </w:t>
      </w:r>
      <w:r w:rsidRPr="00624554">
        <w:rPr>
          <w:rFonts w:ascii="Cambria" w:hAnsi="Cambria"/>
          <w:sz w:val="26"/>
          <w:szCs w:val="26"/>
        </w:rPr>
        <w:t>TyHGB là nguyên nhân tiên lượng dài hạn.</w:t>
      </w:r>
    </w:p>
    <w:p w14:paraId="2FC3D1F1" w14:textId="7BC8DA71" w:rsidR="00624554" w:rsidRDefault="00624554" w:rsidP="000D0745">
      <w:pPr>
        <w:jc w:val="both"/>
        <w:rPr>
          <w:rFonts w:ascii="Cambria" w:hAnsi="Cambria"/>
          <w:sz w:val="26"/>
          <w:szCs w:val="26"/>
        </w:rPr>
      </w:pPr>
      <w:r>
        <w:rPr>
          <w:rFonts w:ascii="Cambria" w:hAnsi="Cambria"/>
          <w:sz w:val="26"/>
          <w:szCs w:val="26"/>
        </w:rPr>
        <w:t xml:space="preserve">Bước 17. </w:t>
      </w:r>
      <w:r w:rsidR="00E67EA0" w:rsidRPr="00E67EA0">
        <w:rPr>
          <w:rFonts w:ascii="Cambria" w:hAnsi="Cambria"/>
          <w:sz w:val="26"/>
          <w:szCs w:val="26"/>
        </w:rPr>
        <w:t>Multiple Imputation Stability Check</w:t>
      </w:r>
    </w:p>
    <w:p w14:paraId="355E4FBC" w14:textId="04F40D10" w:rsidR="00E67EA0" w:rsidRDefault="00E67EA0" w:rsidP="000D0745">
      <w:pPr>
        <w:jc w:val="both"/>
        <w:rPr>
          <w:rFonts w:ascii="Cambria" w:hAnsi="Cambria"/>
          <w:sz w:val="26"/>
          <w:szCs w:val="26"/>
        </w:rPr>
      </w:pPr>
      <w:r>
        <w:rPr>
          <w:rFonts w:ascii="Cambria" w:hAnsi="Cambria"/>
          <w:sz w:val="26"/>
          <w:szCs w:val="26"/>
        </w:rPr>
        <w:t xml:space="preserve">- </w:t>
      </w:r>
      <w:r w:rsidRPr="00E67EA0">
        <w:rPr>
          <w:rFonts w:ascii="Cambria" w:hAnsi="Cambria"/>
          <w:sz w:val="26"/>
          <w:szCs w:val="26"/>
        </w:rPr>
        <w:t>Kiểm tra sức chịu đựng của mô hình với dữ liệu khuyết thiếu.</w:t>
      </w:r>
    </w:p>
    <w:p w14:paraId="79155D8F" w14:textId="4C7D3F5B" w:rsidR="00E67EA0" w:rsidRDefault="00E67EA0" w:rsidP="000D0745">
      <w:pPr>
        <w:jc w:val="both"/>
        <w:rPr>
          <w:rFonts w:ascii="Cambria" w:hAnsi="Cambria"/>
          <w:sz w:val="26"/>
          <w:szCs w:val="26"/>
        </w:rPr>
      </w:pPr>
      <w:r>
        <w:rPr>
          <w:rFonts w:ascii="Cambria" w:hAnsi="Cambria"/>
          <w:sz w:val="26"/>
          <w:szCs w:val="26"/>
        </w:rPr>
        <w:lastRenderedPageBreak/>
        <w:t xml:space="preserve">- Với </w:t>
      </w:r>
      <w:r w:rsidRPr="00E67EA0">
        <w:rPr>
          <w:rFonts w:ascii="Cambria" w:hAnsi="Cambria"/>
          <w:sz w:val="26"/>
          <w:szCs w:val="26"/>
        </w:rPr>
        <w:t xml:space="preserve">20 lần nội suy dữ liệu để chứng minh rằng ngay cả khi dữ liệu có nhiều biến thể do </w:t>
      </w:r>
      <w:r>
        <w:rPr>
          <w:rFonts w:ascii="Cambria" w:hAnsi="Cambria"/>
          <w:sz w:val="26"/>
          <w:szCs w:val="26"/>
        </w:rPr>
        <w:t>khuyết dữ liệu</w:t>
      </w:r>
      <w:r w:rsidRPr="00E67EA0">
        <w:rPr>
          <w:rFonts w:ascii="Cambria" w:hAnsi="Cambria"/>
          <w:sz w:val="26"/>
          <w:szCs w:val="26"/>
        </w:rPr>
        <w:t xml:space="preserve"> (imputation), HR của nhóm </w:t>
      </w:r>
      <w:r>
        <w:rPr>
          <w:rFonts w:ascii="Cambria" w:hAnsi="Cambria"/>
          <w:sz w:val="26"/>
          <w:szCs w:val="26"/>
        </w:rPr>
        <w:t>High-</w:t>
      </w:r>
      <w:r w:rsidRPr="00E67EA0">
        <w:rPr>
          <w:rFonts w:ascii="Cambria" w:hAnsi="Cambria"/>
          <w:sz w:val="26"/>
          <w:szCs w:val="26"/>
        </w:rPr>
        <w:t>TyHGB</w:t>
      </w:r>
      <w:r>
        <w:rPr>
          <w:rFonts w:ascii="Cambria" w:hAnsi="Cambria"/>
          <w:sz w:val="26"/>
          <w:szCs w:val="26"/>
        </w:rPr>
        <w:t xml:space="preserve"> </w:t>
      </w:r>
      <w:r w:rsidRPr="00E67EA0">
        <w:rPr>
          <w:rFonts w:ascii="Cambria" w:hAnsi="Cambria"/>
          <w:sz w:val="26"/>
          <w:szCs w:val="26"/>
        </w:rPr>
        <w:t>vẫn ổn định và luôn &gt; 1.</w:t>
      </w:r>
    </w:p>
    <w:p w14:paraId="36AB9B96" w14:textId="77777777" w:rsidR="00624554" w:rsidRPr="000D0745" w:rsidRDefault="00624554" w:rsidP="000D0745">
      <w:pPr>
        <w:jc w:val="both"/>
        <w:rPr>
          <w:rFonts w:ascii="Cambria" w:hAnsi="Cambria"/>
          <w:sz w:val="26"/>
          <w:szCs w:val="26"/>
        </w:rPr>
      </w:pPr>
    </w:p>
    <w:sectPr w:rsidR="00624554" w:rsidRPr="000D07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EB143D"/>
    <w:multiLevelType w:val="multilevel"/>
    <w:tmpl w:val="2182ED8E"/>
    <w:lvl w:ilvl="0">
      <w:start w:val="1"/>
      <w:numFmt w:val="decimal"/>
      <w:pStyle w:val="Heading1"/>
      <w:suff w:val="space"/>
      <w:lvlText w:val="CHƯƠNG %1:"/>
      <w:lvlJc w:val="left"/>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pStyle w:val="Heading2"/>
      <w:suff w:val="space"/>
      <w:lvlText w:val="%1.%2."/>
      <w:lvlJc w:val="left"/>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suff w:val="space"/>
      <w:lvlText w:val="%1.%2.%3."/>
      <w:lvlJc w:val="left"/>
      <w:rPr>
        <w:rFonts w:ascii="Times New Roman" w:hAnsi="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Heading4"/>
      <w:suff w:val="space"/>
      <w:lvlText w:val="%1.%2.%3.%4."/>
      <w:lvlJc w:val="left"/>
      <w:pPr>
        <w:ind w:left="720" w:hanging="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69ED6EA2"/>
    <w:multiLevelType w:val="hybridMultilevel"/>
    <w:tmpl w:val="07B88A66"/>
    <w:lvl w:ilvl="0" w:tplc="F40AC7E4">
      <w:start w:val="1"/>
      <w:numFmt w:val="bullet"/>
      <w:pStyle w:val="2"/>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01">
      <w:start w:val="1"/>
      <w:numFmt w:val="bullet"/>
      <w:lvlText w:val=""/>
      <w:lvlJc w:val="left"/>
      <w:pPr>
        <w:ind w:left="3600" w:hanging="360"/>
      </w:pPr>
      <w:rPr>
        <w:rFonts w:ascii="Symbol" w:hAnsi="Symbol" w:hint="default"/>
      </w:rPr>
    </w:lvl>
    <w:lvl w:ilvl="5" w:tplc="43D46698">
      <w:start w:val="1"/>
      <w:numFmt w:val="upperLetter"/>
      <w:lvlText w:val="%6."/>
      <w:lvlJc w:val="left"/>
      <w:pPr>
        <w:ind w:left="450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604BD2"/>
    <w:multiLevelType w:val="hybridMultilevel"/>
    <w:tmpl w:val="D10EAE7E"/>
    <w:lvl w:ilvl="0" w:tplc="B87E4092">
      <w:numFmt w:val="bullet"/>
      <w:pStyle w:val="1"/>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0701303">
    <w:abstractNumId w:val="0"/>
  </w:num>
  <w:num w:numId="2" w16cid:durableId="709187803">
    <w:abstractNumId w:val="0"/>
  </w:num>
  <w:num w:numId="3" w16cid:durableId="450977427">
    <w:abstractNumId w:val="0"/>
  </w:num>
  <w:num w:numId="4" w16cid:durableId="1526139678">
    <w:abstractNumId w:val="0"/>
  </w:num>
  <w:num w:numId="5" w16cid:durableId="131485453">
    <w:abstractNumId w:val="0"/>
  </w:num>
  <w:num w:numId="6" w16cid:durableId="1462650333">
    <w:abstractNumId w:val="0"/>
  </w:num>
  <w:num w:numId="7" w16cid:durableId="806239954">
    <w:abstractNumId w:val="0"/>
  </w:num>
  <w:num w:numId="8" w16cid:durableId="283925997">
    <w:abstractNumId w:val="0"/>
  </w:num>
  <w:num w:numId="9" w16cid:durableId="222915711">
    <w:abstractNumId w:val="2"/>
  </w:num>
  <w:num w:numId="10" w16cid:durableId="279607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745"/>
    <w:rsid w:val="000D0745"/>
    <w:rsid w:val="00102C68"/>
    <w:rsid w:val="00116F2F"/>
    <w:rsid w:val="001B6F78"/>
    <w:rsid w:val="002B353A"/>
    <w:rsid w:val="002C0209"/>
    <w:rsid w:val="002D771B"/>
    <w:rsid w:val="003209DF"/>
    <w:rsid w:val="0037052C"/>
    <w:rsid w:val="003815D3"/>
    <w:rsid w:val="003B11E5"/>
    <w:rsid w:val="003D1D78"/>
    <w:rsid w:val="0051550B"/>
    <w:rsid w:val="0052189E"/>
    <w:rsid w:val="00570883"/>
    <w:rsid w:val="0057229D"/>
    <w:rsid w:val="00624554"/>
    <w:rsid w:val="00641D0A"/>
    <w:rsid w:val="006907F1"/>
    <w:rsid w:val="00715CA4"/>
    <w:rsid w:val="007A1132"/>
    <w:rsid w:val="008F5AF0"/>
    <w:rsid w:val="00902A20"/>
    <w:rsid w:val="00AF04F5"/>
    <w:rsid w:val="00B1122B"/>
    <w:rsid w:val="00BA6712"/>
    <w:rsid w:val="00BC7021"/>
    <w:rsid w:val="00C51BBE"/>
    <w:rsid w:val="00C574CE"/>
    <w:rsid w:val="00CF685A"/>
    <w:rsid w:val="00DB2ECC"/>
    <w:rsid w:val="00E67EA0"/>
    <w:rsid w:val="00F51F9E"/>
    <w:rsid w:val="00FB2FFA"/>
    <w:rsid w:val="00FF4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A71AA"/>
  <w15:chartTrackingRefBased/>
  <w15:docId w15:val="{2E6A4958-2F8F-4127-96F1-6A93DDA11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D0A"/>
    <w:pPr>
      <w:keepNext/>
      <w:keepLines/>
      <w:numPr>
        <w:numId w:val="8"/>
      </w:numPr>
      <w:spacing w:before="120" w:after="120" w:line="360" w:lineRule="auto"/>
      <w:jc w:val="center"/>
      <w:outlineLvl w:val="0"/>
    </w:pPr>
    <w:rPr>
      <w:rFonts w:ascii="Times New Roman" w:eastAsiaTheme="majorEastAsia" w:hAnsi="Times New Roman" w:cstheme="majorBidi"/>
      <w:b/>
      <w:kern w:val="0"/>
      <w:sz w:val="32"/>
      <w:szCs w:val="32"/>
      <w14:ligatures w14:val="none"/>
    </w:rPr>
  </w:style>
  <w:style w:type="paragraph" w:styleId="Heading2">
    <w:name w:val="heading 2"/>
    <w:basedOn w:val="Normal"/>
    <w:next w:val="Normal"/>
    <w:link w:val="Heading2Char"/>
    <w:uiPriority w:val="9"/>
    <w:unhideWhenUsed/>
    <w:qFormat/>
    <w:rsid w:val="00641D0A"/>
    <w:pPr>
      <w:keepNext/>
      <w:keepLines/>
      <w:numPr>
        <w:ilvl w:val="1"/>
        <w:numId w:val="8"/>
      </w:numPr>
      <w:spacing w:before="120" w:after="120" w:line="360" w:lineRule="auto"/>
      <w:jc w:val="both"/>
      <w:outlineLvl w:val="1"/>
    </w:pPr>
    <w:rPr>
      <w:rFonts w:ascii="Times New Roman" w:eastAsiaTheme="majorEastAsia" w:hAnsi="Times New Roman" w:cstheme="majorBidi"/>
      <w:b/>
      <w:kern w:val="0"/>
      <w:sz w:val="28"/>
      <w:szCs w:val="26"/>
      <w14:ligatures w14:val="none"/>
    </w:rPr>
  </w:style>
  <w:style w:type="paragraph" w:styleId="Heading3">
    <w:name w:val="heading 3"/>
    <w:basedOn w:val="Normal"/>
    <w:next w:val="Normal"/>
    <w:link w:val="Heading3Char"/>
    <w:uiPriority w:val="9"/>
    <w:unhideWhenUsed/>
    <w:qFormat/>
    <w:rsid w:val="00641D0A"/>
    <w:pPr>
      <w:keepNext/>
      <w:keepLines/>
      <w:numPr>
        <w:ilvl w:val="2"/>
        <w:numId w:val="8"/>
      </w:numPr>
      <w:spacing w:before="120" w:after="120" w:line="360" w:lineRule="auto"/>
      <w:jc w:val="both"/>
      <w:outlineLvl w:val="2"/>
    </w:pPr>
    <w:rPr>
      <w:rFonts w:ascii="Times New Roman" w:eastAsiaTheme="majorEastAsia" w:hAnsi="Times New Roman" w:cstheme="majorBidi"/>
      <w:b/>
      <w:kern w:val="0"/>
      <w:sz w:val="26"/>
      <w14:ligatures w14:val="none"/>
    </w:rPr>
  </w:style>
  <w:style w:type="paragraph" w:styleId="Heading4">
    <w:name w:val="heading 4"/>
    <w:basedOn w:val="Normal"/>
    <w:next w:val="Normal"/>
    <w:link w:val="Heading4Char"/>
    <w:uiPriority w:val="9"/>
    <w:unhideWhenUsed/>
    <w:qFormat/>
    <w:rsid w:val="00641D0A"/>
    <w:pPr>
      <w:keepNext/>
      <w:keepLines/>
      <w:numPr>
        <w:ilvl w:val="3"/>
        <w:numId w:val="8"/>
      </w:numPr>
      <w:spacing w:before="120" w:after="120" w:line="360" w:lineRule="auto"/>
      <w:jc w:val="both"/>
      <w:outlineLvl w:val="3"/>
    </w:pPr>
    <w:rPr>
      <w:rFonts w:ascii="Times New Roman" w:eastAsiaTheme="majorEastAsia" w:hAnsi="Times New Roman" w:cstheme="majorBidi"/>
      <w:b/>
      <w:iCs/>
      <w:kern w:val="0"/>
      <w:sz w:val="26"/>
      <w:szCs w:val="22"/>
      <w14:ligatures w14:val="none"/>
    </w:rPr>
  </w:style>
  <w:style w:type="paragraph" w:styleId="Heading5">
    <w:name w:val="heading 5"/>
    <w:basedOn w:val="Normal"/>
    <w:next w:val="Normal"/>
    <w:link w:val="Heading5Char"/>
    <w:uiPriority w:val="9"/>
    <w:semiHidden/>
    <w:unhideWhenUsed/>
    <w:qFormat/>
    <w:rsid w:val="000D07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7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7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7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7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D0A"/>
    <w:rPr>
      <w:rFonts w:ascii="Times New Roman" w:eastAsiaTheme="majorEastAsia" w:hAnsi="Times New Roman" w:cstheme="majorBidi"/>
      <w:b/>
      <w:kern w:val="0"/>
      <w:sz w:val="32"/>
      <w:szCs w:val="32"/>
      <w14:ligatures w14:val="none"/>
    </w:rPr>
  </w:style>
  <w:style w:type="character" w:customStyle="1" w:styleId="Heading2Char">
    <w:name w:val="Heading 2 Char"/>
    <w:basedOn w:val="DefaultParagraphFont"/>
    <w:link w:val="Heading2"/>
    <w:uiPriority w:val="9"/>
    <w:rsid w:val="00641D0A"/>
    <w:rPr>
      <w:rFonts w:ascii="Times New Roman" w:eastAsiaTheme="majorEastAsia" w:hAnsi="Times New Roman" w:cstheme="majorBidi"/>
      <w:b/>
      <w:kern w:val="0"/>
      <w:sz w:val="28"/>
      <w:szCs w:val="26"/>
      <w14:ligatures w14:val="none"/>
    </w:rPr>
  </w:style>
  <w:style w:type="character" w:customStyle="1" w:styleId="Heading3Char">
    <w:name w:val="Heading 3 Char"/>
    <w:basedOn w:val="DefaultParagraphFont"/>
    <w:link w:val="Heading3"/>
    <w:uiPriority w:val="9"/>
    <w:rsid w:val="00641D0A"/>
    <w:rPr>
      <w:rFonts w:ascii="Times New Roman" w:eastAsiaTheme="majorEastAsia" w:hAnsi="Times New Roman" w:cstheme="majorBidi"/>
      <w:b/>
      <w:kern w:val="0"/>
      <w:sz w:val="26"/>
      <w14:ligatures w14:val="none"/>
    </w:rPr>
  </w:style>
  <w:style w:type="character" w:customStyle="1" w:styleId="Heading4Char">
    <w:name w:val="Heading 4 Char"/>
    <w:basedOn w:val="DefaultParagraphFont"/>
    <w:link w:val="Heading4"/>
    <w:uiPriority w:val="9"/>
    <w:rsid w:val="00641D0A"/>
    <w:rPr>
      <w:rFonts w:ascii="Times New Roman" w:eastAsiaTheme="majorEastAsia" w:hAnsi="Times New Roman" w:cstheme="majorBidi"/>
      <w:b/>
      <w:iCs/>
      <w:kern w:val="0"/>
      <w:sz w:val="26"/>
      <w:szCs w:val="22"/>
      <w14:ligatures w14:val="none"/>
    </w:rPr>
  </w:style>
  <w:style w:type="paragraph" w:customStyle="1" w:styleId="1">
    <w:name w:val="ý 1"/>
    <w:basedOn w:val="Normal"/>
    <w:qFormat/>
    <w:rsid w:val="00641D0A"/>
    <w:pPr>
      <w:numPr>
        <w:numId w:val="9"/>
      </w:numPr>
      <w:spacing w:before="120" w:after="120" w:line="360" w:lineRule="auto"/>
      <w:jc w:val="both"/>
    </w:pPr>
    <w:rPr>
      <w:rFonts w:ascii="Times New Roman" w:hAnsi="Times New Roman" w:cs="Times New Roman"/>
      <w:kern w:val="0"/>
      <w:sz w:val="26"/>
      <w:szCs w:val="26"/>
      <w14:ligatures w14:val="none"/>
    </w:rPr>
  </w:style>
  <w:style w:type="paragraph" w:customStyle="1" w:styleId="2">
    <w:name w:val="ý 2"/>
    <w:basedOn w:val="1"/>
    <w:qFormat/>
    <w:rsid w:val="00641D0A"/>
    <w:pPr>
      <w:numPr>
        <w:numId w:val="10"/>
      </w:numPr>
    </w:pPr>
  </w:style>
  <w:style w:type="character" w:customStyle="1" w:styleId="Heading5Char">
    <w:name w:val="Heading 5 Char"/>
    <w:basedOn w:val="DefaultParagraphFont"/>
    <w:link w:val="Heading5"/>
    <w:uiPriority w:val="9"/>
    <w:semiHidden/>
    <w:rsid w:val="000D07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7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7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7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745"/>
    <w:rPr>
      <w:rFonts w:eastAsiaTheme="majorEastAsia" w:cstheme="majorBidi"/>
      <w:color w:val="272727" w:themeColor="text1" w:themeTint="D8"/>
    </w:rPr>
  </w:style>
  <w:style w:type="paragraph" w:styleId="Title">
    <w:name w:val="Title"/>
    <w:basedOn w:val="Normal"/>
    <w:next w:val="Normal"/>
    <w:link w:val="TitleChar"/>
    <w:uiPriority w:val="10"/>
    <w:qFormat/>
    <w:rsid w:val="000D07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7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7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745"/>
    <w:pPr>
      <w:spacing w:before="160"/>
      <w:jc w:val="center"/>
    </w:pPr>
    <w:rPr>
      <w:i/>
      <w:iCs/>
      <w:color w:val="404040" w:themeColor="text1" w:themeTint="BF"/>
    </w:rPr>
  </w:style>
  <w:style w:type="character" w:customStyle="1" w:styleId="QuoteChar">
    <w:name w:val="Quote Char"/>
    <w:basedOn w:val="DefaultParagraphFont"/>
    <w:link w:val="Quote"/>
    <w:uiPriority w:val="29"/>
    <w:rsid w:val="000D0745"/>
    <w:rPr>
      <w:i/>
      <w:iCs/>
      <w:color w:val="404040" w:themeColor="text1" w:themeTint="BF"/>
    </w:rPr>
  </w:style>
  <w:style w:type="paragraph" w:styleId="ListParagraph">
    <w:name w:val="List Paragraph"/>
    <w:basedOn w:val="Normal"/>
    <w:uiPriority w:val="34"/>
    <w:qFormat/>
    <w:rsid w:val="000D0745"/>
    <w:pPr>
      <w:ind w:left="720"/>
      <w:contextualSpacing/>
    </w:pPr>
  </w:style>
  <w:style w:type="character" w:styleId="IntenseEmphasis">
    <w:name w:val="Intense Emphasis"/>
    <w:basedOn w:val="DefaultParagraphFont"/>
    <w:uiPriority w:val="21"/>
    <w:qFormat/>
    <w:rsid w:val="000D0745"/>
    <w:rPr>
      <w:i/>
      <w:iCs/>
      <w:color w:val="0F4761" w:themeColor="accent1" w:themeShade="BF"/>
    </w:rPr>
  </w:style>
  <w:style w:type="paragraph" w:styleId="IntenseQuote">
    <w:name w:val="Intense Quote"/>
    <w:basedOn w:val="Normal"/>
    <w:next w:val="Normal"/>
    <w:link w:val="IntenseQuoteChar"/>
    <w:uiPriority w:val="30"/>
    <w:qFormat/>
    <w:rsid w:val="000D07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745"/>
    <w:rPr>
      <w:i/>
      <w:iCs/>
      <w:color w:val="0F4761" w:themeColor="accent1" w:themeShade="BF"/>
    </w:rPr>
  </w:style>
  <w:style w:type="character" w:styleId="IntenseReference">
    <w:name w:val="Intense Reference"/>
    <w:basedOn w:val="DefaultParagraphFont"/>
    <w:uiPriority w:val="32"/>
    <w:qFormat/>
    <w:rsid w:val="000D07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758</Words>
  <Characters>2846</Characters>
  <Application>Microsoft Office Word</Application>
  <DocSecurity>0</DocSecurity>
  <Lines>189</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Tran</dc:creator>
  <cp:keywords/>
  <dc:description/>
  <cp:lastModifiedBy>An Tran</cp:lastModifiedBy>
  <cp:revision>2</cp:revision>
  <dcterms:created xsi:type="dcterms:W3CDTF">2026-07-02T11:43:00Z</dcterms:created>
  <dcterms:modified xsi:type="dcterms:W3CDTF">2026-07-02T11:43:00Z</dcterms:modified>
</cp:coreProperties>
</file>