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jpg" ContentType="image/jpeg"/>
  <Override PartName="/word/media/rId66.jpg" ContentType="image/jpeg"/>
  <Override PartName="/word/media/rId75.jpg" ContentType="image/jpeg"/>
  <Override PartName="/word/media/rId22.jpg" ContentType="image/jpeg"/>
  <Override PartName="/word/media/rId47.jpg" ContentType="image/jpeg"/>
  <Override PartName="/word/media/rId70.jpg" ContentType="image/jpeg"/>
  <Override PartName="/word/media/rId52.jpg" ContentType="image/jpeg"/>
  <Override PartName="/word/media/rId56.jpg" ContentType="image/jpeg"/>
  <Override PartName="/word/media/rId34.jpg" ContentType="image/jpeg"/>
  <Override PartName="/word/media/rId27.jpg" ContentType="image/jpeg"/>
  <Override PartName="/word/media/rId41.jpg" ContentType="image/jpeg"/>
  <Override PartName="/word/media/rId1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Prognostic Value of TyHGB Index in Patients with MASLD</w:t>
      </w:r>
    </w:p>
    <w:p>
      <w:pPr>
        <w:pStyle w:val="Author"/>
      </w:pPr>
      <w:r>
        <w:t xml:space="preserve">An Tran</w:t>
      </w:r>
    </w:p>
    <w:p>
      <w:pPr>
        <w:pStyle w:val="Date"/>
      </w:pPr>
      <w:r>
        <w:t xml:space="preserve">2026-08-18</w:t>
      </w:r>
    </w:p>
    <w:bookmarkStart w:id="10" w:name="baseline-characteristics"/>
    <w:p>
      <w:pPr>
        <w:pStyle w:val="Heading2"/>
      </w:pPr>
      <w:r>
        <w:t xml:space="preserve">1. Baseline characteristics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Table 1: Baseline characteristics of the study population according to TyHGB quartiles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710,776,391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Q1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185,307,937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Q2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180,392,729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Q3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177,181,041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Q4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167,894,684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47.86 (15.66)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44.94 (15.71)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47.52 (16.00)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49.82 (15.59)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49.36 (14.78)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Gender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3,467 (48.7%)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594 (34.1%)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860 (49.6%)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930 (52.4%)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1,083 (60.1%)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Female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4,042 (51.3%)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1,287 (65.9%)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1,022 (50.4%)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942 (47.6%)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791 (39.9%)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Non-Hispanic 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1,593 (12.1%)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570 (17.5%)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443 (13.7%)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329 (9.6%)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251 (7.3%)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Non-Hispanic 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2,949 (64.4%)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662 (61.7%)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692 (61.9%)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766 (66.5%)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829 (67.9%)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 Races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2,967 (23.5%)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649 (20.8%)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747 (24.5%)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777 (23.9%)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794 (24.8%)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Education level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Above University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3,790 (58.4%)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1,094 (65.2%)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957 (59.4%)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877 (53.9%)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862 (54.6%)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High School - University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1,729 (23.9%)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404 (21.1%)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438 (23.5%)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 (27.9%)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417 (23.3%)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Under High School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1,990 (17.6%)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383 (13.6%)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487 (17.1%)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525 (18.2%)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595 (22.0%)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Marital 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Married/Partner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4,620 (65.0%)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1,083 (61.7%)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1,154 (64.7%)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1,226 (68.6%)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1,157 (65.2%)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Never married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1,194 (16.2%)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365 (18.3%)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319 (17.5%)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249 (14.2%)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261 (14.7%)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Widowed/Divorced/Separated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(18.8%)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433 (20.0%)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409 (17.8%)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397 (17.2%)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456 (20.1%)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Family income to poverty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2.85 (1.63)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2.95 (1.65)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2.91 (1.64)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2.80 (1.63)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2.71 (1.59)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33.29 (6.00)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30.23 (3.39)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32.84 (4.81)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34.46 (6.21)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35.90 (7.45)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Waist circumference (cm)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109.32 (13.91)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100.60 (9.17)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108.14 (11.15)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112.77 (13.86)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116.57 (15.49)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10.77 (4.33)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7.78 (0.53)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9.15 (0.37)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10.73 (0.58)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15.86 (6.33)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 Body Shape Index (ABSI)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0.82 (0.05)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0.80 (0.05)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0.82 (0.04)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0.82 (0.04)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0.83 (0.04)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Weight-Adjusted Waist Index (WWI)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11.27 (0.75)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10.99 (0.72)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11.23 (0.71)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11.42 (0.70)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11.49 (0.75)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Waist-to-Height Ratio (WHtR)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0.65 (0.08)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0.60 (0.06)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0.64 (0.07)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0.67 (0.08)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0.69 (0.10)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194.02 (40.89)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189.13 (37.27)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190.85 (38.56)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194.50 (40.12)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202.32 (46.33)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Triglycerides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140.21 (103.10)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72.43 (24.55)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104.63 (30.38)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144.90 (42.53)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248.31 (152.66)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HDL-cholesterol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49.47 (13.47)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61.33 (14.03)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50.93 (9.83)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45.54 (8.89)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38.95 (8.89)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(mmol/L)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5.86 (1.91)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5.03 (0.48)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5.37 (0.59)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5.75 (0.90)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7.44 (3.22)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ALT (U/L)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28.78 (20.80)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25.13 (24.11)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27.35 (18.68)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29.76 (18.19)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33.33 (20.68)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AST (U/L)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25.17 (18.27)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24.30 (26.69)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24.04 (12.25)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25.22 (16.52)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27.28 (13.09)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AST/ALT Ratio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0.97 (0.28)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1.05 (0.28)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0.98 (0.27)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0.94 (0.27)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0.91 (0.29)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FIB-4 Index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 (0.79)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1.03 (1.10)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0.99 (0.62)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1.05 (0.67)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1.07 (0.63)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WBC (cells/μL)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7.09 (2.08)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6.42 (1.84)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7.03 (2.06)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7.27 (2.05)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7.70 (2.15)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Lymphocytes (cells/μL)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2.10 (0.90)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1.95 (0.59)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2.10 (1.05)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2.14 (1.00)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2.22 (0.89)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Monocytes (cells/μL)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0.55 (0.20)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0.51 (0.17)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0.56 (0.18)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0.56 (0.23)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0.58 (0.23)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Neutrophils (cells/μL)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4.18 (1.58)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3.74 (1.49)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4.11 (1.52)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4.30 (1.54)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4.62 (1.66)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RBC (million cells/μL)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4.79 (0.47)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4.66 (0.45)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4.79 (0.46)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(0.47)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4.88 (0.48)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Hemoglobin (g/dL)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14.37 (1.50)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13.97 (1.45)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14.36 (1.48)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14.51 (1.52)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14.67 (1.48)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Hematocrit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42.37 (4.11)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41.33 (3.98)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42.35 (4.06)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42.79 (4.11)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43.10 (4.06)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1,156 (14.9%)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308 (17.2%)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(13.7%)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265 (12.7%)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321 (16.0%)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Hypertension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878 (10.5%)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228 (10.7%)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220 (10.0%)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207 (10.7%)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History of cardiovascular disease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799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(6.3%)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 (9.7%)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302 (14.2%)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Insulin use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359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(0.9%)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77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228 (10.0%)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Oral hypoglycemic agents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186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 (0.7%)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 (3.8%)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Anti-hypertensive meds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1,989 (24.1%)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(17.6%)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472 (23.4%)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540 (27.0%)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598 (29.2%)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Lipid-lowering meds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1,444 (17.9%)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248 (11.8%)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351 (18.1%)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392 (20.0%)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453 (22.2%)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All-cause mortality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526 (5.2%)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 (4.6%)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(5.9%)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188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Cardiovascular mortality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(unweighted)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Design-based KruskalWallis test; Pearson's X^2: Rao &amp; Scott adjustment</w:t>
                  </w:r>
                </w:p>
              </w:tc>
            </w:tr>
          </w:tbl>
          <w:bookmarkEnd w:id="9"/>
        </w:tc>
      </w:tr>
    </w:tbl>
    <w:bookmarkEnd w:id="10"/>
    <w:bookmarkStart w:id="15" w:name="Xe6cef8d63dbbd2bc3c0f5059e67c3171b3fab4b"/>
    <w:p>
      <w:pPr>
        <w:pStyle w:val="Heading2"/>
      </w:pPr>
      <w:r>
        <w:t xml:space="preserve">2. Covariate Selection (Multicollinearity Check &amp; DAG)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vif-da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spacing w:before="0" w:after="60"/>
              <w:keepNext/>
              <w:jc w:val="start"/>
              <w:pStyle w:val="caption"/>
            </w:pPr>
            <w:r>
              <w:rPr>
                <w:rFonts w:ascii="Calibri" w:hAnsi="Calibri"/>
                <w:sz w:val="24"/>
              </w:rPr>
              <w:t xml:space="preserve">Table </w:t>
            </w:r>
            <w:r>
              <w:fldChar w:fldCharType="begin" w:dirty="true"/>
            </w:r>
            <w:r>
              <w:instrText xml:space="preserve" w:dirty="true"> SEQ Table \* ARABIC </w:instrText>
            </w:r>
            <w:r>
              <w:fldChar w:fldCharType="separate" w:dirty="true"/>
            </w:r>
            <w:r>
              <w:rPr>
                <w:noProof/>
                <w:rFonts w:ascii="Calibri" w:hAnsi="Calibri"/>
                <w:sz w:val="24"/>
              </w:rPr>
              <w:t xml:space="default">1</w:t>
            </w:r>
            <w:r>
              <w:fldChar w:fldCharType="end" w:dirty="true"/>
            </w:r>
            <w:r>
              <w:rPr>
                <w:rFonts w:ascii="Calibri" w:hAnsi="Calibri"/>
                <w:sz w:val="24"/>
              </w:rPr>
              <w:t xml:space="preserve">: </w:t>
            </w:r>
            <w:r>
              <w:rPr>
                <w:rFonts w:ascii="Calibri" w:hAnsi="Calibri"/>
                <w:sz w:val="24"/>
                <w:color w:val="333333"/>
              </w:rPr>
              <w:t xml:space="default">Variance Inflation Factor (VIF) for Final Models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 (ACM)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 (CVM)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Covariate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Df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GVIF^(1/2Df)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Df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GVIF^(1/2Df)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RIDAGEYR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RIAGENDR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RIDRETH1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hyperten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AST_ALT_ratio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1.39</w:t>
                  </w:r>
                </w:p>
              </w:tc>
            </w:tr>
          </w:tbl>
          <w:p>
            <w:pPr>
              <w:jc w:val="center"/>
            </w:pPr>
            <w:r>
              <w:t xml:space="preserve">Figure 1: Directed Acyclic Graph (DAG) and Variance Inflation Factor (VIF) confirming covariate selection</w:t>
            </w:r>
          </w:p>
          <w:p>
            <w:pPr>
              <w:pStyle w:val="CaptionedFigure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Figure 1: Directed Acyclic Graph (DAG) and Variance Inflation Factor (VIF) confirming covariate selection" title="" id="12" name="Picture"/>
                  <a:graphic>
                    <a:graphicData uri="http://schemas.openxmlformats.org/drawingml/2006/picture">
                      <pic:pic>
                        <pic:nvPicPr>
                          <pic:cNvPr descr="Figures/tbl-vif-dag-1.jpe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Figure 1: Directed Acyclic Graph (DAG) and Variance Inflation Factor (VIF) confirming covariate selection</w:t>
            </w:r>
          </w:p>
          <w:bookmarkEnd w:id="14"/>
        </w:tc>
      </w:tr>
    </w:tbl>
    <w:bookmarkEnd w:id="15"/>
    <w:bookmarkStart w:id="17" w:name="X35a63cc49ff8ffbeb641524aec7e05aa52212de"/>
    <w:p>
      <w:pPr>
        <w:pStyle w:val="Heading2"/>
      </w:pPr>
      <w:r>
        <w:t xml:space="preserve">3. Independent association of TyHGB with mortality (Stepwise Models)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cox-tyhg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Table 2: Cox regression analysis demonstrating the independent association of TyHGB with mortality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3 (Fully 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3 (Fully 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4 (+ Medications)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4 (+ Medications)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1.138 (1.085-1.194)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1.161 (1.082-1.247)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1.152 (1.060-1.254)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1.108 (1.013-1.210)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1.353 (0.945-1.938)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1.048 (0.755-1.453)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0.781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1.072 (0.773-1.487)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0.677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1.095 (0.780-1.537)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1.761 (1.304-2.379)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1.227 (0.904-1.665)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0.189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1.262 (0.946-1.684)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1.214 (0.886-1.664)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0.227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2.212 (1.566-3.122)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1.628 (1.177-2.252)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1.692 (1.235-2.318)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1.434 (1.011-2.034)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0.043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1.112 (1.039-1.191)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1.129 (1.011-1.261)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1.122 (0.998-1.262)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1.033 (0.894-1.194)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0.657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2.030 (1.066-3.866)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1.536 (0.808-2.920)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1.584 (0.828-3.029)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0.165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1.591 (0.831-3.045)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0.161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2.343 (1.330-4.126)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1.626 (0.899-2.939)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1.660 (0.921-2.994)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1.519 (0.830-2.780)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0.175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2.983 (1.696-5.248)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2.173 (1.216-3.881)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2.257 (1.253-4.063)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1.773 (0.966-3.253)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0.064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0.082</w:t>
                  </w:r>
                </w:p>
              </w:tc>
            </w:tr>
          </w:tbl>
          <w:bookmarkEnd w:id="16"/>
        </w:tc>
      </w:tr>
    </w:tbl>
    <w:bookmarkEnd w:id="17"/>
    <w:bookmarkStart w:id="19" w:name="sensitivity-analysis"/>
    <w:p>
      <w:pPr>
        <w:pStyle w:val="Heading2"/>
      </w:pPr>
      <w:r>
        <w:t xml:space="preserve">4. Sensitivity Analysis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DIQ050 == "No" &amp; DID070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DIQ050 == "No" &amp; DID070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DIQ050 == "No" &amp; DID070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htn_med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htn_med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htn_med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lipid_med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lipid_med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lipid_med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DIQ050 == "No" &amp; DID070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DIQ050 == "No" &amp; DID070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DIQ050 == "No" &amp; DID070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htn_med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htn_med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htn_med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lipid_med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lipid_med == "No")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subset(masld_design, lipid_med == "No")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e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Supplemental Table 1: Sensitivity analyses addressing reverse causation and confounding by medication indications (All analyses performed using Model 3)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CI)_Scenario 1: Excluding deaths within 24 months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value_Scenario 1: Excluding deaths within 24 months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CI)_Scenario 2: Excluding patients on Diabetes Medications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value_Scenario 2: Excluding patients on Diabetes Medications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CI)_Scenario 3: Excluding patients on Anti-hypertensive Medications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value_Scenario 3: Excluding patients on Anti-hypertensive Medications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CI)_Scenario 4: Excluding patients on Lipid-lowering Medications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value_Scenario 4: Excluding patients on Lipid-lowering Medications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1.169 (1.065-1.284)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1.062 (0.964-1.169)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1.163 (1.064-1.271)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1.163 (1.073-1.260)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1.131 (0.824-1.553)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1.094 (0.757-1.580)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1.066 (0.616-1.846)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0.818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1.034 (0.656-1.629)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0.885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1.395 (1.040-1.873)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1.240 (0.905-1.697)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0.180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1.266 (0.796-2.014)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1.160 (0.778-1.729)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1.872 (1.345-2.604)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1.504 (1.027-2.203)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1.701 (1.000-2.893)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1.380 (0.903-2.106)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0.136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1.147 (1.011-1.302)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1.130 (0.986-1.295)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0.079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1.279 (1.171-1.398)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1.119 (0.968-1.294)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1.415 (0.701-2.856)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1.855 (0.965-3.567)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0.064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1.589 (0.551-4.584)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0.392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1.180 (0.500-2.784)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1.360 (0.728-2.538)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1.843 (0.993-3.419)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1.696 (0.647-4.446)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0.282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1.110 (0.527-2.338)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0.784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2.354 (1.247-4.442)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2.558 (1.300-5.035)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4.240 (1.568-11.467)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1.472 (0.683-3.173)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0.324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0.344</w:t>
                  </w:r>
                </w:p>
              </w:tc>
            </w:tr>
          </w:tbl>
          <w:bookmarkEnd w:id="18"/>
        </w:tc>
      </w:tr>
    </w:tbl>
    <w:bookmarkEnd w:id="19"/>
    <w:bookmarkStart w:id="21" w:name="competing-risk-analysis-fine-gray-model"/>
    <w:p>
      <w:pPr>
        <w:pStyle w:val="Heading2"/>
      </w:pPr>
      <w:r>
        <w:t xml:space="preserve">5. Competing Risk Analysis (Fine-Gray Model)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finegra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Table 3: Competing risk analysis (Fine-Gray model) evaluating the independent association of TyHGB with Cardiovascular Mortality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sHR (95% CI)_Model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sHR (95% CI)_Model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sHR (95% CI)_Model 3 (Fully 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3 (Fully 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sHR (95% CI)_Model 4 (+ Medications)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4 (+ Medications)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 (Fine-Gray)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1.111 (1.036-1.192)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1.125 (1.006-1.259)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1.127 (1.006-1.263)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1.042 (0.905-1.200)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0.567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2.027 (1.064-3.861)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1.584 (0.824-3.045)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0.168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1.618 (0.841-3.114)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1.563 (0.811-3.011)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0.182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2.326 (1.319-4.103)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1.630 (0.895-2.968)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1.678 (0.925-3.045)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0.088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1.505 (0.820-2.760)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0.187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2.938 (1.667-5.178)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2.158 (1.193-3.905)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2.271 (1.244-4.144)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1.779 (0.957-3.310)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0.069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0.082</w:t>
                  </w:r>
                </w:p>
              </w:tc>
            </w:tr>
          </w:tbl>
          <w:bookmarkEnd w:id="20"/>
        </w:tc>
      </w:tr>
    </w:tbl>
    <w:bookmarkEnd w:id="21"/>
    <w:bookmarkStart w:id="26" w:name="kaplan-meier-survival-analysis"/>
    <w:p>
      <w:pPr>
        <w:pStyle w:val="Heading2"/>
      </w:pPr>
      <w:r>
        <w:t xml:space="preserve">6. Kaplan-Meier survival analysis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m"/>
          <w:p>
            <w:pPr>
              <w:pStyle w:val="Compact"/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igures/fig-km-1.jpe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2: Kaplan-Meier survival curves comparing combining TyHGB with obesity indices</w:t>
            </w:r>
          </w:p>
          <w:bookmarkEnd w:id="25"/>
        </w:tc>
      </w:tr>
    </w:tbl>
    <w:bookmarkEnd w:id="26"/>
    <w:bookmarkStart w:id="31" w:name="time-dependent-roc-curves"/>
    <w:p>
      <w:pPr>
        <w:pStyle w:val="Heading2"/>
      </w:pPr>
      <w:r>
        <w:t xml:space="preserve">7. Time-dependent ROC Curves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roc"/>
          <w:p>
            <w:pPr>
              <w:pStyle w:val="Compact"/>
              <w:jc w:val="center"/>
            </w:pPr>
            <w:r>
              <w:drawing>
                <wp:inline>
                  <wp:extent cx="5334000" cy="37338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roc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3: Time-dependent ROC curves comparing combinations of TyHGB and other obesity indices</w:t>
            </w:r>
          </w:p>
          <w:bookmarkEnd w:id="30"/>
        </w:tc>
      </w:tr>
    </w:tbl>
    <w:bookmarkEnd w:id="31"/>
    <w:bookmarkStart w:id="33" w:name="incremental-predictive-value-idi-nri"/>
    <w:p>
      <w:pPr>
        <w:pStyle w:val="Heading2"/>
      </w:pPr>
      <w:r>
        <w:t xml:space="preserve">8. Incremental predictive value (IDI / NRI)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increment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Table 4: Incremental predictive value of adding TyHGB and combined indices to the base clinical model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VerbatimChar"/>
              </w:rPr>
              <w:t xml:space="preserve">================ KẾT QUẢ CHO: ALL-CAUSE MORTALITY (ACM) TẠI 10 NĂM ================</w:t>
            </w:r>
            <w:r>
              <w:br/>
            </w:r>
            <w:r>
              <w:rPr>
                <w:rStyle w:val="VerbatimChar"/>
              </w:rPr>
              <w:t xml:space="preserve">Base Model (No TyHGB) - C-index: 0.812 (0.781-0.842)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Adding to Base  | C-index New (95%CI) | P DeLong | Cont. NRI (95%CI)   | P (NRI)  | IDI (95%CI)         | P (IDI) </w:t>
            </w:r>
            <w:r>
              <w:br/>
            </w:r>
            <w:r>
              <w:rPr>
                <w:rStyle w:val="VerbatimChar"/>
              </w:rPr>
              <w:t xml:space="preserve">------------------------------------------------------------------------------------------------------------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     Est.  Lower Upper p-value</w:t>
            </w:r>
            <w:r>
              <w:br/>
            </w:r>
            <w:r>
              <w:rPr>
                <w:rStyle w:val="VerbatimChar"/>
              </w:rPr>
              <w:t xml:space="preserve">M1  0.002 -0.002 0.005   0.396</w:t>
            </w:r>
            <w:r>
              <w:br/>
            </w:r>
            <w:r>
              <w:rPr>
                <w:rStyle w:val="VerbatimChar"/>
              </w:rPr>
              <w:t xml:space="preserve">M2  0.178  0.059 0.272   0.000</w:t>
            </w:r>
            <w:r>
              <w:br/>
            </w:r>
            <w:r>
              <w:rPr>
                <w:rStyle w:val="VerbatimChar"/>
              </w:rPr>
              <w:t xml:space="preserve">M3 -0.001 -0.002 0.002   0.475</w:t>
            </w:r>
            <w:r>
              <w:br/>
            </w:r>
            <w:r>
              <w:rPr>
                <w:rStyle w:val="VerbatimChar"/>
              </w:rPr>
              <w:t xml:space="preserve">+ TyHGB         | 0.815 (0.783-0.846) | 0.9021   | -0.001 (-0.002-0.002) | 0.4750   | 0.002 (-0.002-0.005) | 0.3960  </w:t>
            </w:r>
            <w:r>
              <w:br/>
            </w:r>
            <w:r>
              <w:rPr>
                <w:rStyle w:val="VerbatimChar"/>
              </w:rPr>
              <w:t xml:space="preserve">    Est. Lower Upper p-value</w:t>
            </w:r>
            <w:r>
              <w:br/>
            </w:r>
            <w:r>
              <w:rPr>
                <w:rStyle w:val="VerbatimChar"/>
              </w:rPr>
              <w:t xml:space="preserve">M1 0.017 0.009 0.028       0</w:t>
            </w:r>
            <w:r>
              <w:br/>
            </w:r>
            <w:r>
              <w:rPr>
                <w:rStyle w:val="VerbatimChar"/>
              </w:rPr>
              <w:t xml:space="preserve">M2 0.206 0.112 0.309       0</w:t>
            </w:r>
            <w:r>
              <w:br/>
            </w:r>
            <w:r>
              <w:rPr>
                <w:rStyle w:val="VerbatimChar"/>
              </w:rPr>
              <w:t xml:space="preserve">M3 0.009 0.004 0.016       0</w:t>
            </w:r>
            <w:r>
              <w:br/>
            </w:r>
            <w:r>
              <w:rPr>
                <w:rStyle w:val="VerbatimChar"/>
              </w:rPr>
              <w:t xml:space="preserve">+ TyHGB + ABSI  | 0.820 (0.790-0.851) | 0.6944   | 0.009 (0.004-0.016) | &lt;0.001   | 0.017 (0.009-0.028) | &lt;0.001  </w:t>
            </w:r>
            <w:r>
              <w:br/>
            </w:r>
            <w:r>
              <w:rPr>
                <w:rStyle w:val="VerbatimChar"/>
              </w:rPr>
              <w:t xml:space="preserve">    Est. Lower Upper p-value</w:t>
            </w:r>
            <w:r>
              <w:br/>
            </w:r>
            <w:r>
              <w:rPr>
                <w:rStyle w:val="VerbatimChar"/>
              </w:rPr>
              <w:t xml:space="preserve">M1 0.020 0.010 0.030       0</w:t>
            </w:r>
            <w:r>
              <w:br/>
            </w:r>
            <w:r>
              <w:rPr>
                <w:rStyle w:val="VerbatimChar"/>
              </w:rPr>
              <w:t xml:space="preserve">M2 0.185 0.080 0.271       0</w:t>
            </w:r>
            <w:r>
              <w:br/>
            </w:r>
            <w:r>
              <w:rPr>
                <w:rStyle w:val="VerbatimChar"/>
              </w:rPr>
              <w:t xml:space="preserve">M3 0.010 0.003 0.018       0</w:t>
            </w:r>
            <w:r>
              <w:br/>
            </w:r>
            <w:r>
              <w:rPr>
                <w:rStyle w:val="VerbatimChar"/>
              </w:rPr>
              <w:t xml:space="preserve">+ TyHGB + WWI   | 0.823 (0.791-0.854) | 0.6280   | 0.010 (0.003-0.018) | &lt;0.001   | 0.020 (0.010-0.030) | &lt;0.001 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0.011  0.003 0.017   0.000</w:t>
            </w:r>
            <w:r>
              <w:br/>
            </w:r>
            <w:r>
              <w:rPr>
                <w:rStyle w:val="VerbatimChar"/>
              </w:rPr>
              <w:t xml:space="preserve">M2 0.186  0.074 0.249   0.000</w:t>
            </w:r>
            <w:r>
              <w:br/>
            </w:r>
            <w:r>
              <w:rPr>
                <w:rStyle w:val="VerbatimChar"/>
              </w:rPr>
              <w:t xml:space="preserve">M3 0.003 -0.001 0.008   0.059</w:t>
            </w:r>
            <w:r>
              <w:br/>
            </w:r>
            <w:r>
              <w:rPr>
                <w:rStyle w:val="VerbatimChar"/>
              </w:rPr>
              <w:t xml:space="preserve">+ TyHGB + WHtR  | 0.819 (0.788-0.850) | 0.7502   | 0.003 (-0.001-0.008) | 0.0590   | 0.011 (0.003-0.017) | &lt;0.001  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VerbatimChar"/>
              </w:rPr>
              <w:t xml:space="preserve">================ KẾT QUẢ CHO: CARDIOVASCULAR MORTALITY (CVM) TẠI 10 NĂM ================</w:t>
            </w:r>
            <w:r>
              <w:br/>
            </w:r>
            <w:r>
              <w:rPr>
                <w:rStyle w:val="VerbatimChar"/>
              </w:rPr>
              <w:t xml:space="preserve">Base Model (No TyHGB) - C-index: 0.868 (0.837-0.898)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Adding to Base  | C-index New (95%CI) | P DeLong | Cont. NRI (95%CI)   | P (NRI)  | IDI (95%CI)         | P (IDI) </w:t>
            </w:r>
            <w:r>
              <w:br/>
            </w:r>
            <w:r>
              <w:rPr>
                <w:rStyle w:val="VerbatimChar"/>
              </w:rPr>
              <w:t xml:space="preserve">------------------------------------------------------------------------------------------------------------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     Est.  Lower Upper p-value</w:t>
            </w:r>
            <w:r>
              <w:br/>
            </w:r>
            <w:r>
              <w:rPr>
                <w:rStyle w:val="VerbatimChar"/>
              </w:rPr>
              <w:t xml:space="preserve">M1  0.000 -0.002 0.003   0.911</w:t>
            </w:r>
            <w:r>
              <w:br/>
            </w:r>
            <w:r>
              <w:rPr>
                <w:rStyle w:val="VerbatimChar"/>
              </w:rPr>
              <w:t xml:space="preserve">M2  0.169  0.011 0.295   0.020</w:t>
            </w:r>
            <w:r>
              <w:br/>
            </w:r>
            <w:r>
              <w:rPr>
                <w:rStyle w:val="VerbatimChar"/>
              </w:rPr>
              <w:t xml:space="preserve">M3 -0.001 -0.001 0.001   0.238</w:t>
            </w:r>
            <w:r>
              <w:br/>
            </w:r>
            <w:r>
              <w:rPr>
                <w:rStyle w:val="VerbatimChar"/>
              </w:rPr>
              <w:t xml:space="preserve">+ TyHGB         | 0.870 (0.840-0.899) | 0.9204   | -0.001 (-0.001-0.001) | 0.2380   | 0.000 (-0.002-0.003) | 0.9110  </w:t>
            </w:r>
            <w:r>
              <w:br/>
            </w:r>
            <w:r>
              <w:rPr>
                <w:rStyle w:val="VerbatimChar"/>
              </w:rPr>
              <w:t xml:space="preserve">    Est. Lower Upper p-value</w:t>
            </w:r>
            <w:r>
              <w:br/>
            </w:r>
            <w:r>
              <w:rPr>
                <w:rStyle w:val="VerbatimChar"/>
              </w:rPr>
              <w:t xml:space="preserve">M1 0.006 0.000 0.015   0.079</w:t>
            </w:r>
            <w:r>
              <w:br/>
            </w:r>
            <w:r>
              <w:rPr>
                <w:rStyle w:val="VerbatimChar"/>
              </w:rPr>
              <w:t xml:space="preserve">M2 0.169 0.028 0.320   0.020</w:t>
            </w:r>
            <w:r>
              <w:br/>
            </w:r>
            <w:r>
              <w:rPr>
                <w:rStyle w:val="VerbatimChar"/>
              </w:rPr>
              <w:t xml:space="preserve">M3 0.001 0.000 0.005   0.020</w:t>
            </w:r>
            <w:r>
              <w:br/>
            </w:r>
            <w:r>
              <w:rPr>
                <w:rStyle w:val="VerbatimChar"/>
              </w:rPr>
              <w:t xml:space="preserve">+ TyHGB + ABSI  | 0.875 (0.846-0.904) | 0.7333   | 0.001 (0.000-0.005) | 0.0200   | 0.006 (-0.000-0.015) | 0.0790  </w:t>
            </w:r>
            <w:r>
              <w:br/>
            </w:r>
            <w:r>
              <w:rPr>
                <w:rStyle w:val="VerbatimChar"/>
              </w:rPr>
              <w:t xml:space="preserve">    Est. Lower Upper p-value</w:t>
            </w:r>
            <w:r>
              <w:br/>
            </w:r>
            <w:r>
              <w:rPr>
                <w:rStyle w:val="VerbatimChar"/>
              </w:rPr>
              <w:t xml:space="preserve">M1 0.009 0.000 0.020    0.04</w:t>
            </w:r>
            <w:r>
              <w:br/>
            </w:r>
            <w:r>
              <w:rPr>
                <w:rStyle w:val="VerbatimChar"/>
              </w:rPr>
              <w:t xml:space="preserve">M2 0.188 0.013 0.316    0.02</w:t>
            </w:r>
            <w:r>
              <w:br/>
            </w:r>
            <w:r>
              <w:rPr>
                <w:rStyle w:val="VerbatimChar"/>
              </w:rPr>
              <w:t xml:space="preserve">M3 0.002 0.000 0.010    0.04</w:t>
            </w:r>
            <w:r>
              <w:br/>
            </w:r>
            <w:r>
              <w:rPr>
                <w:rStyle w:val="VerbatimChar"/>
              </w:rPr>
              <w:t xml:space="preserve">+ TyHGB + WWI   | 0.877 (0.849-0.905) | 0.6607   | 0.002 (0.000-0.010) | 0.0400   | 0.009 (0.000-0.020) | 0.0400 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0.003 -0.002 0.011   0.257</w:t>
            </w:r>
            <w:r>
              <w:br/>
            </w:r>
            <w:r>
              <w:rPr>
                <w:rStyle w:val="VerbatimChar"/>
              </w:rPr>
              <w:t xml:space="preserve">M2 0.135 -0.031 0.254   0.119</w:t>
            </w:r>
            <w:r>
              <w:br/>
            </w:r>
            <w:r>
              <w:rPr>
                <w:rStyle w:val="VerbatimChar"/>
              </w:rPr>
              <w:t xml:space="preserve">M3 0.000 -0.003 0.003   0.772</w:t>
            </w:r>
            <w:r>
              <w:br/>
            </w:r>
            <w:r>
              <w:rPr>
                <w:rStyle w:val="VerbatimChar"/>
              </w:rPr>
              <w:t xml:space="preserve">+ TyHGB + WHtR  | 0.873 (0.845-0.901) | 0.8084   | 0.000 (-0.003-0.003) | 0.7720   | 0.003 (-0.002-0.011) | 0.2570  </w:t>
            </w:r>
          </w:p>
          <w:bookmarkEnd w:id="32"/>
        </w:tc>
      </w:tr>
    </w:tbl>
    <w:bookmarkEnd w:id="33"/>
    <w:bookmarkStart w:id="38" w:name="dose-response-relationship-rcs"/>
    <w:p>
      <w:pPr>
        <w:pStyle w:val="Heading2"/>
      </w:pPr>
      <w:r>
        <w:t xml:space="preserve">9. Dose-response relationship (RCS)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rcs"/>
          <w:p>
            <w:pPr>
              <w:pStyle w:val="Compact"/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-rcs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4: Restricted cubic spline (RCS) curves showing the dose-response relationship between TyHGB index and mortality</w:t>
            </w:r>
          </w:p>
          <w:bookmarkEnd w:id="37"/>
        </w:tc>
      </w:tr>
    </w:tbl>
    <w:bookmarkEnd w:id="38"/>
    <w:bookmarkStart w:id="40" w:name="X2cf879ca98339e0240f3e94a1bad7d8273207b7"/>
    <w:p>
      <w:pPr>
        <w:pStyle w:val="Heading2"/>
      </w:pPr>
      <w:r>
        <w:t xml:space="preserve">10. Threshold Effect Analysis (Two-piecewise Cox Model)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thresho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Table 5: Threshold effect analysis and Dichotomized HR of TyHGB on ACM and CVM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Model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HR (95% CI)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 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Standard linear model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1.030 (1.012-1.048)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Two-piecewise model (Slope evaluation)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&lt; 12.1 (Events: 363)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1.119 (1.050-1.192)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&gt;= 12.1 (Events: 163)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1.016 (0.994-1.039)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0.157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P for LRT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Dichotomized by Threshold (Clinical HR)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Low Risk (&lt; 12.1)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High Risk (&gt;= 12.1)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color w:val="000000"/>
                      <w:b w:val="true"/>
                    </w:rPr>
                    <w:t xml:space="default">1.376 (1.087-1.742)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Standard linear model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1.024 (1.000-1.049)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0.055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Two-piecewise model (Slope evaluation)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&lt; 11.9 (Events: 116)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1.190 (1.047-1.352)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&gt;= 11.9 (Events: 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0.992 (0.945-1.042)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0.762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P for LRT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Dichotomized by Threshold (Clinical HR)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Low Risk (&lt; 11.9)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High Risk (&gt;= 11.9)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color w:val="000000"/>
                      <w:b w:val="true"/>
                    </w:rPr>
                    <w:t xml:space="default">1.487 (1.056-2.095)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0.023</w:t>
                  </w:r>
                </w:p>
              </w:tc>
            </w:tr>
          </w:tbl>
          <w:bookmarkEnd w:id="39"/>
        </w:tc>
      </w:tr>
    </w:tbl>
    <w:bookmarkEnd w:id="40"/>
    <w:bookmarkStart w:id="45" w:name="subgroup-analyses"/>
    <w:p>
      <w:pPr>
        <w:pStyle w:val="Heading2"/>
      </w:pPr>
      <w:r>
        <w:t xml:space="preserve">11. Subgroup analyses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(182)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(116) clusters.</w:t>
      </w:r>
      <w:r>
        <w:br/>
      </w:r>
      <w:r>
        <w:rPr>
          <w:rStyle w:val="VerbatimChar"/>
        </w:rPr>
        <w:t xml:space="preserve">subset(sub_design, get(col_name) == lvl)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(182)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(116) clusters.</w:t>
      </w:r>
      <w:r>
        <w:br/>
      </w:r>
      <w:r>
        <w:rPr>
          <w:rStyle w:val="VerbatimChar"/>
        </w:rPr>
        <w:t xml:space="preserve">subset(sub_design, get(col_name) == lvl)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bgroup"/>
          <w:p>
            <w:pPr>
              <w:pStyle w:val="Compact"/>
              <w:jc w:val="center"/>
            </w:pPr>
            <w:r>
              <w:drawing>
                <wp:inline>
                  <wp:extent cx="5334000" cy="2222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es/fig-subgroup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Figure 5: Subgroup analyses for the association between TyHGB index and mortality risk</w:t>
            </w:r>
          </w:p>
          <w:bookmarkEnd w:id="44"/>
        </w:tc>
      </w:tr>
    </w:tbl>
    <w:bookmarkEnd w:id="45"/>
    <w:bookmarkStart w:id="51" w:name="detailed-mediation-analysis"/>
    <w:p>
      <w:pPr>
        <w:pStyle w:val="Heading2"/>
      </w:pPr>
      <w:r>
        <w:t xml:space="preserve">12. Detailed Mediation Analysis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medi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Supplemental Table 5: Detailed mediation analysis of TyHGB on ACM and CVM via multiple biomarkers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Mediator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ACME (95% CI)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(ACME)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ADE (95% CI)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(ADE)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Prop. Mediated (%)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Uric Acid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 (-0.001 to 0.005)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0.118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0.027 (0.009 to 0.046)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7.21%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WBC Count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 (0.001 to 0.007)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0.027 (0.010 to 0.045)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13.68%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Neutrophils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0.011 (0.007 to 0.015)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0.027 (0.010 to 0.044)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38.07%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HbA1c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0.023 (0.013 to 0.033)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0.011 (-0.007 to 0.028)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78.05%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RDW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 (-0.000 to 0.002)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0.029 (0.011 to 0.047)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2.82%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ALP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0.006 (0.003 to 0.008)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0.026 (0.007 to 0.044)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19.08%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Uric Acid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 (-0.001 to 0.010)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0.018 (-0.011 to 0.048)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19.95%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WBC Count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 (0.001 to 0.007)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0.021 (-0.004 to 0.046)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15.81%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Neutrophils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0.014 (0.009 to 0.019)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0.020 (-0.008 to 0.047)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0.166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56.39%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HbA1c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0.029 (0.010 to 0.049)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-0.006 (-0.043 to 0.031)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0.747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124.07%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RDW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 (-0.000 to 0.002)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0.023 (-0.002 to 0.048)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3.47%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ALP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0.008 (0.004 to 0.012)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0.018 (-0.007 to 0.043)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0.157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35.29%</w:t>
                  </w:r>
                </w:p>
              </w:tc>
            </w:tr>
          </w:tbl>
          <w:bookmarkEnd w:id="4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ediation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fig-mediation-1.jpe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Supplemental Figure 2: Mediation analysis path diagrams of the TyHGB index on mortality via multiple biomarkers</w:t>
            </w:r>
          </w:p>
          <w:bookmarkEnd w:id="50"/>
        </w:tc>
      </w:tr>
    </w:tbl>
    <w:bookmarkEnd w:id="51"/>
    <w:bookmarkStart w:id="60" w:name="construction-of-nomograms"/>
    <w:p>
      <w:pPr>
        <w:pStyle w:val="Heading2"/>
      </w:pPr>
      <w:r>
        <w:t xml:space="preserve">13. Construction of Nomograms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nomogram-1"/>
          <w:p>
            <w:pPr>
              <w:pStyle w:val="Compact"/>
              <w:jc w:val="center"/>
            </w:pPr>
            <w:r>
              <w:drawing>
                <wp:inline>
                  <wp:extent cx="5334000" cy="600075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nomogram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0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Figure 6: Nomograms predicting 3-, 5-, and 10-year survival probabilities for ACM (A) and CVM (B)</w:t>
            </w:r>
          </w:p>
          <w:bookmarkEnd w:id="5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mogram-2"/>
          <w:p>
            <w:pPr>
              <w:pStyle w:val="Compact"/>
              <w:jc w:val="center"/>
            </w:pPr>
            <w:r>
              <w:drawing>
                <wp:inline>
                  <wp:extent cx="5334000" cy="600075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Figures/fig-nomogram-2.jpe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0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Figure 6: Nomograms predicting 3-, 5-, and 10-year survival probabilities for ACM (A) and CVM (B)</w:t>
            </w:r>
          </w:p>
          <w:bookmarkEnd w:id="59"/>
        </w:tc>
      </w:tr>
    </w:tbl>
    <w:bookmarkEnd w:id="60"/>
    <w:bookmarkStart w:id="65" w:name="calibration-plots"/>
    <w:p>
      <w:pPr>
        <w:pStyle w:val="Heading2"/>
      </w:pPr>
      <w:r>
        <w:t xml:space="preserve">14. Calibration Plots</w:t>
      </w:r>
    </w:p>
    <w:p>
      <w:pPr>
        <w:pStyle w:val="SourceCode"/>
      </w:pPr>
      <w:r>
        <w:rPr>
          <w:rStyle w:val="VerbatimChar"/>
        </w:rPr>
        <w:t xml:space="preserve">Using Cox survival estimates at 120 Days</w:t>
      </w:r>
    </w:p>
    <w:p>
      <w:pPr>
        <w:pStyle w:val="SourceCode"/>
      </w:pPr>
      <w:r>
        <w:rPr>
          <w:rStyle w:val="VerbatimChar"/>
        </w:rPr>
        <w:t xml:space="preserve">Using Cox survival estimates at 120 Days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alibration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Figures/fig-calibration-1.jpe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Figure 7: Calibration plots comparing predicted vs observed 10-years</w:t>
            </w:r>
          </w:p>
          <w:bookmarkEnd w:id="64"/>
        </w:tc>
      </w:tr>
    </w:tbl>
    <w:bookmarkEnd w:id="65"/>
    <w:bookmarkStart w:id="80" w:name="decision-curve-analysis-dca"/>
    <w:p>
      <w:pPr>
        <w:pStyle w:val="Heading1"/>
      </w:pPr>
      <w:r>
        <w:t xml:space="preserve">15. Decision Curve Analysis (DCA)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ca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igures/fig-dca-1.jpe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Figure 8: Decision Curve Analysis (DCA) demonstrating the net benefit of the TyHGB clinical model at 10 years</w:t>
            </w:r>
          </w:p>
          <w:bookmarkEnd w:id="69"/>
        </w:tc>
      </w:tr>
    </w:tbl>
    <w:bookmarkStart w:id="74" w:name="multiple-imputation-stability-check-m-20"/>
    <w:p>
      <w:pPr>
        <w:pStyle w:val="Heading2"/>
      </w:pPr>
      <w:r>
        <w:t xml:space="preserve">16. Multiple Imputation Stability Check (m = 20)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mice-stability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Figures/fig-mice-stability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Supplemental Figure: Stability of the TyHGB prognostic value (High vs Low based on threshold) across 20 imputed datasets</w:t>
            </w:r>
          </w:p>
          <w:bookmarkEnd w:id="73"/>
        </w:tc>
      </w:tr>
    </w:tbl>
    <w:bookmarkEnd w:id="74"/>
    <w:bookmarkStart w:id="79" w:name="e-value-analysis"/>
    <w:p>
      <w:pPr>
        <w:pStyle w:val="Heading2"/>
      </w:pPr>
      <w:r>
        <w:t xml:space="preserve">17. E-Value Analysis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df_eva)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df_eva)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evalue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ures/fig-evalue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Supplemental Figure: E-value curves for the High vs Low TyHGB index on mortality</w:t>
            </w:r>
          </w:p>
          <w:bookmarkEnd w:id="78"/>
        </w:tc>
      </w:tr>
    </w:tbl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jpg" /><Relationship Type="http://schemas.openxmlformats.org/officeDocument/2006/relationships/image" Id="rId66" Target="media/rId66.jpg" /><Relationship Type="http://schemas.openxmlformats.org/officeDocument/2006/relationships/image" Id="rId75" Target="media/rId75.jpg" /><Relationship Type="http://schemas.openxmlformats.org/officeDocument/2006/relationships/image" Id="rId22" Target="media/rId22.jpg" /><Relationship Type="http://schemas.openxmlformats.org/officeDocument/2006/relationships/image" Id="rId47" Target="media/rId47.jpg" /><Relationship Type="http://schemas.openxmlformats.org/officeDocument/2006/relationships/image" Id="rId70" Target="media/rId70.jpg" /><Relationship Type="http://schemas.openxmlformats.org/officeDocument/2006/relationships/image" Id="rId52" Target="media/rId52.jpg" /><Relationship Type="http://schemas.openxmlformats.org/officeDocument/2006/relationships/image" Id="rId56" Target="media/rId56.jp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41" Target="media/rId41.jpg" /><Relationship Type="http://schemas.openxmlformats.org/officeDocument/2006/relationships/image" Id="rId11" Target="media/rId1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Prognostic Value of TyHGB Index in Patients with MASLD</dc:title>
  <dc:creator>An Tran</dc:creator>
  <cp:keywords/>
  <dcterms:created xsi:type="dcterms:W3CDTF">2026-08-18T09:09:57Z</dcterms:created>
  <dcterms:modified xsi:type="dcterms:W3CDTF">2026-08-18T09:09:57Z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2026-08-18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