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124A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改进点1：故障诊断的整体风格调整为和整体一致</w:t>
      </w:r>
    </w:p>
    <w:p w14:paraId="4F8A248F">
      <w:r>
        <w:drawing>
          <wp:inline distT="0" distB="0" distL="114300" distR="114300">
            <wp:extent cx="5274310" cy="5773420"/>
            <wp:effectExtent l="0" t="0" r="254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7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B51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改进点2：诊断页面调整为业务诊断、硬件诊断、日志采集三个标签，删除故障分析；</w:t>
      </w:r>
    </w:p>
    <w:p w14:paraId="1997C1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业务诊断和硬件诊断，都可以新建诊断类型(类型自己填写)，每个类型下面都可以新建脚本，脚本可以导入本地脚本；</w:t>
      </w:r>
    </w:p>
    <w:p w14:paraId="640F50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业务诊断可以先放：初始化、检测流程、LT流程、PDA流程</w:t>
      </w:r>
    </w:p>
    <w:p w14:paraId="4F9F26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硬件诊断可以先放：存储诊断、设备诊断、网络诊断、系统诊断</w:t>
      </w:r>
    </w:p>
    <w:p w14:paraId="2630C1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改进点3：日志采集</w:t>
      </w:r>
    </w:p>
    <w:p w14:paraId="2D303E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去掉ssh连接配置</w:t>
      </w:r>
    </w:p>
    <w:p w14:paraId="7D8970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改成可以按照当前的角色采集（master slave subswath globalstorage）；然后查询日志的目录可以选择，业务日志、系统日志、内核日志、网卡日志，然后时间可以选择时间段把查询到的日志结果放到采集结果中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9C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2026-05-03T23:11:42Z</dcterms:created>
  <dc:creator>Administrator</dc:creator>
  <cp:lastModifiedBy>Administrator</cp:lastModifiedBy>
  <dcterms:modified xsi:type="dcterms:W3CDTF">2026-05-03T23:22:14Z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eyJoZGlkIjoiMGMwZDkxNTY5MTdmN2MzYjYzMTg5M2FiNmYxM2NhYTYifQ==</vt:lpwstr>
  </property>
  <property fmtid="{D5CDD505-2E9C-101B-9397-08002B2CF9AE}" pid="4" name="ICV">
    <vt:lpwstr>36B7AEF8B3C34A8497713973D08C4833_12</vt:lpwstr>
  </property>
</Properties>
</file>